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20C62" w14:textId="77777777" w:rsidR="009601AE" w:rsidRDefault="009601AE" w:rsidP="009E3730">
      <w:pPr>
        <w:widowControl w:val="0"/>
        <w:suppressAutoHyphens/>
        <w:jc w:val="center"/>
        <w:rPr>
          <w:b/>
          <w:bCs/>
          <w:sz w:val="28"/>
          <w:szCs w:val="28"/>
        </w:rPr>
      </w:pPr>
      <w:bookmarkStart w:id="0" w:name="_GoBack"/>
      <w:bookmarkEnd w:id="0"/>
    </w:p>
    <w:p w14:paraId="3571DA6D" w14:textId="77777777" w:rsidR="009601AE" w:rsidRDefault="009601AE" w:rsidP="009E3730">
      <w:pPr>
        <w:widowControl w:val="0"/>
        <w:suppressAutoHyphens/>
        <w:jc w:val="center"/>
        <w:rPr>
          <w:b/>
          <w:bCs/>
          <w:sz w:val="28"/>
          <w:szCs w:val="28"/>
        </w:rPr>
      </w:pPr>
      <w:r>
        <w:rPr>
          <w:b/>
          <w:bCs/>
          <w:sz w:val="28"/>
          <w:szCs w:val="28"/>
        </w:rPr>
        <w:t>GEORGIA</w:t>
      </w:r>
    </w:p>
    <w:p w14:paraId="6BD564BB" w14:textId="77777777" w:rsidR="009601AE" w:rsidRDefault="009601AE" w:rsidP="009E3730">
      <w:pPr>
        <w:widowControl w:val="0"/>
        <w:suppressAutoHyphens/>
        <w:jc w:val="center"/>
        <w:rPr>
          <w:b/>
          <w:bCs/>
          <w:sz w:val="28"/>
          <w:szCs w:val="28"/>
        </w:rPr>
      </w:pPr>
    </w:p>
    <w:p w14:paraId="748651AB" w14:textId="77777777" w:rsidR="009601AE" w:rsidRDefault="009601AE" w:rsidP="009E3730">
      <w:pPr>
        <w:widowControl w:val="0"/>
        <w:suppressAutoHyphens/>
        <w:jc w:val="center"/>
        <w:rPr>
          <w:b/>
          <w:bCs/>
          <w:sz w:val="28"/>
          <w:szCs w:val="28"/>
        </w:rPr>
      </w:pPr>
    </w:p>
    <w:p w14:paraId="5FF7F126" w14:textId="77777777" w:rsidR="009601AE" w:rsidRDefault="009601AE" w:rsidP="009E3730">
      <w:pPr>
        <w:widowControl w:val="0"/>
        <w:suppressAutoHyphens/>
        <w:jc w:val="center"/>
        <w:rPr>
          <w:b/>
          <w:bCs/>
          <w:sz w:val="28"/>
          <w:szCs w:val="28"/>
        </w:rPr>
      </w:pPr>
      <w:r>
        <w:rPr>
          <w:b/>
          <w:bCs/>
          <w:sz w:val="28"/>
          <w:szCs w:val="28"/>
        </w:rPr>
        <w:t>EUROPEAN UNION EUROPEAN NEIGHBOURHOOD POLICY</w:t>
      </w:r>
    </w:p>
    <w:p w14:paraId="45EB2B87" w14:textId="77777777" w:rsidR="009601AE" w:rsidRDefault="009601AE" w:rsidP="009E3730">
      <w:pPr>
        <w:widowControl w:val="0"/>
        <w:suppressAutoHyphens/>
        <w:jc w:val="center"/>
        <w:rPr>
          <w:b/>
          <w:bCs/>
          <w:sz w:val="28"/>
          <w:szCs w:val="28"/>
        </w:rPr>
      </w:pPr>
      <w:r>
        <w:rPr>
          <w:b/>
          <w:bCs/>
          <w:sz w:val="28"/>
          <w:szCs w:val="28"/>
        </w:rPr>
        <w:t>EU-GEORGIA ANNUAL ACTION PROGRAMME 2013</w:t>
      </w:r>
    </w:p>
    <w:p w14:paraId="69F1A305" w14:textId="77777777" w:rsidR="009601AE" w:rsidRDefault="009601AE" w:rsidP="009E3730">
      <w:pPr>
        <w:widowControl w:val="0"/>
        <w:suppressAutoHyphens/>
        <w:jc w:val="center"/>
        <w:rPr>
          <w:b/>
          <w:bCs/>
          <w:sz w:val="28"/>
          <w:szCs w:val="28"/>
        </w:rPr>
      </w:pPr>
      <w:r>
        <w:rPr>
          <w:b/>
          <w:bCs/>
          <w:sz w:val="28"/>
          <w:szCs w:val="28"/>
        </w:rPr>
        <w:t>(including Eastern Partnership Integration and Cooperation Programme 2012 and 2013)</w:t>
      </w:r>
    </w:p>
    <w:p w14:paraId="7607F3DE" w14:textId="77777777" w:rsidR="009601AE" w:rsidRDefault="009601AE" w:rsidP="009E3730">
      <w:pPr>
        <w:widowControl w:val="0"/>
        <w:suppressAutoHyphens/>
        <w:jc w:val="center"/>
        <w:rPr>
          <w:b/>
          <w:bCs/>
          <w:sz w:val="28"/>
          <w:szCs w:val="28"/>
        </w:rPr>
      </w:pPr>
    </w:p>
    <w:p w14:paraId="2A2391EC" w14:textId="77777777" w:rsidR="009601AE" w:rsidRDefault="009601AE" w:rsidP="009E3730">
      <w:pPr>
        <w:widowControl w:val="0"/>
        <w:suppressAutoHyphens/>
        <w:jc w:val="center"/>
        <w:rPr>
          <w:b/>
          <w:bCs/>
          <w:sz w:val="28"/>
          <w:szCs w:val="28"/>
        </w:rPr>
      </w:pPr>
    </w:p>
    <w:p w14:paraId="31A1D165" w14:textId="77777777" w:rsidR="009601AE" w:rsidRDefault="009601AE" w:rsidP="009E3730">
      <w:pPr>
        <w:widowControl w:val="0"/>
        <w:suppressAutoHyphens/>
        <w:jc w:val="center"/>
        <w:rPr>
          <w:b/>
          <w:bCs/>
          <w:sz w:val="28"/>
          <w:szCs w:val="28"/>
        </w:rPr>
      </w:pPr>
      <w:r>
        <w:rPr>
          <w:b/>
          <w:bCs/>
          <w:sz w:val="28"/>
          <w:szCs w:val="28"/>
        </w:rPr>
        <w:t>Sector Reform Contract</w:t>
      </w:r>
      <w:r>
        <w:rPr>
          <w:rStyle w:val="FootnoteReference"/>
          <w:b/>
          <w:bCs/>
        </w:rPr>
        <w:footnoteReference w:id="1"/>
      </w:r>
      <w:r>
        <w:rPr>
          <w:b/>
          <w:bCs/>
          <w:sz w:val="28"/>
          <w:szCs w:val="28"/>
        </w:rPr>
        <w:t>: Employment and Vocational Education and Training</w:t>
      </w:r>
    </w:p>
    <w:p w14:paraId="27EACE2F" w14:textId="77777777" w:rsidR="009601AE" w:rsidRDefault="009601AE" w:rsidP="009E3730">
      <w:pPr>
        <w:widowControl w:val="0"/>
        <w:suppressAutoHyphens/>
        <w:jc w:val="center"/>
        <w:rPr>
          <w:b/>
          <w:bCs/>
          <w:sz w:val="28"/>
          <w:szCs w:val="28"/>
        </w:rPr>
      </w:pPr>
    </w:p>
    <w:p w14:paraId="75F4A747" w14:textId="77777777" w:rsidR="009601AE" w:rsidRDefault="009601AE" w:rsidP="009E3730">
      <w:pPr>
        <w:widowControl w:val="0"/>
        <w:suppressAutoHyphens/>
        <w:jc w:val="center"/>
        <w:rPr>
          <w:b/>
          <w:bCs/>
          <w:sz w:val="28"/>
          <w:szCs w:val="28"/>
        </w:rPr>
      </w:pPr>
      <w:r>
        <w:rPr>
          <w:b/>
          <w:bCs/>
          <w:sz w:val="28"/>
          <w:szCs w:val="28"/>
        </w:rPr>
        <w:t xml:space="preserve">FOURTH INSTALMENT </w:t>
      </w:r>
      <w:r w:rsidR="00396B76">
        <w:rPr>
          <w:b/>
          <w:bCs/>
          <w:sz w:val="28"/>
          <w:szCs w:val="28"/>
        </w:rPr>
        <w:t>FINAL</w:t>
      </w:r>
      <w:r>
        <w:rPr>
          <w:b/>
          <w:bCs/>
          <w:sz w:val="28"/>
          <w:szCs w:val="28"/>
        </w:rPr>
        <w:t xml:space="preserve"> REVIEW MISSION</w:t>
      </w:r>
    </w:p>
    <w:p w14:paraId="45C25690" w14:textId="77777777" w:rsidR="009601AE" w:rsidRDefault="009601AE" w:rsidP="009E3730">
      <w:pPr>
        <w:widowControl w:val="0"/>
        <w:suppressAutoHyphens/>
        <w:jc w:val="center"/>
        <w:rPr>
          <w:b/>
          <w:bCs/>
          <w:sz w:val="28"/>
          <w:szCs w:val="28"/>
        </w:rPr>
      </w:pPr>
    </w:p>
    <w:p w14:paraId="4B7FB13F" w14:textId="77777777" w:rsidR="009601AE" w:rsidRDefault="009601AE" w:rsidP="009E3730">
      <w:pPr>
        <w:widowControl w:val="0"/>
        <w:suppressAutoHyphens/>
        <w:jc w:val="center"/>
        <w:rPr>
          <w:b/>
          <w:bCs/>
          <w:sz w:val="28"/>
          <w:szCs w:val="28"/>
        </w:rPr>
      </w:pPr>
    </w:p>
    <w:p w14:paraId="7CBF9D0B" w14:textId="77777777" w:rsidR="009601AE" w:rsidRDefault="00396B76" w:rsidP="009E3730">
      <w:pPr>
        <w:widowControl w:val="0"/>
        <w:suppressAutoHyphens/>
        <w:jc w:val="center"/>
        <w:rPr>
          <w:b/>
          <w:bCs/>
          <w:sz w:val="28"/>
          <w:szCs w:val="28"/>
        </w:rPr>
      </w:pPr>
      <w:r>
        <w:rPr>
          <w:b/>
          <w:bCs/>
          <w:sz w:val="28"/>
          <w:szCs w:val="28"/>
        </w:rPr>
        <w:t>Aide Memoire</w:t>
      </w:r>
    </w:p>
    <w:p w14:paraId="5DF8A30F" w14:textId="77777777" w:rsidR="009601AE" w:rsidRDefault="009601AE" w:rsidP="009E3730">
      <w:pPr>
        <w:widowControl w:val="0"/>
        <w:suppressAutoHyphens/>
        <w:jc w:val="center"/>
        <w:rPr>
          <w:b/>
          <w:bCs/>
          <w:sz w:val="28"/>
          <w:szCs w:val="28"/>
        </w:rPr>
      </w:pPr>
    </w:p>
    <w:p w14:paraId="26945E3A" w14:textId="77777777" w:rsidR="009601AE" w:rsidRDefault="009601AE" w:rsidP="009E3730">
      <w:pPr>
        <w:widowControl w:val="0"/>
        <w:suppressAutoHyphens/>
        <w:jc w:val="center"/>
        <w:rPr>
          <w:b/>
          <w:bCs/>
          <w:sz w:val="28"/>
          <w:szCs w:val="28"/>
        </w:rPr>
      </w:pPr>
    </w:p>
    <w:p w14:paraId="24EFA081" w14:textId="77777777" w:rsidR="009601AE" w:rsidRDefault="009601AE" w:rsidP="009E3730">
      <w:pPr>
        <w:widowControl w:val="0"/>
        <w:suppressAutoHyphens/>
        <w:jc w:val="center"/>
        <w:rPr>
          <w:b/>
          <w:bCs/>
          <w:sz w:val="28"/>
          <w:szCs w:val="28"/>
        </w:rPr>
      </w:pPr>
    </w:p>
    <w:p w14:paraId="17ED28A4" w14:textId="77777777" w:rsidR="009601AE" w:rsidRDefault="009601AE" w:rsidP="009E3730">
      <w:pPr>
        <w:widowControl w:val="0"/>
        <w:suppressAutoHyphens/>
        <w:jc w:val="center"/>
        <w:rPr>
          <w:b/>
          <w:bCs/>
          <w:sz w:val="28"/>
          <w:szCs w:val="28"/>
        </w:rPr>
      </w:pPr>
    </w:p>
    <w:p w14:paraId="003CE2C4" w14:textId="77777777" w:rsidR="009601AE" w:rsidRDefault="009601AE" w:rsidP="009E3730">
      <w:pPr>
        <w:widowControl w:val="0"/>
        <w:suppressAutoHyphens/>
        <w:jc w:val="center"/>
        <w:rPr>
          <w:b/>
          <w:bCs/>
          <w:sz w:val="28"/>
          <w:szCs w:val="28"/>
        </w:rPr>
      </w:pPr>
    </w:p>
    <w:p w14:paraId="3AD41BBF" w14:textId="77777777" w:rsidR="009601AE" w:rsidRDefault="009601AE" w:rsidP="009E3730">
      <w:pPr>
        <w:widowControl w:val="0"/>
        <w:suppressAutoHyphens/>
        <w:jc w:val="center"/>
        <w:rPr>
          <w:b/>
          <w:bCs/>
          <w:sz w:val="28"/>
          <w:szCs w:val="28"/>
        </w:rPr>
      </w:pPr>
    </w:p>
    <w:p w14:paraId="76393E1C" w14:textId="77777777" w:rsidR="009601AE" w:rsidRDefault="009601AE" w:rsidP="009E3730">
      <w:pPr>
        <w:widowControl w:val="0"/>
        <w:suppressAutoHyphens/>
        <w:jc w:val="center"/>
        <w:rPr>
          <w:b/>
          <w:bCs/>
          <w:sz w:val="28"/>
          <w:szCs w:val="28"/>
        </w:rPr>
      </w:pPr>
    </w:p>
    <w:p w14:paraId="0D10AA97" w14:textId="77777777" w:rsidR="009601AE" w:rsidRDefault="009601AE" w:rsidP="009E3730">
      <w:pPr>
        <w:widowControl w:val="0"/>
        <w:suppressAutoHyphens/>
        <w:jc w:val="center"/>
        <w:rPr>
          <w:b/>
          <w:bCs/>
          <w:sz w:val="28"/>
          <w:szCs w:val="28"/>
        </w:rPr>
      </w:pPr>
    </w:p>
    <w:p w14:paraId="536D246B" w14:textId="77777777" w:rsidR="009601AE" w:rsidRDefault="009601AE" w:rsidP="009E3730">
      <w:pPr>
        <w:widowControl w:val="0"/>
        <w:suppressAutoHyphens/>
        <w:jc w:val="center"/>
        <w:rPr>
          <w:b/>
          <w:bCs/>
          <w:sz w:val="28"/>
          <w:szCs w:val="28"/>
        </w:rPr>
      </w:pPr>
    </w:p>
    <w:p w14:paraId="1D1AF43D" w14:textId="77777777" w:rsidR="009601AE" w:rsidRDefault="009601AE" w:rsidP="009E3730">
      <w:pPr>
        <w:widowControl w:val="0"/>
        <w:suppressAutoHyphens/>
        <w:jc w:val="center"/>
        <w:rPr>
          <w:b/>
          <w:bCs/>
          <w:sz w:val="28"/>
          <w:szCs w:val="28"/>
        </w:rPr>
      </w:pPr>
    </w:p>
    <w:p w14:paraId="2E189A0F" w14:textId="77777777" w:rsidR="009601AE" w:rsidRDefault="009601AE" w:rsidP="009E3730">
      <w:pPr>
        <w:widowControl w:val="0"/>
        <w:suppressAutoHyphens/>
        <w:jc w:val="center"/>
        <w:rPr>
          <w:b/>
          <w:bCs/>
          <w:sz w:val="28"/>
          <w:szCs w:val="28"/>
        </w:rPr>
      </w:pPr>
    </w:p>
    <w:p w14:paraId="00DAF962" w14:textId="77777777" w:rsidR="009601AE" w:rsidRDefault="009601AE" w:rsidP="009E3730">
      <w:pPr>
        <w:widowControl w:val="0"/>
        <w:suppressAutoHyphens/>
        <w:rPr>
          <w:b/>
          <w:bCs/>
          <w:sz w:val="28"/>
          <w:szCs w:val="28"/>
        </w:rPr>
      </w:pPr>
    </w:p>
    <w:p w14:paraId="6B9DE676" w14:textId="77777777" w:rsidR="009601AE" w:rsidRDefault="009601AE" w:rsidP="009E3730">
      <w:pPr>
        <w:widowControl w:val="0"/>
        <w:suppressAutoHyphens/>
        <w:jc w:val="center"/>
        <w:rPr>
          <w:b/>
          <w:bCs/>
          <w:sz w:val="28"/>
          <w:szCs w:val="28"/>
        </w:rPr>
      </w:pPr>
    </w:p>
    <w:p w14:paraId="239F301C" w14:textId="77777777" w:rsidR="009601AE" w:rsidRDefault="009601AE" w:rsidP="009E3730">
      <w:pPr>
        <w:widowControl w:val="0"/>
        <w:suppressAutoHyphens/>
        <w:jc w:val="center"/>
        <w:rPr>
          <w:b/>
          <w:bCs/>
          <w:sz w:val="28"/>
          <w:szCs w:val="28"/>
        </w:rPr>
      </w:pPr>
      <w:r>
        <w:rPr>
          <w:b/>
          <w:bCs/>
          <w:sz w:val="28"/>
          <w:szCs w:val="28"/>
        </w:rPr>
        <w:t>(</w:t>
      </w:r>
      <w:r w:rsidR="00396B76">
        <w:rPr>
          <w:b/>
          <w:bCs/>
          <w:sz w:val="28"/>
          <w:szCs w:val="28"/>
        </w:rPr>
        <w:t>April</w:t>
      </w:r>
      <w:r>
        <w:rPr>
          <w:b/>
          <w:bCs/>
          <w:sz w:val="28"/>
          <w:szCs w:val="28"/>
        </w:rPr>
        <w:t xml:space="preserve"> 201</w:t>
      </w:r>
      <w:r w:rsidR="00396B76">
        <w:rPr>
          <w:b/>
          <w:bCs/>
          <w:sz w:val="28"/>
          <w:szCs w:val="28"/>
        </w:rPr>
        <w:t>7</w:t>
      </w:r>
      <w:r>
        <w:rPr>
          <w:b/>
          <w:bCs/>
          <w:sz w:val="28"/>
          <w:szCs w:val="28"/>
        </w:rPr>
        <w:t>)</w:t>
      </w:r>
    </w:p>
    <w:p w14:paraId="2D056F20" w14:textId="77777777" w:rsidR="009601AE" w:rsidRDefault="009601AE" w:rsidP="009E3730">
      <w:pPr>
        <w:widowControl w:val="0"/>
        <w:suppressAutoHyphens/>
        <w:jc w:val="center"/>
        <w:rPr>
          <w:b/>
          <w:bCs/>
          <w:sz w:val="28"/>
          <w:szCs w:val="28"/>
        </w:rPr>
      </w:pPr>
    </w:p>
    <w:p w14:paraId="4484E701" w14:textId="77777777" w:rsidR="009601AE" w:rsidRDefault="009601AE" w:rsidP="009E3730">
      <w:pPr>
        <w:widowControl w:val="0"/>
        <w:suppressAutoHyphens/>
        <w:jc w:val="center"/>
        <w:rPr>
          <w:b/>
          <w:bCs/>
          <w:sz w:val="28"/>
          <w:szCs w:val="28"/>
        </w:rPr>
      </w:pPr>
    </w:p>
    <w:p w14:paraId="399EFD09" w14:textId="77777777" w:rsidR="009601AE" w:rsidRDefault="009601AE" w:rsidP="009E3730">
      <w:pPr>
        <w:widowControl w:val="0"/>
        <w:suppressAutoHyphens/>
        <w:jc w:val="center"/>
        <w:rPr>
          <w:b/>
          <w:bCs/>
          <w:sz w:val="28"/>
          <w:szCs w:val="28"/>
        </w:rPr>
      </w:pPr>
    </w:p>
    <w:p w14:paraId="235E1CC9" w14:textId="77777777" w:rsidR="009601AE" w:rsidRDefault="009601AE" w:rsidP="009E3730">
      <w:pPr>
        <w:widowControl w:val="0"/>
        <w:suppressAutoHyphens/>
        <w:jc w:val="center"/>
        <w:rPr>
          <w:b/>
          <w:bCs/>
          <w:sz w:val="28"/>
          <w:szCs w:val="28"/>
        </w:rPr>
      </w:pPr>
    </w:p>
    <w:p w14:paraId="6C830EAD" w14:textId="77777777" w:rsidR="009601AE" w:rsidRDefault="009601AE" w:rsidP="009E3730">
      <w:pPr>
        <w:widowControl w:val="0"/>
        <w:suppressAutoHyphens/>
        <w:jc w:val="center"/>
        <w:rPr>
          <w:b/>
          <w:bCs/>
          <w:sz w:val="28"/>
          <w:szCs w:val="28"/>
        </w:rPr>
      </w:pPr>
    </w:p>
    <w:p w14:paraId="7AD703DF" w14:textId="77777777" w:rsidR="009601AE" w:rsidRDefault="009601AE" w:rsidP="009E3730">
      <w:pPr>
        <w:widowControl w:val="0"/>
        <w:suppressAutoHyphens/>
        <w:jc w:val="center"/>
        <w:rPr>
          <w:b/>
          <w:bCs/>
          <w:sz w:val="28"/>
          <w:szCs w:val="28"/>
        </w:rPr>
      </w:pPr>
      <w:r>
        <w:rPr>
          <w:i/>
          <w:iCs/>
        </w:rPr>
        <w:t>The content of this publication is the sole responsibility of the Consultant and can in no way be taken to reflect the views of the European Union</w:t>
      </w:r>
    </w:p>
    <w:p w14:paraId="25BC7A20" w14:textId="77777777" w:rsidR="009601AE" w:rsidRDefault="009601AE" w:rsidP="009E3730">
      <w:pPr>
        <w:widowControl w:val="0"/>
        <w:suppressAutoHyphens/>
        <w:rPr>
          <w:b/>
          <w:bCs/>
          <w:sz w:val="28"/>
          <w:szCs w:val="28"/>
        </w:rPr>
      </w:pPr>
    </w:p>
    <w:p w14:paraId="4AA5D7B2" w14:textId="77777777" w:rsidR="009601AE" w:rsidRDefault="009601AE" w:rsidP="009E3730">
      <w:pPr>
        <w:widowControl w:val="0"/>
        <w:suppressAutoHyphens/>
        <w:jc w:val="center"/>
        <w:rPr>
          <w:b/>
          <w:bCs/>
          <w:sz w:val="28"/>
          <w:szCs w:val="28"/>
        </w:rPr>
        <w:sectPr w:rsidR="009601AE" w:rsidSect="009601AE">
          <w:footerReference w:type="default" r:id="rId9"/>
          <w:footerReference w:type="first" r:id="rId10"/>
          <w:pgSz w:w="11909" w:h="16834" w:code="9"/>
          <w:pgMar w:top="1411" w:right="1411" w:bottom="1411" w:left="1411" w:header="706" w:footer="706" w:gutter="0"/>
          <w:cols w:space="709"/>
          <w:titlePg/>
        </w:sectPr>
      </w:pPr>
    </w:p>
    <w:p w14:paraId="68D79D17" w14:textId="77777777" w:rsidR="00374CBE" w:rsidRDefault="00374CBE" w:rsidP="00374CBE">
      <w:pPr>
        <w:jc w:val="center"/>
        <w:rPr>
          <w:b/>
          <w:bCs/>
          <w:sz w:val="28"/>
          <w:szCs w:val="28"/>
        </w:rPr>
      </w:pPr>
      <w:r>
        <w:rPr>
          <w:b/>
          <w:bCs/>
          <w:sz w:val="28"/>
          <w:szCs w:val="28"/>
        </w:rPr>
        <w:lastRenderedPageBreak/>
        <w:t>GEORGIA</w:t>
      </w:r>
    </w:p>
    <w:p w14:paraId="32B25C2A" w14:textId="77777777" w:rsidR="00374CBE" w:rsidRDefault="00374CBE" w:rsidP="00374CBE">
      <w:pPr>
        <w:jc w:val="center"/>
        <w:rPr>
          <w:b/>
          <w:bCs/>
          <w:sz w:val="28"/>
          <w:szCs w:val="28"/>
        </w:rPr>
      </w:pPr>
    </w:p>
    <w:p w14:paraId="7F8684CE" w14:textId="77777777" w:rsidR="00374CBE" w:rsidRDefault="00374CBE" w:rsidP="00374CBE">
      <w:pPr>
        <w:jc w:val="center"/>
        <w:rPr>
          <w:b/>
          <w:bCs/>
          <w:sz w:val="28"/>
          <w:szCs w:val="28"/>
        </w:rPr>
      </w:pPr>
      <w:r>
        <w:rPr>
          <w:b/>
          <w:bCs/>
          <w:sz w:val="28"/>
          <w:szCs w:val="28"/>
        </w:rPr>
        <w:t>EUROPEAN UNION EUROPEAN NEIGHBOURHOOD POLICY</w:t>
      </w:r>
    </w:p>
    <w:p w14:paraId="66A1D2F6" w14:textId="77777777" w:rsidR="00374CBE" w:rsidRDefault="00374CBE" w:rsidP="00374CBE">
      <w:pPr>
        <w:jc w:val="center"/>
        <w:rPr>
          <w:b/>
          <w:bCs/>
          <w:sz w:val="28"/>
          <w:szCs w:val="28"/>
        </w:rPr>
      </w:pPr>
      <w:r>
        <w:rPr>
          <w:b/>
          <w:bCs/>
          <w:sz w:val="28"/>
          <w:szCs w:val="28"/>
        </w:rPr>
        <w:t>EU-GEORGIA ANNUAL ACTION PROGRAMME 2013</w:t>
      </w:r>
    </w:p>
    <w:p w14:paraId="69271895" w14:textId="77777777" w:rsidR="00374CBE" w:rsidRDefault="00374CBE" w:rsidP="00374CBE">
      <w:pPr>
        <w:jc w:val="center"/>
        <w:rPr>
          <w:b/>
          <w:bCs/>
          <w:sz w:val="28"/>
          <w:szCs w:val="28"/>
        </w:rPr>
      </w:pPr>
      <w:r>
        <w:rPr>
          <w:b/>
          <w:bCs/>
          <w:sz w:val="28"/>
          <w:szCs w:val="28"/>
        </w:rPr>
        <w:t>(including Eastern Partnership Integration and Cooperation Programme 2012 and 2013)</w:t>
      </w:r>
    </w:p>
    <w:p w14:paraId="1BE6F794" w14:textId="77777777" w:rsidR="00374CBE" w:rsidRDefault="00374CBE" w:rsidP="00374CBE">
      <w:pPr>
        <w:jc w:val="center"/>
        <w:rPr>
          <w:b/>
          <w:bCs/>
          <w:sz w:val="28"/>
          <w:szCs w:val="28"/>
        </w:rPr>
      </w:pPr>
    </w:p>
    <w:p w14:paraId="06B4AE61" w14:textId="77777777" w:rsidR="00374CBE" w:rsidRDefault="00374CBE" w:rsidP="00374CBE">
      <w:pPr>
        <w:jc w:val="center"/>
        <w:rPr>
          <w:b/>
          <w:bCs/>
          <w:sz w:val="28"/>
          <w:szCs w:val="28"/>
        </w:rPr>
      </w:pPr>
      <w:r>
        <w:rPr>
          <w:b/>
          <w:bCs/>
          <w:sz w:val="28"/>
          <w:szCs w:val="28"/>
        </w:rPr>
        <w:t>Sector Reform Contract</w:t>
      </w:r>
      <w:r>
        <w:rPr>
          <w:rStyle w:val="FootnoteReference"/>
          <w:b/>
          <w:bCs/>
        </w:rPr>
        <w:footnoteReference w:id="2"/>
      </w:r>
      <w:r>
        <w:rPr>
          <w:b/>
          <w:bCs/>
          <w:sz w:val="28"/>
          <w:szCs w:val="28"/>
        </w:rPr>
        <w:t>: Employment and Vocational Education and Training</w:t>
      </w:r>
    </w:p>
    <w:p w14:paraId="5C9268E6" w14:textId="77777777" w:rsidR="00374CBE" w:rsidRDefault="00374CBE" w:rsidP="00374CBE">
      <w:pPr>
        <w:jc w:val="center"/>
        <w:rPr>
          <w:b/>
          <w:bCs/>
          <w:sz w:val="28"/>
          <w:szCs w:val="28"/>
        </w:rPr>
      </w:pPr>
    </w:p>
    <w:p w14:paraId="77CF1917" w14:textId="77777777" w:rsidR="00374CBE" w:rsidRDefault="00374CBE" w:rsidP="00374CBE">
      <w:pPr>
        <w:jc w:val="center"/>
        <w:rPr>
          <w:b/>
          <w:bCs/>
          <w:sz w:val="28"/>
          <w:szCs w:val="28"/>
        </w:rPr>
      </w:pPr>
      <w:r>
        <w:rPr>
          <w:b/>
          <w:bCs/>
          <w:sz w:val="28"/>
          <w:szCs w:val="28"/>
        </w:rPr>
        <w:t>FOURTH INSTALMENT FINAL REVIEW MISSION</w:t>
      </w:r>
    </w:p>
    <w:p w14:paraId="5F0289E1" w14:textId="77777777" w:rsidR="00374CBE" w:rsidRDefault="00374CBE" w:rsidP="00374CBE">
      <w:pPr>
        <w:jc w:val="center"/>
        <w:rPr>
          <w:b/>
          <w:bCs/>
          <w:sz w:val="28"/>
          <w:szCs w:val="28"/>
        </w:rPr>
      </w:pPr>
    </w:p>
    <w:p w14:paraId="7F7066C2" w14:textId="77777777" w:rsidR="00374CBE" w:rsidRDefault="00374CBE" w:rsidP="00374CBE">
      <w:pPr>
        <w:jc w:val="center"/>
        <w:rPr>
          <w:b/>
          <w:bCs/>
          <w:sz w:val="28"/>
          <w:szCs w:val="28"/>
        </w:rPr>
      </w:pPr>
      <w:r>
        <w:rPr>
          <w:b/>
          <w:bCs/>
          <w:sz w:val="28"/>
          <w:szCs w:val="28"/>
        </w:rPr>
        <w:t>Aide Memoire</w:t>
      </w:r>
    </w:p>
    <w:p w14:paraId="16232182" w14:textId="77777777" w:rsidR="00374CBE" w:rsidRDefault="00374CBE" w:rsidP="00374CBE">
      <w:pPr>
        <w:jc w:val="center"/>
        <w:rPr>
          <w:b/>
          <w:bCs/>
          <w:sz w:val="28"/>
          <w:szCs w:val="28"/>
        </w:rPr>
      </w:pPr>
      <w:r>
        <w:rPr>
          <w:b/>
          <w:bCs/>
          <w:sz w:val="28"/>
          <w:szCs w:val="28"/>
        </w:rPr>
        <w:t>April 2017</w:t>
      </w:r>
    </w:p>
    <w:p w14:paraId="5CC9239C" w14:textId="77777777" w:rsidR="00374CBE" w:rsidRDefault="00374CBE" w:rsidP="00374CBE">
      <w:pPr>
        <w:jc w:val="center"/>
        <w:rPr>
          <w:b/>
          <w:bCs/>
          <w:sz w:val="28"/>
          <w:szCs w:val="28"/>
        </w:rPr>
      </w:pPr>
    </w:p>
    <w:p w14:paraId="2B67F808" w14:textId="77777777" w:rsidR="00374CBE" w:rsidRDefault="00374CBE" w:rsidP="00374CBE">
      <w:pPr>
        <w:pStyle w:val="Heading1"/>
      </w:pPr>
      <w:bookmarkStart w:id="1" w:name="_Toc486837738"/>
      <w:r>
        <w:t>Summary</w:t>
      </w:r>
      <w:bookmarkEnd w:id="1"/>
    </w:p>
    <w:p w14:paraId="4EA31502" w14:textId="77777777" w:rsidR="00374CBE" w:rsidRDefault="00374CBE" w:rsidP="00374CBE"/>
    <w:p w14:paraId="6169E037" w14:textId="77777777" w:rsidR="00374CBE" w:rsidRDefault="00374CBE" w:rsidP="00374CBE">
      <w:pPr>
        <w:pStyle w:val="Heading2"/>
      </w:pPr>
      <w:bookmarkStart w:id="2" w:name="_Toc486837739"/>
      <w:r>
        <w:t>a)</w:t>
      </w:r>
      <w:r>
        <w:tab/>
        <w:t>Introduction</w:t>
      </w:r>
      <w:bookmarkEnd w:id="2"/>
    </w:p>
    <w:p w14:paraId="35CB8CCD" w14:textId="77777777" w:rsidR="00374CBE" w:rsidRDefault="00374CBE" w:rsidP="00374CBE"/>
    <w:p w14:paraId="5CE560C0" w14:textId="77777777" w:rsidR="00374CBE" w:rsidRDefault="00374CBE" w:rsidP="00374CBE">
      <w:r>
        <w:t>The 2017 Final Review Mission (2017FRM) visited Georgia between the 23rd of March and 7th of April 2017 to examine Government's compliance with the conditions for disbursement of the Fixed and Variable Tranches of the Fourth Instalment of the EU's AAP2013 Sector Reform Contract: Employment and Vocational Education and Training (SRC EVET), and to determine the level of disbursement for which the Government is eligible. In addition, the Review examined the state of fulfilment of three Third Instalment Variable Tranche Indicators considered unfulfilled by EU Headquarters in December 2016 when deciding on the level of Third Instalment funds to be released. Based on its assessment of compliance with both the Fourth Instalment and outstanding Third Instalment Conditions, the Review has made recommendations on the level of disbursement for which it considers the Government eligible. The Final Review follows an Interim Review in November 2016 designed to highlight what further needed to be undertaken to achieve an assessment of full compliance by this Final Review. The Fourth Instalment is the final disbursement under the Programme and there are no further opportunities to achieve compliance. As a result, any funds withheld at this stage remain lost to Government irrevocably.</w:t>
      </w:r>
    </w:p>
    <w:p w14:paraId="66BD7C24" w14:textId="77777777" w:rsidR="00374CBE" w:rsidRDefault="00374CBE" w:rsidP="00374CBE"/>
    <w:p w14:paraId="0E505B7B" w14:textId="77777777" w:rsidR="00374CBE" w:rsidRDefault="00374CBE" w:rsidP="00374CBE">
      <w:pPr>
        <w:pStyle w:val="Heading2"/>
      </w:pPr>
      <w:bookmarkStart w:id="3" w:name="_Toc486837740"/>
      <w:r>
        <w:t>b)</w:t>
      </w:r>
      <w:r>
        <w:tab/>
        <w:t>ENP AAP2013 SRC: Employment and VET</w:t>
      </w:r>
      <w:bookmarkEnd w:id="3"/>
    </w:p>
    <w:p w14:paraId="3BD22E76" w14:textId="77777777" w:rsidR="00374CBE" w:rsidRDefault="00374CBE" w:rsidP="00374CBE"/>
    <w:p w14:paraId="094D483A" w14:textId="77777777" w:rsidR="00374CBE" w:rsidRDefault="00374CBE" w:rsidP="00374CBE">
      <w:r>
        <w:t>The Fourth Instalment comprises the Fourth Fixed Tranche (worth €1mn) and the Third Variable Tranche (worth up to €6.5mn). Release of the Fourth Fixed Tranche is dependent upon full compliance with four General Conditions, considered by the EU as eligibility criteria for budget support, covering progress in the implementation of credible and relevant medium-term employment and VET strategies, maintenance of a stability orientated macroeconomic policy, satisfactory progress in the implementation of a credible and relevant Government public finance management reform programme, and continuing improvements in budget transparency and oversight. Compliance with these General Conditions is a pre-condition for release of any funds under the Variable Tranche. Failure to comply with all four General Conditions, therefore, means the loss of funds associated with both the Fixed and Variable Tranches of the Fourth Instalment.</w:t>
      </w:r>
    </w:p>
    <w:p w14:paraId="74D88700" w14:textId="77777777" w:rsidR="00374CBE" w:rsidRDefault="00374CBE" w:rsidP="00374CBE"/>
    <w:p w14:paraId="31BFF21A" w14:textId="553FCDC7" w:rsidR="00374CBE" w:rsidRDefault="00374CBE" w:rsidP="00374CBE">
      <w:r>
        <w:t xml:space="preserve">Release of funds associated with the Third Variable Tranche depends upon the degree of compliance with seven Specific Conditions under three Components: Effective Labour Market Management, Enhanced Quality and Relevance of the VET System, and Efficient Transition from Training into Employment. Compliance is assessed on the basis of fulfilment of a number of criteria or indicators related to each Specific Condition, of which there are 15 in all for this Instalment. Government is eligible to receive 100%, 50%, or none of the amount related to a particular Specific Condition depending on whether it is fully compliant (all related criteria fulfilled), partially compliant (more than half the related criteria fulfilled), or non-compliant (half or fewer than half of the criteria fulfilled). For their part, criteria are either fulfilled or not fulfilled. The deadline for fulfilment of criteria is essentially the end of calendar year 2016, although for two involving reporting on 2016, completion was only possible in 2017 prior </w:t>
      </w:r>
      <w:r w:rsidR="00E55184">
        <w:t>to the</w:t>
      </w:r>
      <w:r>
        <w:t xml:space="preserve"> Review.</w:t>
      </w:r>
    </w:p>
    <w:p w14:paraId="2BB7A6E3" w14:textId="77777777" w:rsidR="00374CBE" w:rsidRDefault="00374CBE" w:rsidP="00374CBE"/>
    <w:p w14:paraId="3F8A2B55" w14:textId="77777777" w:rsidR="00374CBE" w:rsidRDefault="00374CBE" w:rsidP="00374CBE">
      <w:r>
        <w:t>The EU in December 2016 concluded that three Second Variable Tranche Indicators were unfulfilled</w:t>
      </w:r>
      <w:r>
        <w:rPr>
          <w:rStyle w:val="FootnoteReference"/>
        </w:rPr>
        <w:footnoteReference w:id="3"/>
      </w:r>
      <w:r>
        <w:t xml:space="preserve"> and hence withheld €1.75mn from the Third Instalment of €5.50mn. It was agreed that fulfilment of two of these Indicators would be reassessed when considering compliance with the Fourth Instalment disbursement conditions, potentially enabling release of €1.50mn of the previously withheld funds. As a result, fulfilment of these Indicators has also been assessed by the Review.</w:t>
      </w:r>
    </w:p>
    <w:p w14:paraId="32AD1FB1" w14:textId="77777777" w:rsidR="00374CBE" w:rsidRDefault="00374CBE" w:rsidP="00374CBE"/>
    <w:p w14:paraId="36A58B8A" w14:textId="77777777" w:rsidR="00374CBE" w:rsidRDefault="00374CBE" w:rsidP="00374CBE">
      <w:pPr>
        <w:pStyle w:val="Heading2"/>
      </w:pPr>
      <w:bookmarkStart w:id="4" w:name="_Toc486837741"/>
      <w:r>
        <w:t>c)</w:t>
      </w:r>
      <w:r>
        <w:tab/>
        <w:t>Compliance with the General Conditions</w:t>
      </w:r>
      <w:bookmarkEnd w:id="4"/>
    </w:p>
    <w:p w14:paraId="07E6F67E" w14:textId="77777777" w:rsidR="00374CBE" w:rsidRDefault="00374CBE" w:rsidP="00374CBE"/>
    <w:p w14:paraId="428AEC95" w14:textId="0BC62F67" w:rsidR="00374CBE" w:rsidRDefault="00374CBE" w:rsidP="00374CBE">
      <w:r>
        <w:t>the Review found the Government compliant with all four General Conditions, and therefore eligible for the Fourth Fixed tranche of €1.0mn and for compliance with the Specific Conditions to be considered to determine eligib</w:t>
      </w:r>
      <w:r w:rsidR="00E55184">
        <w:t>il</w:t>
      </w:r>
      <w:r>
        <w:t>ity for the Third Variable Tranche of €6.5mn.</w:t>
      </w:r>
    </w:p>
    <w:p w14:paraId="66A2DB6E" w14:textId="77777777" w:rsidR="00374CBE" w:rsidRDefault="00374CBE" w:rsidP="00374CBE"/>
    <w:p w14:paraId="10C8F9DC" w14:textId="77777777" w:rsidR="00374CBE" w:rsidRDefault="00374CBE" w:rsidP="00374CBE">
      <w:r w:rsidRPr="00E860EE">
        <w:t xml:space="preserve">There is evidence of significant progress in the implementation of </w:t>
      </w:r>
      <w:r>
        <w:t xml:space="preserve">both the </w:t>
      </w:r>
      <w:r w:rsidRPr="00E860EE">
        <w:t>employment and VET reform strategies. There have been some delays in implementation in a number of areas, including some of those covered by the AAP2013 SRC EVET Specific Conditions (themselves largely drawn from the strategies). However, for the most part these delays are the result of technical difficulties rather than a lack of commitment by Government in terms of policy or resources. Furthermore, although the EVET Council did not formally meet quarterly, there were sound reasons for this, and there were four substantive meetings and many sub-meetings of the stakeholders involved as members, and the working groups under the Council continued to meet regularly throughout the year. As a result, the Review did not consider this sufficient reason to declare Government non-compliant with the Sector Policy General Condition.</w:t>
      </w:r>
    </w:p>
    <w:p w14:paraId="092619CF" w14:textId="77777777" w:rsidR="00374CBE" w:rsidRDefault="00374CBE" w:rsidP="00374CBE"/>
    <w:p w14:paraId="15B8C61C" w14:textId="54EB710B" w:rsidR="00374CBE" w:rsidRPr="00C17DB6" w:rsidRDefault="00374CBE" w:rsidP="00374CBE">
      <w:pPr>
        <w:widowControl w:val="0"/>
        <w:suppressAutoHyphens/>
        <w:rPr>
          <w:highlight w:val="green"/>
        </w:rPr>
      </w:pPr>
      <w:r>
        <w:rPr>
          <w:lang w:val="en-US"/>
        </w:rPr>
        <w:t xml:space="preserve">With respect to the General Condition on macroeconomic policy, the Government recently reached agreement with the IMF on a new Extended Fund Facility (EFF), backed by a programme of </w:t>
      </w:r>
      <w:r w:rsidR="00E55184">
        <w:rPr>
          <w:lang w:val="en-US"/>
        </w:rPr>
        <w:t>fiscal and</w:t>
      </w:r>
      <w:r>
        <w:rPr>
          <w:lang w:val="en-US"/>
        </w:rPr>
        <w:t xml:space="preserve"> structural reforms to rebuild resilience after a difficult few years affected by external shock from the downturn in major trading partners. </w:t>
      </w:r>
      <w:r w:rsidRPr="007C485F">
        <w:rPr>
          <w:lang w:val="en-US"/>
        </w:rPr>
        <w:t>In the face of the continuing difficult external environment</w:t>
      </w:r>
      <w:r>
        <w:rPr>
          <w:lang w:val="en-US"/>
        </w:rPr>
        <w:t>,</w:t>
      </w:r>
      <w:r w:rsidRPr="007C485F">
        <w:rPr>
          <w:lang w:val="en-US"/>
        </w:rPr>
        <w:t xml:space="preserve"> which has slowed the economy, raised the current account deficit and the local currency value of debt and cost of servicing, and caused a 35% depreciation in the currency, the Government has managed to significantly maintain broad macroeconomic stability (sufficient to meet the need for compliance with th</w:t>
      </w:r>
      <w:r>
        <w:rPr>
          <w:lang w:val="en-US"/>
        </w:rPr>
        <w:t>e</w:t>
      </w:r>
      <w:r w:rsidRPr="007C485F">
        <w:rPr>
          <w:lang w:val="en-US"/>
        </w:rPr>
        <w:t xml:space="preserve"> General Condition) and continue its policy of inclusive growth with increased spending on healthcare, social protection and pensions. </w:t>
      </w:r>
      <w:r>
        <w:rPr>
          <w:lang w:val="en-US"/>
        </w:rPr>
        <w:t>The programme particularly notes the need to address the mismatch of skills with labour market demand. With the support of the new EFF agreement, the p</w:t>
      </w:r>
      <w:r w:rsidRPr="007C485F">
        <w:rPr>
          <w:lang w:val="en-US"/>
        </w:rPr>
        <w:t xml:space="preserve">rospects for </w:t>
      </w:r>
      <w:r>
        <w:rPr>
          <w:lang w:val="en-US"/>
        </w:rPr>
        <w:t xml:space="preserve">the rest of 2017 and </w:t>
      </w:r>
      <w:r w:rsidRPr="007C485F">
        <w:rPr>
          <w:lang w:val="en-US"/>
        </w:rPr>
        <w:t>201</w:t>
      </w:r>
      <w:r>
        <w:rPr>
          <w:lang w:val="en-US"/>
        </w:rPr>
        <w:t>8</w:t>
      </w:r>
      <w:r w:rsidRPr="007C485F">
        <w:rPr>
          <w:lang w:val="en-US"/>
        </w:rPr>
        <w:t>, assuming external factors do not further intervene</w:t>
      </w:r>
      <w:r>
        <w:rPr>
          <w:lang w:val="en-US"/>
        </w:rPr>
        <w:t>,</w:t>
      </w:r>
      <w:r w:rsidRPr="007C485F">
        <w:rPr>
          <w:lang w:val="en-US"/>
        </w:rPr>
        <w:t xml:space="preserve"> are for a modest recovery </w:t>
      </w:r>
      <w:r>
        <w:rPr>
          <w:lang w:val="en-US"/>
        </w:rPr>
        <w:t xml:space="preserve">and development of economic buffers to improve and </w:t>
      </w:r>
      <w:r>
        <w:rPr>
          <w:lang w:val="en-US"/>
        </w:rPr>
        <w:lastRenderedPageBreak/>
        <w:t>maintain stability</w:t>
      </w:r>
      <w:r w:rsidRPr="007C485F">
        <w:rPr>
          <w:lang w:val="en-US"/>
        </w:rPr>
        <w:t xml:space="preserve">. </w:t>
      </w:r>
    </w:p>
    <w:p w14:paraId="6C94E494" w14:textId="77777777" w:rsidR="00374CBE" w:rsidRDefault="00374CBE" w:rsidP="00374CBE"/>
    <w:p w14:paraId="2711FBC0" w14:textId="77777777" w:rsidR="00374CBE" w:rsidRDefault="00374CBE" w:rsidP="00374CBE">
      <w:r>
        <w:t>With respect to the General Condition on PFM system reform, a continuing record of positive developments in PFM System improvement means the Review has concluded that Georgia has met the PFM requirements for eligibility for budget support, including both the existence of relevant and credible PFM reform strategies and action plans for their implementation (at Government, Supreme Audit Institution, and Parliamentary levels), as well as satisfactory progress in their implementation. Substantive reforms in line with the Government's 2014-2017 PFM strategy and the State Audit Office (SAO) 2014-2017 strategic plan have taken place in all key PFM areas and actions are being taken to address challenges. To this must be added the strengthening of Parliament's oversight capacity, and further improvements in tackling corruption (reflected in a Transparency International Corruption Perceptions' Index well above all other countries in the region).</w:t>
      </w:r>
    </w:p>
    <w:p w14:paraId="77F3C37F" w14:textId="77777777" w:rsidR="00374CBE" w:rsidRDefault="00374CBE" w:rsidP="00374CBE"/>
    <w:p w14:paraId="5D9FDBAB" w14:textId="77777777" w:rsidR="00374CBE" w:rsidRDefault="00374CBE" w:rsidP="00374CBE">
      <w:pPr>
        <w:widowControl w:val="0"/>
        <w:suppressAutoHyphens/>
      </w:pPr>
      <w:r>
        <w:t xml:space="preserve">With respect to the General Condition on Budget Transparency and Oversight, </w:t>
      </w:r>
      <w:r w:rsidRPr="00DB2B66">
        <w:t xml:space="preserve">the Government </w:t>
      </w:r>
      <w:r>
        <w:t xml:space="preserve">not only </w:t>
      </w:r>
      <w:r w:rsidRPr="00DB2B66">
        <w:t xml:space="preserve">meets the baseline for eligibility </w:t>
      </w:r>
      <w:r>
        <w:t xml:space="preserve">(publication of the draft and adopted budget) but also the </w:t>
      </w:r>
      <w:r w:rsidRPr="00DB2B66">
        <w:t xml:space="preserve">requirement for progress in the public availability of accessible, timely, comprehensive, and sound budgetary information. </w:t>
      </w:r>
      <w:r>
        <w:t xml:space="preserve">Indeed a recent update of the Open Budget Survey in December 2016 (based on data collected for publication of a new OBS in 2017) points to a further improvement, with all eight key documents used in the OBS assessment now publicly available, as opposed to only seven in the 2015 OBS. Noteworthy also is the score of 100/100 in the 2015 OBS for oversight by the State Audit Office, and 73/100 for Parliamentary oversight. </w:t>
      </w:r>
    </w:p>
    <w:p w14:paraId="58BB04C3" w14:textId="77777777" w:rsidR="00374CBE" w:rsidRDefault="00374CBE" w:rsidP="00374CBE"/>
    <w:p w14:paraId="19B29E49" w14:textId="77777777" w:rsidR="00374CBE" w:rsidRDefault="00374CBE" w:rsidP="00374CBE">
      <w:pPr>
        <w:pStyle w:val="Heading2"/>
      </w:pPr>
      <w:bookmarkStart w:id="5" w:name="_Toc486837742"/>
      <w:r>
        <w:t>d)</w:t>
      </w:r>
      <w:r>
        <w:tab/>
        <w:t>Compliance with the Specific Conditions</w:t>
      </w:r>
      <w:bookmarkEnd w:id="5"/>
    </w:p>
    <w:p w14:paraId="746F0A24" w14:textId="77777777" w:rsidR="00374CBE" w:rsidRDefault="00374CBE" w:rsidP="00374CBE"/>
    <w:p w14:paraId="62E50D0C" w14:textId="77777777" w:rsidR="00374CBE" w:rsidRDefault="00374CBE" w:rsidP="00374CBE">
      <w:pPr>
        <w:pStyle w:val="Heading3"/>
      </w:pPr>
      <w:bookmarkStart w:id="6" w:name="_Toc486837743"/>
      <w:r>
        <w:t>i)</w:t>
      </w:r>
      <w:r>
        <w:tab/>
        <w:t>Component 1: Effective Labour Market Management.</w:t>
      </w:r>
      <w:bookmarkEnd w:id="6"/>
    </w:p>
    <w:p w14:paraId="08327CE0" w14:textId="77777777" w:rsidR="00374CBE" w:rsidRDefault="00374CBE" w:rsidP="00374CBE"/>
    <w:p w14:paraId="13ED45FD" w14:textId="77777777" w:rsidR="00374CBE" w:rsidRDefault="00374CBE" w:rsidP="00374CBE">
      <w:pPr>
        <w:rPr>
          <w:b/>
          <w:bCs/>
          <w:i/>
          <w:lang w:eastAsia="en-GB"/>
        </w:rPr>
      </w:pPr>
      <w:r w:rsidRPr="0095050A">
        <w:rPr>
          <w:b/>
          <w:bCs/>
          <w:u w:val="single"/>
        </w:rPr>
        <w:t>Specific Condition 1.1</w:t>
      </w:r>
      <w:r>
        <w:rPr>
          <w:b/>
          <w:bCs/>
        </w:rPr>
        <w:t>:</w:t>
      </w:r>
      <w:r>
        <w:rPr>
          <w:b/>
          <w:bCs/>
          <w:lang w:eastAsia="en-GB"/>
        </w:rPr>
        <w:t xml:space="preserve"> </w:t>
      </w:r>
      <w:r w:rsidRPr="0095050A">
        <w:rPr>
          <w:b/>
          <w:bCs/>
          <w:i/>
          <w:lang w:eastAsia="en-GB"/>
        </w:rPr>
        <w:t>Reliable and sustainable labour market information and forecasting</w:t>
      </w:r>
      <w:r>
        <w:rPr>
          <w:b/>
          <w:bCs/>
          <w:i/>
          <w:lang w:eastAsia="en-GB"/>
        </w:rPr>
        <w:t>.</w:t>
      </w:r>
    </w:p>
    <w:p w14:paraId="10A2BF9F" w14:textId="77777777" w:rsidR="00374CBE" w:rsidRDefault="00374CBE" w:rsidP="00374CBE">
      <w:pPr>
        <w:rPr>
          <w:b/>
          <w:bCs/>
          <w:i/>
          <w:lang w:eastAsia="en-GB"/>
        </w:rPr>
      </w:pPr>
    </w:p>
    <w:p w14:paraId="4E9DFFE4" w14:textId="77777777" w:rsidR="00374CBE" w:rsidRPr="0095050A" w:rsidRDefault="00374CBE" w:rsidP="00374CBE">
      <w:pPr>
        <w:rPr>
          <w:b/>
          <w:bCs/>
        </w:rPr>
      </w:pPr>
      <w:r w:rsidRPr="0095050A">
        <w:rPr>
          <w:b/>
          <w:bCs/>
          <w:lang w:eastAsia="en-GB"/>
        </w:rPr>
        <w:t>Review Assessment</w:t>
      </w:r>
      <w:r w:rsidRPr="0095050A">
        <w:rPr>
          <w:b/>
          <w:bCs/>
        </w:rPr>
        <w:t xml:space="preserve">: compliance. </w:t>
      </w:r>
    </w:p>
    <w:p w14:paraId="1E6EB276" w14:textId="77777777" w:rsidR="00374CBE" w:rsidRPr="0095050A" w:rsidRDefault="00374CBE" w:rsidP="00374CBE">
      <w:pPr>
        <w:rPr>
          <w:bCs/>
        </w:rPr>
      </w:pPr>
      <w:r w:rsidRPr="0095050A">
        <w:rPr>
          <w:bCs/>
        </w:rPr>
        <w:t>(Potential value: €1.0mn; Score: 1.00; Recommended funds release: €1.0mn)</w:t>
      </w:r>
    </w:p>
    <w:p w14:paraId="17C10A2C" w14:textId="77777777" w:rsidR="00374CBE" w:rsidRDefault="00374CBE" w:rsidP="00374CBE"/>
    <w:p w14:paraId="63B00164" w14:textId="77777777" w:rsidR="00374CBE" w:rsidRDefault="00374CBE" w:rsidP="00374CBE">
      <w:pPr>
        <w:rPr>
          <w:b/>
          <w:bCs/>
        </w:rPr>
      </w:pPr>
      <w:r>
        <w:rPr>
          <w:b/>
          <w:bCs/>
          <w:u w:val="single"/>
        </w:rPr>
        <w:t>Indicator 1.1.1</w:t>
      </w:r>
      <w:r w:rsidRPr="00710394">
        <w:rPr>
          <w:b/>
          <w:bCs/>
        </w:rPr>
        <w:t>:</w:t>
      </w:r>
      <w:r w:rsidRPr="00710394">
        <w:rPr>
          <w:b/>
          <w:bCs/>
          <w:iCs/>
          <w:lang w:eastAsia="en-GB"/>
        </w:rPr>
        <w:t xml:space="preserve"> implementation of LMIS action plan -</w:t>
      </w:r>
      <w:r>
        <w:rPr>
          <w:b/>
          <w:bCs/>
          <w:i/>
          <w:iCs/>
          <w:lang w:eastAsia="en-GB"/>
        </w:rPr>
        <w:t xml:space="preserve"> </w:t>
      </w:r>
      <w:r>
        <w:rPr>
          <w:b/>
          <w:bCs/>
        </w:rPr>
        <w:t>fulfilled.</w:t>
      </w:r>
    </w:p>
    <w:p w14:paraId="72323723" w14:textId="77777777" w:rsidR="00374CBE" w:rsidRDefault="00374CBE" w:rsidP="00374CBE"/>
    <w:p w14:paraId="0B7A2371" w14:textId="4397F068" w:rsidR="00374CBE" w:rsidRDefault="00374CBE" w:rsidP="00374CBE">
      <w:r>
        <w:t>The LMIS implementation Action Plan was approved with the LMIS Concept Paper ('Concept o</w:t>
      </w:r>
      <w:r w:rsidRPr="00145868">
        <w:t xml:space="preserve">f Introduction </w:t>
      </w:r>
      <w:r>
        <w:t>a</w:t>
      </w:r>
      <w:r w:rsidRPr="00145868">
        <w:t xml:space="preserve">nd Development </w:t>
      </w:r>
      <w:r>
        <w:t>o</w:t>
      </w:r>
      <w:r w:rsidRPr="00145868">
        <w:t xml:space="preserve">f </w:t>
      </w:r>
      <w:r>
        <w:t>t</w:t>
      </w:r>
      <w:r w:rsidRPr="00145868">
        <w:t>he Labour Market Information System')</w:t>
      </w:r>
      <w:r>
        <w:t xml:space="preserve"> by Government Resolution No.733 of the 26th of December 2014 (fulfilling Second Instalment Indicator 1.1.2). The Action Plan was included as Annex 1.1 of the Resolution. The Action Plan envisaged the establishment of the LMIS</w:t>
      </w:r>
      <w:r w:rsidRPr="007E31CD">
        <w:t xml:space="preserve"> </w:t>
      </w:r>
      <w:r>
        <w:t xml:space="preserve">as a progressive activity over four years, from 2015 to 2018. Nine of the fifteen activities in the Action Plan were scheduled for completion in either 2015 or 2016, </w:t>
      </w:r>
      <w:r w:rsidR="00027DAC">
        <w:t xml:space="preserve">the period relevant for fulfilment of this Indicator, </w:t>
      </w:r>
      <w:r>
        <w:t xml:space="preserve">with the other six as ongoing in 2016. Funding was specified for several activities, totalling GEL350,000 in 2015 and GEL900,000 in 2016. </w:t>
      </w:r>
    </w:p>
    <w:p w14:paraId="67AE64EA" w14:textId="77777777" w:rsidR="00374CBE" w:rsidRDefault="00374CBE" w:rsidP="00374CBE"/>
    <w:p w14:paraId="28624E0F" w14:textId="16854D58" w:rsidR="00374CBE" w:rsidRPr="00210196" w:rsidRDefault="00AE2455" w:rsidP="00374CBE">
      <w:r>
        <w:t xml:space="preserve">Although requested by the Review, </w:t>
      </w:r>
      <w:r w:rsidR="00374CBE">
        <w:t xml:space="preserve">MoLHSA did not provide a progress report against the LMIS Action Plan as such, but an analysis of actions undertaken, completed and ongoing suggests that activities, although delayed in some respects, have continued broadly on schedule and an impressive LMIS has been developed and </w:t>
      </w:r>
      <w:r>
        <w:t>ha</w:t>
      </w:r>
      <w:r w:rsidR="00374CBE">
        <w:t>s</w:t>
      </w:r>
      <w:r>
        <w:t xml:space="preserve"> been</w:t>
      </w:r>
      <w:r w:rsidR="00374CBE">
        <w:t xml:space="preserve"> </w:t>
      </w:r>
      <w:r>
        <w:t xml:space="preserve">publicly </w:t>
      </w:r>
      <w:r w:rsidR="00374CBE">
        <w:t xml:space="preserve">available through </w:t>
      </w:r>
      <w:r w:rsidR="00374CBE">
        <w:rPr>
          <w:bCs/>
          <w:color w:val="000000"/>
        </w:rPr>
        <w:t xml:space="preserve">the web portal: </w:t>
      </w:r>
      <w:r w:rsidR="00374CBE" w:rsidRPr="005F3D98">
        <w:rPr>
          <w:rFonts w:eastAsia="Times New Roman" w:cs="Arial"/>
          <w:bCs/>
          <w:i/>
          <w:color w:val="000000"/>
          <w:lang w:eastAsia="en-GB"/>
        </w:rPr>
        <w:t xml:space="preserve">“Plan </w:t>
      </w:r>
      <w:r w:rsidR="00374CBE">
        <w:rPr>
          <w:bCs/>
          <w:i/>
          <w:color w:val="000000"/>
        </w:rPr>
        <w:t>the Future” (www.labour.gov.ge</w:t>
      </w:r>
      <w:r w:rsidR="00374CBE" w:rsidRPr="00210196">
        <w:rPr>
          <w:bCs/>
          <w:color w:val="000000"/>
        </w:rPr>
        <w:t>)</w:t>
      </w:r>
      <w:r>
        <w:rPr>
          <w:bCs/>
          <w:color w:val="000000"/>
        </w:rPr>
        <w:t xml:space="preserve"> since late December 2016</w:t>
      </w:r>
      <w:r w:rsidR="00374CBE" w:rsidRPr="00210196">
        <w:rPr>
          <w:bCs/>
          <w:color w:val="000000"/>
        </w:rPr>
        <w:t xml:space="preserve">. </w:t>
      </w:r>
      <w:r>
        <w:rPr>
          <w:bCs/>
          <w:color w:val="000000"/>
        </w:rPr>
        <w:t xml:space="preserve">Just under 2,000 </w:t>
      </w:r>
      <w:r w:rsidR="00374CBE" w:rsidRPr="00210196">
        <w:rPr>
          <w:bCs/>
          <w:color w:val="000000"/>
        </w:rPr>
        <w:t>hits ha</w:t>
      </w:r>
      <w:r>
        <w:rPr>
          <w:bCs/>
          <w:color w:val="000000"/>
        </w:rPr>
        <w:t xml:space="preserve">d </w:t>
      </w:r>
      <w:r w:rsidR="00374CBE" w:rsidRPr="00210196">
        <w:rPr>
          <w:bCs/>
          <w:color w:val="000000"/>
        </w:rPr>
        <w:t>already been recorded</w:t>
      </w:r>
      <w:r>
        <w:rPr>
          <w:bCs/>
          <w:color w:val="000000"/>
        </w:rPr>
        <w:t xml:space="preserve"> by the time of the Review.</w:t>
      </w:r>
      <w:r w:rsidR="00374CBE" w:rsidRPr="00210196">
        <w:rPr>
          <w:bCs/>
          <w:color w:val="000000"/>
        </w:rPr>
        <w:t>.</w:t>
      </w:r>
    </w:p>
    <w:p w14:paraId="5E596240" w14:textId="77777777" w:rsidR="00374CBE" w:rsidRDefault="00374CBE" w:rsidP="00374CBE"/>
    <w:p w14:paraId="261B120F" w14:textId="7A8B52A6" w:rsidR="00374CBE" w:rsidRDefault="00374CBE" w:rsidP="00374CBE">
      <w:r>
        <w:t xml:space="preserve">MoLHSA did, however, provide a progress report against the 2015-2018 Action Plan for the State Strategy on the Formation of the Labour Market in Georgia, approved </w:t>
      </w:r>
      <w:r w:rsidRPr="00B36E88">
        <w:rPr>
          <w:rFonts w:cs="Arial"/>
        </w:rPr>
        <w:t xml:space="preserve">by Government </w:t>
      </w:r>
      <w:r w:rsidRPr="00B36E88">
        <w:rPr>
          <w:rFonts w:cs="Arial"/>
        </w:rPr>
        <w:lastRenderedPageBreak/>
        <w:t>Resolution No.732 of the 26th December 2014 as the Labour Market R</w:t>
      </w:r>
      <w:r>
        <w:t>eform Strategy</w:t>
      </w:r>
      <w:r w:rsidR="00027DAC">
        <w:rPr>
          <w:rStyle w:val="FootnoteReference"/>
        </w:rPr>
        <w:footnoteReference w:id="4"/>
      </w:r>
      <w:r>
        <w:t>. The 4th Priority of the Strategy Action Plan is Institutionalisation of Labour Market Research and Development and Improvement of the Information Base” under which Activities 4.9 (“Developing and Approving the LMIS Strategy and AP”) and 4.10 (“LMIS introduction/development”), and GEL200,000 for 2016 for activity 4.11 (“Conducting of Special Studies based on LMIS outputs”), directly relate to the LMIS. Sufficient progress is reported to conclude that development of the LMIS is broadly on schedule.</w:t>
      </w:r>
    </w:p>
    <w:p w14:paraId="779096FF" w14:textId="77777777" w:rsidR="00374CBE" w:rsidRDefault="00374CBE" w:rsidP="00374CBE"/>
    <w:p w14:paraId="00FDB4C5" w14:textId="7382124D" w:rsidR="00374CBE" w:rsidRDefault="00374CBE" w:rsidP="00374CBE">
      <w:r>
        <w:t xml:space="preserve">Generally speaking, therefore, while there have been delays in implementation, the development of the LMIS is broadly on-track, in-line with the schedule of the </w:t>
      </w:r>
      <w:r w:rsidR="00E55184">
        <w:t>implementation</w:t>
      </w:r>
      <w:r>
        <w:t xml:space="preserve"> Action Plan</w:t>
      </w:r>
      <w:r w:rsidR="00AE2455">
        <w:t>, and as a result fulfilling the requirements of the Indicator</w:t>
      </w:r>
      <w:r>
        <w:t>. There remains much to be done, especially in providing up-to-date and forecast data and relevant analysis, but the existing website is a good start and in line with expectations.</w:t>
      </w:r>
    </w:p>
    <w:p w14:paraId="200C8E0F" w14:textId="77777777" w:rsidR="00374CBE" w:rsidRDefault="00374CBE" w:rsidP="00374CBE"/>
    <w:p w14:paraId="1CB29A89" w14:textId="77777777" w:rsidR="00374CBE" w:rsidRDefault="00374CBE" w:rsidP="00374CBE">
      <w:pPr>
        <w:rPr>
          <w:b/>
          <w:bCs/>
        </w:rPr>
      </w:pPr>
      <w:r>
        <w:rPr>
          <w:b/>
          <w:bCs/>
          <w:u w:val="single"/>
        </w:rPr>
        <w:t>Indicator 1.1.2</w:t>
      </w:r>
      <w:r w:rsidRPr="00710394">
        <w:rPr>
          <w:b/>
          <w:bCs/>
        </w:rPr>
        <w:t xml:space="preserve">: annual report on labour market demand - </w:t>
      </w:r>
      <w:r>
        <w:rPr>
          <w:b/>
          <w:bCs/>
        </w:rPr>
        <w:t>fulfilled.</w:t>
      </w:r>
    </w:p>
    <w:p w14:paraId="0ADF4AE2" w14:textId="77777777" w:rsidR="00374CBE" w:rsidRDefault="00374CBE" w:rsidP="00374CBE"/>
    <w:p w14:paraId="33487869" w14:textId="12F4D57B" w:rsidR="00374CBE" w:rsidRDefault="00374CBE" w:rsidP="00374CBE">
      <w:r>
        <w:t>The LMIS is still under development, but the website (</w:t>
      </w:r>
      <w:r w:rsidRPr="005D565C">
        <w:rPr>
          <w:rStyle w:val="Hyperlink"/>
        </w:rPr>
        <w:t>labour.gov.ge</w:t>
      </w:r>
      <w:r>
        <w:t xml:space="preserve">) is impressive and includes many key elements. The site allows links to a variety of existing sources of information of interest to jobseekers, including the SSA's ESS </w:t>
      </w:r>
      <w:r w:rsidRPr="00564EFC">
        <w:rPr>
          <w:rStyle w:val="Hyperlink"/>
        </w:rPr>
        <w:t>worknet.ge</w:t>
      </w:r>
      <w:r w:rsidRPr="00564EFC">
        <w:t xml:space="preserve"> (see Indicator 1.2.1 below),</w:t>
      </w:r>
      <w:r>
        <w:t xml:space="preserve"> MoSYA's </w:t>
      </w:r>
      <w:r w:rsidRPr="00564EFC">
        <w:rPr>
          <w:rStyle w:val="Hyperlink"/>
        </w:rPr>
        <w:t>myprofession.ge</w:t>
      </w:r>
      <w:r>
        <w:t xml:space="preserve">, and MoES's </w:t>
      </w:r>
      <w:r w:rsidRPr="00564EFC">
        <w:rPr>
          <w:rStyle w:val="Hyperlink"/>
        </w:rPr>
        <w:t>vet.ge</w:t>
      </w:r>
      <w:r>
        <w:t xml:space="preserve"> information on VET provision, as well as data on economic activity and employment over the last few years broken down by gender, region, profession, educational attainment (although not NQF level as such), etc. including all the categories specified for reporting in this Indicator, often through a variety of informative graphics, although in many cases the latest information displayed was for 2014/5. The information is received directly from a variety of different data sources</w:t>
      </w:r>
      <w:r w:rsidR="00AE2455">
        <w:t>, though often</w:t>
      </w:r>
      <w:r>
        <w:t xml:space="preserve"> in incompatible formats that have required a lengthy process of reformatting, but this is expected to be addressed as the site is further developed. </w:t>
      </w:r>
    </w:p>
    <w:p w14:paraId="7E402E18" w14:textId="77777777" w:rsidR="00374CBE" w:rsidRDefault="00374CBE" w:rsidP="00374CBE"/>
    <w:p w14:paraId="7F353E05" w14:textId="55AE7F1D" w:rsidR="00374CBE" w:rsidRDefault="00AE2455" w:rsidP="00374CBE">
      <w:r>
        <w:t>T</w:t>
      </w:r>
      <w:r w:rsidR="00374CBE">
        <w:t xml:space="preserve">he reference to </w:t>
      </w:r>
      <w:r w:rsidR="00374CBE" w:rsidRPr="00E24635">
        <w:rPr>
          <w:i/>
        </w:rPr>
        <w:t>'annual reports</w:t>
      </w:r>
      <w:r w:rsidR="00374CBE">
        <w:t xml:space="preserve">' in the plural in the Indicator suggests an expectation that, with the framework for the LMIS set in 2014, development of the website would commence early in 2015 rather than late in 2016, such that by now there would have been annual reports for both 2015 and 2016. </w:t>
      </w:r>
      <w:r>
        <w:t>Delays in implementation, see Indicator 1.1.1 above, although not in themselves significant, have meant that only one annual report, for 2016, has been produced.</w:t>
      </w:r>
    </w:p>
    <w:p w14:paraId="3899529C" w14:textId="77777777" w:rsidR="00374CBE" w:rsidRDefault="00374CBE" w:rsidP="00374CBE"/>
    <w:p w14:paraId="6D02E9D6" w14:textId="32956C7B" w:rsidR="00374CBE" w:rsidRDefault="00374CBE" w:rsidP="00374CBE">
      <w:r>
        <w:t xml:space="preserve">Nonetheless, a 20 page report, entitled </w:t>
      </w:r>
      <w:r w:rsidRPr="00621844">
        <w:rPr>
          <w:i/>
        </w:rPr>
        <w:t>'The Labour Market Information System: 2016 Report</w:t>
      </w:r>
      <w:r>
        <w:t xml:space="preserve">' has been produced, uploaded onto the website in December 2016, but updated and modified with additional elements on </w:t>
      </w:r>
      <w:r w:rsidR="00491A51">
        <w:t xml:space="preserve">9th and </w:t>
      </w:r>
      <w:r>
        <w:t>24th March 2017. The report includes a review of VET key indicators, foreign direct investment, and employment, as well as information on the 'Start-up Georgia' State Programme, and some regional and international comparisons. Some elements are segregated by region, gender, age, occupations etc., sufficient to meet the Indicator, but not very comprehensively, and considerable work is needed on the format, style and content before the next report is produced, which should also contain forward projections on the economy and employment to help lead public and individual decisions on VET provision and career choice.</w:t>
      </w:r>
    </w:p>
    <w:p w14:paraId="23D1954E" w14:textId="77777777" w:rsidR="00374CBE" w:rsidRDefault="00374CBE" w:rsidP="00374CBE"/>
    <w:p w14:paraId="3A598DCE" w14:textId="77777777" w:rsidR="00374CBE" w:rsidRDefault="00374CBE" w:rsidP="00374CBE">
      <w:pPr>
        <w:rPr>
          <w:b/>
          <w:bCs/>
        </w:rPr>
      </w:pPr>
      <w:r w:rsidRPr="0095050A">
        <w:rPr>
          <w:b/>
          <w:bCs/>
          <w:u w:val="single"/>
        </w:rPr>
        <w:t>Specific Condition 1.2</w:t>
      </w:r>
      <w:r>
        <w:rPr>
          <w:b/>
          <w:bCs/>
        </w:rPr>
        <w:t>:</w:t>
      </w:r>
      <w:r>
        <w:rPr>
          <w:b/>
          <w:bCs/>
          <w:lang w:eastAsia="en-GB"/>
        </w:rPr>
        <w:t xml:space="preserve"> </w:t>
      </w:r>
      <w:r w:rsidRPr="0095050A">
        <w:rPr>
          <w:b/>
          <w:bCs/>
          <w:i/>
          <w:lang w:eastAsia="en-GB"/>
        </w:rPr>
        <w:t>Improved Quality of Employment Support Services</w:t>
      </w:r>
      <w:r>
        <w:rPr>
          <w:b/>
          <w:bCs/>
        </w:rPr>
        <w:t xml:space="preserve">. </w:t>
      </w:r>
    </w:p>
    <w:p w14:paraId="18A1E1B8" w14:textId="77777777" w:rsidR="00374CBE" w:rsidRDefault="00374CBE" w:rsidP="00374CBE">
      <w:pPr>
        <w:rPr>
          <w:b/>
          <w:bCs/>
          <w:i/>
          <w:lang w:eastAsia="en-GB"/>
        </w:rPr>
      </w:pPr>
    </w:p>
    <w:p w14:paraId="155D0712" w14:textId="77777777" w:rsidR="00374CBE" w:rsidRPr="0095050A" w:rsidRDefault="00374CBE" w:rsidP="00374CBE">
      <w:pPr>
        <w:rPr>
          <w:b/>
          <w:bCs/>
        </w:rPr>
      </w:pPr>
      <w:r w:rsidRPr="0095050A">
        <w:rPr>
          <w:b/>
          <w:bCs/>
          <w:lang w:eastAsia="en-GB"/>
        </w:rPr>
        <w:t>Review Assessment</w:t>
      </w:r>
      <w:r w:rsidRPr="0095050A">
        <w:rPr>
          <w:b/>
          <w:bCs/>
        </w:rPr>
        <w:t xml:space="preserve">: compliance. </w:t>
      </w:r>
    </w:p>
    <w:p w14:paraId="2CE4EBFF" w14:textId="77777777" w:rsidR="00374CBE" w:rsidRPr="0095050A" w:rsidRDefault="00374CBE" w:rsidP="00374CBE">
      <w:pPr>
        <w:rPr>
          <w:bCs/>
        </w:rPr>
      </w:pPr>
      <w:r w:rsidRPr="0095050A">
        <w:rPr>
          <w:bCs/>
        </w:rPr>
        <w:t>(Potential value: €1.0mn; Score: 1.00; Recommended funds release: €1.0mn)</w:t>
      </w:r>
    </w:p>
    <w:p w14:paraId="653E60CA" w14:textId="77777777" w:rsidR="00374CBE" w:rsidRDefault="00374CBE" w:rsidP="00374CBE"/>
    <w:p w14:paraId="25140658" w14:textId="77777777" w:rsidR="00374CBE" w:rsidRDefault="00374CBE" w:rsidP="00374CBE">
      <w:pPr>
        <w:rPr>
          <w:b/>
          <w:bCs/>
        </w:rPr>
      </w:pPr>
      <w:r>
        <w:rPr>
          <w:b/>
          <w:bCs/>
          <w:u w:val="single"/>
        </w:rPr>
        <w:t>Indicator 1.2.1</w:t>
      </w:r>
      <w:r>
        <w:rPr>
          <w:b/>
          <w:bCs/>
        </w:rPr>
        <w:t>: report on ESS activities - fulfilled.</w:t>
      </w:r>
    </w:p>
    <w:p w14:paraId="0C441319" w14:textId="77777777" w:rsidR="00374CBE" w:rsidRDefault="00374CBE" w:rsidP="00374CBE">
      <w:pPr>
        <w:rPr>
          <w:lang w:eastAsia="en-GB"/>
        </w:rPr>
      </w:pPr>
    </w:p>
    <w:p w14:paraId="2A9D513E" w14:textId="77777777" w:rsidR="00374CBE" w:rsidRPr="004E11C7" w:rsidRDefault="00374CBE" w:rsidP="00374CBE">
      <w:pPr>
        <w:widowControl w:val="0"/>
        <w:suppressAutoHyphens/>
      </w:pPr>
      <w:r>
        <w:lastRenderedPageBreak/>
        <w:t>The</w:t>
      </w:r>
      <w:r w:rsidRPr="004E11C7">
        <w:t xml:space="preserve"> </w:t>
      </w:r>
      <w:r>
        <w:t xml:space="preserve">ESS in Georgia is a central feature of Government's decision to introduce active labour market policies (ALMP) in Georgia. The primary objective </w:t>
      </w:r>
      <w:r w:rsidRPr="004E11C7">
        <w:t xml:space="preserve">of the ESS </w:t>
      </w:r>
      <w:r>
        <w:t xml:space="preserve">is to marry employment opportunities (job vacancies) with suitably qualified jobseekers, whether unemployed or employed but interested in career development. The central feature of ESS operations </w:t>
      </w:r>
      <w:r w:rsidRPr="004E11C7">
        <w:t>over the last couple of years has been the establishment of a website to support jobseekers (both employed and unemployed) find employment. The database includes registered jobseekers and vacancies posted by employers and has been progressively used by the ESS to</w:t>
      </w:r>
      <w:r>
        <w:t xml:space="preserve"> assist both job</w:t>
      </w:r>
      <w:r w:rsidRPr="004E11C7">
        <w:t xml:space="preserve">seekers to identify relevant employment opportunities and employers to find job-seekers with relevant skills and experience. </w:t>
      </w:r>
      <w:r>
        <w:t>Evidence provided by SSA suggests a significant expansion in 2016 in both the number of active jobseekers and the inclusion of employer vacancies</w:t>
      </w:r>
      <w:r w:rsidRPr="004E11C7">
        <w:t>.</w:t>
      </w:r>
      <w:r>
        <w:t xml:space="preserve"> A pilot project in the last six months of 2016, supported by EU through a Twinning Project, has promoted a 'New Service Model', primarily focussed on attracting employers to provide information about vacancies. ESS actively informs jobseekers about vacancies that meet their qualifications, and also provides counselling to jobseekers on opportunities and, where appropriate, the need for reskilling (for which there is a special state funded programme), and pays particular attention to the needs of people with disabilities (including through job coaches and an employment subsidy to compensate employers).</w:t>
      </w:r>
    </w:p>
    <w:p w14:paraId="704282F9" w14:textId="77777777" w:rsidR="00374CBE" w:rsidRPr="00AA4BC7" w:rsidRDefault="00374CBE" w:rsidP="00374CBE">
      <w:pPr>
        <w:widowControl w:val="0"/>
        <w:suppressAutoHyphens/>
      </w:pPr>
    </w:p>
    <w:p w14:paraId="42A7874A" w14:textId="77777777" w:rsidR="00374CBE" w:rsidRDefault="00374CBE" w:rsidP="00374CBE">
      <w:pPr>
        <w:widowControl w:val="0"/>
        <w:suppressAutoHyphens/>
      </w:pPr>
      <w:r>
        <w:t>SSA provided MoLHSA on February 17th with a three-part '</w:t>
      </w:r>
      <w:r w:rsidRPr="009E3730">
        <w:rPr>
          <w:i/>
        </w:rPr>
        <w:t>Report on the Functioning of Employment Support Services'</w:t>
      </w:r>
      <w:r>
        <w:t xml:space="preserve"> covering ESS activities over 2016 in connection with implementation of the '</w:t>
      </w:r>
      <w:r w:rsidRPr="009E3730">
        <w:rPr>
          <w:i/>
        </w:rPr>
        <w:t>Employment Support Services Development State Programme'</w:t>
      </w:r>
      <w:r>
        <w:t>, approved by Government Resolution No.333 of 18th July 2016, implementation of the '</w:t>
      </w:r>
      <w:r w:rsidRPr="00096606">
        <w:rPr>
          <w:i/>
        </w:rPr>
        <w:t>Jobseekers' Vocational Training and Quality Enhancement State Programme</w:t>
      </w:r>
      <w:r>
        <w:t>', approved by Government Resolution No.238 of 2nd June 2016, and '</w:t>
      </w:r>
      <w:r w:rsidRPr="00096606">
        <w:rPr>
          <w:i/>
        </w:rPr>
        <w:t>Customer Feedback to Improve Employment Support Services</w:t>
      </w:r>
      <w:r>
        <w:t>'. Jobseeker responses to interview questionnaires from employment fora and group consultations from across the country are attached to the report as annexes. MoLHSA shared the report with stakeholders through the working group (whose members include the social partners), and NVETC and EVET Council meetings in March 2017.</w:t>
      </w:r>
    </w:p>
    <w:p w14:paraId="2FFDED0A" w14:textId="77777777" w:rsidR="00374CBE" w:rsidRDefault="00374CBE" w:rsidP="00374CBE"/>
    <w:p w14:paraId="3B7B533A" w14:textId="77777777" w:rsidR="00374CBE" w:rsidRDefault="00374CBE" w:rsidP="00374CBE">
      <w:pPr>
        <w:pStyle w:val="Heading3"/>
      </w:pPr>
      <w:bookmarkStart w:id="7" w:name="_Toc486837744"/>
      <w:r>
        <w:t>ii)</w:t>
      </w:r>
      <w:r>
        <w:tab/>
        <w:t xml:space="preserve">Component 2: </w:t>
      </w:r>
      <w:r>
        <w:rPr>
          <w:lang w:eastAsia="en-GB"/>
        </w:rPr>
        <w:t>Enhanced Quality and Relevance of VET System</w:t>
      </w:r>
      <w:r>
        <w:t>.</w:t>
      </w:r>
      <w:bookmarkEnd w:id="7"/>
    </w:p>
    <w:p w14:paraId="0534B390" w14:textId="77777777" w:rsidR="00374CBE" w:rsidRDefault="00374CBE" w:rsidP="00374CBE"/>
    <w:p w14:paraId="51D94678" w14:textId="77777777" w:rsidR="00374CBE" w:rsidRDefault="00374CBE" w:rsidP="00374CBE">
      <w:pPr>
        <w:ind w:right="578"/>
        <w:rPr>
          <w:b/>
          <w:bCs/>
        </w:rPr>
      </w:pPr>
      <w:r w:rsidRPr="0095050A">
        <w:rPr>
          <w:b/>
          <w:bCs/>
          <w:u w:val="single"/>
        </w:rPr>
        <w:t>Specific Condition 2.1</w:t>
      </w:r>
      <w:r>
        <w:rPr>
          <w:b/>
          <w:bCs/>
        </w:rPr>
        <w:t>:</w:t>
      </w:r>
      <w:r>
        <w:rPr>
          <w:b/>
          <w:bCs/>
          <w:lang w:eastAsia="en-GB"/>
        </w:rPr>
        <w:t xml:space="preserve"> </w:t>
      </w:r>
      <w:r w:rsidRPr="0095050A">
        <w:rPr>
          <w:b/>
          <w:bCs/>
          <w:i/>
          <w:lang w:eastAsia="en-GB"/>
        </w:rPr>
        <w:t>Enhanced matching of skills provided by the VET system with the needs of the labour market.</w:t>
      </w:r>
    </w:p>
    <w:p w14:paraId="17715B6A" w14:textId="77777777" w:rsidR="00374CBE" w:rsidRDefault="00374CBE" w:rsidP="00374CBE">
      <w:pPr>
        <w:rPr>
          <w:b/>
          <w:bCs/>
          <w:i/>
          <w:lang w:eastAsia="en-GB"/>
        </w:rPr>
      </w:pPr>
    </w:p>
    <w:p w14:paraId="72CCA19C" w14:textId="77777777" w:rsidR="00374CBE" w:rsidRPr="0095050A" w:rsidRDefault="00374CBE" w:rsidP="00374CBE">
      <w:pPr>
        <w:rPr>
          <w:b/>
          <w:bCs/>
        </w:rPr>
      </w:pPr>
      <w:r w:rsidRPr="0095050A">
        <w:rPr>
          <w:b/>
          <w:bCs/>
          <w:lang w:eastAsia="en-GB"/>
        </w:rPr>
        <w:t>Review Assessment</w:t>
      </w:r>
      <w:r w:rsidRPr="0095050A">
        <w:rPr>
          <w:b/>
          <w:bCs/>
        </w:rPr>
        <w:t xml:space="preserve">: compliance. </w:t>
      </w:r>
    </w:p>
    <w:p w14:paraId="2F60CF0A" w14:textId="77777777" w:rsidR="00374CBE" w:rsidRPr="0095050A" w:rsidRDefault="00374CBE" w:rsidP="00374CBE">
      <w:pPr>
        <w:rPr>
          <w:bCs/>
        </w:rPr>
      </w:pPr>
      <w:r w:rsidRPr="0095050A">
        <w:rPr>
          <w:bCs/>
        </w:rPr>
        <w:t>(Potential value: €1.0mn; Score: 1.00; Recommended funds release: €1.0mn)</w:t>
      </w:r>
    </w:p>
    <w:p w14:paraId="2FF385BB" w14:textId="77777777" w:rsidR="00374CBE" w:rsidRDefault="00374CBE" w:rsidP="00374CBE"/>
    <w:p w14:paraId="2C5E1B45" w14:textId="77777777" w:rsidR="00374CBE" w:rsidRDefault="00374CBE" w:rsidP="00374CBE">
      <w:pPr>
        <w:ind w:right="26"/>
        <w:rPr>
          <w:b/>
          <w:bCs/>
        </w:rPr>
      </w:pPr>
      <w:r>
        <w:rPr>
          <w:b/>
          <w:bCs/>
          <w:u w:val="single"/>
        </w:rPr>
        <w:t>Indicator 2.1.1</w:t>
      </w:r>
      <w:r>
        <w:rPr>
          <w:b/>
          <w:bCs/>
        </w:rPr>
        <w:t>: new VET curricula - fulfilled.</w:t>
      </w:r>
    </w:p>
    <w:p w14:paraId="3148F2B8" w14:textId="77777777" w:rsidR="00374CBE" w:rsidRDefault="00374CBE" w:rsidP="00374CBE">
      <w:pPr>
        <w:ind w:right="26"/>
      </w:pPr>
    </w:p>
    <w:p w14:paraId="56944FB7" w14:textId="77777777" w:rsidR="00374CBE" w:rsidRDefault="00374CBE" w:rsidP="00374CBE">
      <w:pPr>
        <w:ind w:right="26"/>
      </w:pPr>
      <w:r>
        <w:t xml:space="preserve">26 new curricula were approved by NCEQE Order No.249 of 7th April 2016, based on occupational standards (OS) developed through participation of Sectoral Committees (SC) and approved by NCEQE Order No.248 of 6th April 2016. Curricula for another 20 qualifications, based on OS developed in 2016 and approved by a series of subsequent NCEQE Orders in 2016 were scheduled for approval in 2017. </w:t>
      </w:r>
    </w:p>
    <w:p w14:paraId="12C2F547" w14:textId="77777777" w:rsidR="00374CBE" w:rsidRDefault="00374CBE" w:rsidP="00374CBE">
      <w:pPr>
        <w:ind w:right="26"/>
      </w:pPr>
    </w:p>
    <w:p w14:paraId="5C485771" w14:textId="77777777" w:rsidR="00374CBE" w:rsidRDefault="00374CBE" w:rsidP="00374CBE">
      <w:pPr>
        <w:ind w:right="26"/>
      </w:pPr>
      <w:r>
        <w:t>While the postponement of a new comprehensive NQF until adoption of the proposed new VET Law, anticipated later in 2017, renders consideration of the curricula's complementarity premature, they are in line with the policy to transfer all programmes to modular format (now expected by autumn 2019) and are reflected in the updated catalogue of OS, and both curricula and OS are available on the NCEQE and VET websites</w:t>
      </w:r>
      <w:r w:rsidRPr="00F303FB">
        <w:t xml:space="preserve"> </w:t>
      </w:r>
      <w:r>
        <w:t>(</w:t>
      </w:r>
      <w:hyperlink r:id="rId11" w:history="1">
        <w:r w:rsidRPr="00F303FB">
          <w:rPr>
            <w:rStyle w:val="Hyperlink"/>
          </w:rPr>
          <w:t>www.vet.ge</w:t>
        </w:r>
      </w:hyperlink>
      <w:r w:rsidRPr="00F303FB">
        <w:t xml:space="preserve"> </w:t>
      </w:r>
      <w:hyperlink r:id="rId12" w:history="1">
        <w:r w:rsidRPr="00F303FB">
          <w:rPr>
            <w:rStyle w:val="Hyperlink"/>
          </w:rPr>
          <w:t>www.eqe.ge</w:t>
        </w:r>
      </w:hyperlink>
      <w:r>
        <w:t>).</w:t>
      </w:r>
    </w:p>
    <w:p w14:paraId="5E4F8229" w14:textId="77777777" w:rsidR="00374CBE" w:rsidRDefault="00374CBE" w:rsidP="00374CBE"/>
    <w:p w14:paraId="2B413F41" w14:textId="77777777" w:rsidR="00374CBE" w:rsidRDefault="00374CBE" w:rsidP="00374CBE">
      <w:pPr>
        <w:ind w:right="26"/>
        <w:rPr>
          <w:b/>
          <w:bCs/>
        </w:rPr>
      </w:pPr>
      <w:r>
        <w:rPr>
          <w:b/>
          <w:bCs/>
          <w:u w:val="single"/>
        </w:rPr>
        <w:t>Indicator 2.1.2</w:t>
      </w:r>
      <w:r>
        <w:rPr>
          <w:b/>
          <w:bCs/>
        </w:rPr>
        <w:t>: entrepreneurial learning component - fulfilled.</w:t>
      </w:r>
    </w:p>
    <w:p w14:paraId="01246AB9" w14:textId="77777777" w:rsidR="00374CBE" w:rsidRDefault="00374CBE" w:rsidP="00374CBE">
      <w:pPr>
        <w:ind w:right="26"/>
      </w:pPr>
    </w:p>
    <w:p w14:paraId="6D1EE0F8" w14:textId="48811369" w:rsidR="00374CBE" w:rsidRDefault="00374CBE" w:rsidP="00374CBE">
      <w:pPr>
        <w:rPr>
          <w:rFonts w:eastAsia="Times New Roman" w:cs="Times New Roman"/>
        </w:rPr>
      </w:pPr>
      <w:r w:rsidRPr="00553DD8">
        <w:rPr>
          <w:rFonts w:eastAsia="Times New Roman" w:cs="Times New Roman"/>
        </w:rPr>
        <w:lastRenderedPageBreak/>
        <w:t xml:space="preserve">Entrepreneurial learning was introduced </w:t>
      </w:r>
      <w:r>
        <w:rPr>
          <w:rFonts w:eastAsia="Times New Roman" w:cs="Times New Roman"/>
        </w:rPr>
        <w:t xml:space="preserve">as one of eight mandatory elements </w:t>
      </w:r>
      <w:r w:rsidRPr="00553DD8">
        <w:rPr>
          <w:rFonts w:eastAsia="Times New Roman" w:cs="Times New Roman"/>
        </w:rPr>
        <w:t xml:space="preserve">into state VET courses in 2013. </w:t>
      </w:r>
      <w:r>
        <w:rPr>
          <w:rFonts w:eastAsia="Times New Roman" w:cs="Times New Roman"/>
        </w:rPr>
        <w:t>R</w:t>
      </w:r>
      <w:r w:rsidRPr="00553DD8">
        <w:rPr>
          <w:rFonts w:eastAsia="Times New Roman" w:cs="Times New Roman"/>
        </w:rPr>
        <w:t xml:space="preserve">evised </w:t>
      </w:r>
      <w:r>
        <w:rPr>
          <w:rFonts w:eastAsia="Times New Roman" w:cs="Times New Roman"/>
        </w:rPr>
        <w:t>modules for third and fourth/fifth VET levels were approved by NCEQE Order No.</w:t>
      </w:r>
      <w:r w:rsidRPr="00BC0359">
        <w:rPr>
          <w:rFonts w:eastAsia="Times New Roman" w:cs="Times New Roman"/>
        </w:rPr>
        <w:t>536 of 28</w:t>
      </w:r>
      <w:r>
        <w:rPr>
          <w:rFonts w:eastAsia="Times New Roman" w:cs="Times New Roman"/>
        </w:rPr>
        <w:t xml:space="preserve">th July </w:t>
      </w:r>
      <w:r w:rsidRPr="00BC0359">
        <w:rPr>
          <w:rFonts w:eastAsia="Times New Roman" w:cs="Times New Roman"/>
        </w:rPr>
        <w:t>2015</w:t>
      </w:r>
      <w:r>
        <w:rPr>
          <w:rFonts w:eastAsia="Times New Roman" w:cs="Times New Roman"/>
        </w:rPr>
        <w:t>, and have</w:t>
      </w:r>
      <w:r w:rsidRPr="00553DD8">
        <w:rPr>
          <w:rFonts w:eastAsia="Times New Roman" w:cs="Times New Roman"/>
        </w:rPr>
        <w:t xml:space="preserve"> been taught since </w:t>
      </w:r>
      <w:r>
        <w:rPr>
          <w:rFonts w:eastAsia="Times New Roman" w:cs="Times New Roman"/>
        </w:rPr>
        <w:t xml:space="preserve">autumn </w:t>
      </w:r>
      <w:r w:rsidRPr="00553DD8">
        <w:rPr>
          <w:rFonts w:eastAsia="Times New Roman" w:cs="Times New Roman"/>
        </w:rPr>
        <w:t>2015</w:t>
      </w:r>
      <w:r>
        <w:rPr>
          <w:rFonts w:eastAsia="Times New Roman" w:cs="Times New Roman"/>
        </w:rPr>
        <w:t xml:space="preserve"> with all modular VET programmes provided by state VET and higher education </w:t>
      </w:r>
      <w:r w:rsidR="00E55184">
        <w:rPr>
          <w:rFonts w:eastAsia="Times New Roman" w:cs="Times New Roman"/>
        </w:rPr>
        <w:t>institutions</w:t>
      </w:r>
      <w:r w:rsidRPr="00553DD8">
        <w:rPr>
          <w:rFonts w:eastAsia="Times New Roman" w:cs="Times New Roman"/>
        </w:rPr>
        <w:t>. NCEQE has monitored the delivery of this module during 2015 and 2016 by visits to colleges and attendance at classes.</w:t>
      </w:r>
      <w:r>
        <w:rPr>
          <w:rFonts w:eastAsia="Times New Roman" w:cs="Times New Roman"/>
        </w:rPr>
        <w:t xml:space="preserve"> </w:t>
      </w:r>
      <w:r w:rsidRPr="00F47B1A">
        <w:rPr>
          <w:rFonts w:eastAsia="Times New Roman" w:cs="Times New Roman"/>
        </w:rPr>
        <w:t xml:space="preserve">For other programmes still offered in traditional “subject-based” form, </w:t>
      </w:r>
      <w:r>
        <w:rPr>
          <w:rFonts w:eastAsia="Times New Roman" w:cs="Times New Roman"/>
        </w:rPr>
        <w:t>the</w:t>
      </w:r>
      <w:r w:rsidRPr="00F47B1A">
        <w:rPr>
          <w:rFonts w:eastAsia="Times New Roman" w:cs="Times New Roman"/>
        </w:rPr>
        <w:t xml:space="preserve"> “Basics of entrepreneurship” </w:t>
      </w:r>
      <w:r>
        <w:rPr>
          <w:rFonts w:eastAsia="Times New Roman" w:cs="Times New Roman"/>
        </w:rPr>
        <w:t xml:space="preserve">is </w:t>
      </w:r>
      <w:r w:rsidRPr="00F47B1A">
        <w:rPr>
          <w:rFonts w:eastAsia="Times New Roman" w:cs="Times New Roman"/>
        </w:rPr>
        <w:t xml:space="preserve">taught according to </w:t>
      </w:r>
      <w:r>
        <w:rPr>
          <w:rFonts w:eastAsia="Times New Roman" w:cs="Times New Roman"/>
        </w:rPr>
        <w:t xml:space="preserve">a previous </w:t>
      </w:r>
      <w:r w:rsidRPr="00F47B1A">
        <w:rPr>
          <w:rFonts w:eastAsia="Times New Roman" w:cs="Times New Roman"/>
        </w:rPr>
        <w:t>c</w:t>
      </w:r>
      <w:r>
        <w:rPr>
          <w:rFonts w:eastAsia="Times New Roman" w:cs="Times New Roman"/>
        </w:rPr>
        <w:t>urriculum, while for first and second level VET courses, offered separately only at secondary schools, an entrepreneurial course is embedded within the broader curriculum.</w:t>
      </w:r>
      <w:r w:rsidRPr="00F47B1A">
        <w:rPr>
          <w:rFonts w:eastAsia="Times New Roman" w:cs="Times New Roman"/>
        </w:rPr>
        <w:t xml:space="preserve"> </w:t>
      </w:r>
    </w:p>
    <w:p w14:paraId="54A978EA" w14:textId="77777777" w:rsidR="00374CBE" w:rsidRDefault="00374CBE" w:rsidP="00374CBE">
      <w:pPr>
        <w:rPr>
          <w:rFonts w:eastAsia="Times New Roman" w:cs="Times New Roman"/>
        </w:rPr>
      </w:pPr>
    </w:p>
    <w:p w14:paraId="049080E7" w14:textId="77777777" w:rsidR="00374CBE" w:rsidRPr="00553DD8" w:rsidRDefault="00374CBE" w:rsidP="00374CBE">
      <w:pPr>
        <w:rPr>
          <w:rFonts w:eastAsia="Times New Roman" w:cs="Times New Roman"/>
        </w:rPr>
      </w:pPr>
      <w:r>
        <w:rPr>
          <w:rFonts w:eastAsia="Times New Roman" w:cs="Times New Roman"/>
        </w:rPr>
        <w:t>G</w:t>
      </w:r>
      <w:r w:rsidRPr="00F47B1A">
        <w:rPr>
          <w:rFonts w:eastAsia="Times New Roman" w:cs="Times New Roman"/>
        </w:rPr>
        <w:t>iven that the module will be progressively introduced into all programmes as they are developed in modular form, and that an entrepreneurial learning component is reflected in all programmes, even if in different forms</w:t>
      </w:r>
      <w:r>
        <w:rPr>
          <w:rFonts w:eastAsia="Times New Roman" w:cs="Times New Roman"/>
        </w:rPr>
        <w:t>, as required by</w:t>
      </w:r>
      <w:r w:rsidRPr="00F47B1A">
        <w:rPr>
          <w:rFonts w:eastAsia="Times New Roman" w:cs="Times New Roman"/>
        </w:rPr>
        <w:t xml:space="preserve"> the source of verification (that an “</w:t>
      </w:r>
      <w:r w:rsidRPr="00F47B1A">
        <w:rPr>
          <w:rFonts w:eastAsia="Times New Roman" w:cs="Times New Roman"/>
          <w:i/>
        </w:rPr>
        <w:t xml:space="preserve">Entrepreneurial Learning component </w:t>
      </w:r>
      <w:r w:rsidRPr="00F47B1A">
        <w:rPr>
          <w:rFonts w:eastAsia="Times New Roman" w:cs="Times New Roman"/>
        </w:rPr>
        <w:t>(is)</w:t>
      </w:r>
      <w:r w:rsidRPr="00F47B1A">
        <w:rPr>
          <w:rFonts w:eastAsia="Times New Roman" w:cs="Times New Roman"/>
          <w:i/>
        </w:rPr>
        <w:t xml:space="preserve"> reflected in state funded VET programmes</w:t>
      </w:r>
      <w:r w:rsidRPr="00F47B1A">
        <w:rPr>
          <w:rFonts w:eastAsia="Times New Roman" w:cs="Times New Roman"/>
        </w:rPr>
        <w:t xml:space="preserve">”), the Review has determined that the current situation is sufficient for the Indicator </w:t>
      </w:r>
      <w:r>
        <w:rPr>
          <w:rFonts w:eastAsia="Times New Roman" w:cs="Times New Roman"/>
        </w:rPr>
        <w:t>to be considered fulfilled.</w:t>
      </w:r>
    </w:p>
    <w:p w14:paraId="36ADD3DE" w14:textId="77777777" w:rsidR="00374CBE" w:rsidRDefault="00374CBE" w:rsidP="00374CBE"/>
    <w:p w14:paraId="45A5BD18" w14:textId="77777777" w:rsidR="00374CBE" w:rsidRDefault="00374CBE" w:rsidP="00374CBE">
      <w:pPr>
        <w:ind w:right="26"/>
      </w:pPr>
      <w:r>
        <w:rPr>
          <w:b/>
          <w:bCs/>
          <w:u w:val="single"/>
        </w:rPr>
        <w:t>Indicator 2.1.3</w:t>
      </w:r>
      <w:r>
        <w:rPr>
          <w:b/>
          <w:bCs/>
        </w:rPr>
        <w:t>: regularly updated occupational standards - fulfilled.</w:t>
      </w:r>
    </w:p>
    <w:p w14:paraId="02542C92" w14:textId="77777777" w:rsidR="00374CBE" w:rsidRDefault="00374CBE" w:rsidP="00374CBE"/>
    <w:p w14:paraId="723E9143" w14:textId="77777777" w:rsidR="00374CBE" w:rsidRDefault="00374CBE" w:rsidP="00374CBE">
      <w:r>
        <w:t xml:space="preserve">46 new and revised </w:t>
      </w:r>
      <w:r w:rsidRPr="00047E78">
        <w:t>occupational standards</w:t>
      </w:r>
      <w:r>
        <w:t xml:space="preserve"> (OS)</w:t>
      </w:r>
      <w:r w:rsidRPr="00047E78">
        <w:t xml:space="preserve"> were </w:t>
      </w:r>
      <w:r>
        <w:t xml:space="preserve">approved by NCEQE in 2016. Although </w:t>
      </w:r>
      <w:r w:rsidRPr="00047E78">
        <w:t xml:space="preserve">developed </w:t>
      </w:r>
      <w:r>
        <w:t xml:space="preserve">over the previous two years, </w:t>
      </w:r>
      <w:r w:rsidRPr="00047E78">
        <w:t>.</w:t>
      </w:r>
      <w:r>
        <w:t>s</w:t>
      </w:r>
      <w:r w:rsidRPr="00047E78">
        <w:t xml:space="preserve">election </w:t>
      </w:r>
      <w:r>
        <w:t>of many were</w:t>
      </w:r>
      <w:r w:rsidRPr="00047E78">
        <w:t xml:space="preserve"> based on the </w:t>
      </w:r>
      <w:r>
        <w:t>labour market</w:t>
      </w:r>
      <w:r w:rsidRPr="00047E78">
        <w:t xml:space="preserve"> demand surveys </w:t>
      </w:r>
      <w:r>
        <w:t>conducted</w:t>
      </w:r>
      <w:r w:rsidRPr="00047E78">
        <w:t xml:space="preserve"> in 2015</w:t>
      </w:r>
      <w:r>
        <w:t xml:space="preserve"> and qualifications sought by VET applicants. Employers representatives were involved in the design of many and in the related Sectoral Committees that discussed and agreed the selection, and validated the </w:t>
      </w:r>
      <w:r w:rsidRPr="00047E78">
        <w:t>standards</w:t>
      </w:r>
      <w:r>
        <w:t>, but there were comments made to the Review that employers were not involved in the design of all OS, though usually did have an input through membership of Sectoral Committees.</w:t>
      </w:r>
    </w:p>
    <w:p w14:paraId="6557A855" w14:textId="77777777" w:rsidR="00374CBE" w:rsidRPr="00047E78" w:rsidRDefault="00374CBE" w:rsidP="00374CBE"/>
    <w:p w14:paraId="6EE1B27F" w14:textId="77777777" w:rsidR="00374CBE" w:rsidRDefault="00374CBE" w:rsidP="00374CBE">
      <w:r w:rsidRPr="00047E78">
        <w:t>During 2016, NCEQE reported receiv</w:t>
      </w:r>
      <w:r>
        <w:t>ing and considering</w:t>
      </w:r>
      <w:r w:rsidRPr="00047E78">
        <w:t xml:space="preserve"> around 30 letters from different businesses with proposals </w:t>
      </w:r>
      <w:r>
        <w:t>for amending/adopting</w:t>
      </w:r>
      <w:r w:rsidRPr="00047E78">
        <w:t xml:space="preserve"> </w:t>
      </w:r>
      <w:r>
        <w:t>OS, and this was taken into account in the selection of OS to develop in 2016, most of which are expected to be approved in 2017.</w:t>
      </w:r>
    </w:p>
    <w:p w14:paraId="6389A85F" w14:textId="77777777" w:rsidR="00374CBE" w:rsidRDefault="00374CBE" w:rsidP="00374CBE"/>
    <w:p w14:paraId="330D36A1" w14:textId="77777777" w:rsidR="00374CBE" w:rsidRDefault="00374CBE" w:rsidP="00374CBE">
      <w:r>
        <w:t>A list of these 46 OS was provided to the Review, but a full list is available on NCEQE and VET websites.</w:t>
      </w:r>
    </w:p>
    <w:p w14:paraId="1CF58A78" w14:textId="77777777" w:rsidR="00374CBE" w:rsidRDefault="00374CBE" w:rsidP="00374CBE"/>
    <w:p w14:paraId="12CDD81E" w14:textId="77777777" w:rsidR="00374CBE" w:rsidRDefault="00374CBE" w:rsidP="00374CBE">
      <w:pPr>
        <w:ind w:right="26"/>
        <w:rPr>
          <w:b/>
          <w:bCs/>
          <w:lang w:eastAsia="en-GB"/>
        </w:rPr>
      </w:pPr>
      <w:r w:rsidRPr="00464FBD">
        <w:rPr>
          <w:b/>
          <w:bCs/>
          <w:u w:val="single"/>
        </w:rPr>
        <w:t>Specific Condition 2.2</w:t>
      </w:r>
      <w:r>
        <w:rPr>
          <w:b/>
          <w:bCs/>
        </w:rPr>
        <w:t>:</w:t>
      </w:r>
      <w:r>
        <w:rPr>
          <w:b/>
          <w:bCs/>
          <w:lang w:eastAsia="en-GB"/>
        </w:rPr>
        <w:t xml:space="preserve"> </w:t>
      </w:r>
      <w:r w:rsidRPr="001F659E">
        <w:rPr>
          <w:b/>
          <w:bCs/>
          <w:i/>
          <w:lang w:eastAsia="en-GB"/>
        </w:rPr>
        <w:t>Improved quality of VET qualifications.</w:t>
      </w:r>
    </w:p>
    <w:p w14:paraId="7DE8A50D" w14:textId="77777777" w:rsidR="00374CBE" w:rsidRDefault="00374CBE" w:rsidP="00374CBE">
      <w:pPr>
        <w:ind w:right="26"/>
        <w:rPr>
          <w:b/>
          <w:bCs/>
          <w:lang w:eastAsia="en-GB"/>
        </w:rPr>
      </w:pPr>
    </w:p>
    <w:p w14:paraId="6110DFBA" w14:textId="77777777" w:rsidR="00374CBE" w:rsidRPr="0095050A" w:rsidRDefault="00374CBE" w:rsidP="00374CBE">
      <w:pPr>
        <w:rPr>
          <w:b/>
          <w:bCs/>
        </w:rPr>
      </w:pPr>
      <w:r w:rsidRPr="0095050A">
        <w:rPr>
          <w:b/>
          <w:bCs/>
          <w:lang w:eastAsia="en-GB"/>
        </w:rPr>
        <w:t>Review Assessment</w:t>
      </w:r>
      <w:r w:rsidRPr="0095050A">
        <w:rPr>
          <w:b/>
          <w:bCs/>
        </w:rPr>
        <w:t xml:space="preserve">: compliance. </w:t>
      </w:r>
    </w:p>
    <w:p w14:paraId="5F63D416" w14:textId="77777777" w:rsidR="00374CBE" w:rsidRPr="0095050A" w:rsidRDefault="00374CBE" w:rsidP="00374CBE">
      <w:pPr>
        <w:rPr>
          <w:bCs/>
        </w:rPr>
      </w:pPr>
      <w:r w:rsidRPr="0095050A">
        <w:rPr>
          <w:bCs/>
        </w:rPr>
        <w:t>(Potential value: €1.0mn; Score: 1.00; Recommended funds release: €1.0mn)</w:t>
      </w:r>
    </w:p>
    <w:p w14:paraId="13CC30F4" w14:textId="77777777" w:rsidR="00374CBE" w:rsidRDefault="00374CBE" w:rsidP="00374CBE">
      <w:pPr>
        <w:ind w:right="26"/>
      </w:pPr>
    </w:p>
    <w:p w14:paraId="1B7EB5C4" w14:textId="77777777" w:rsidR="00374CBE" w:rsidRDefault="00374CBE" w:rsidP="00374CBE">
      <w:r>
        <w:rPr>
          <w:b/>
          <w:bCs/>
          <w:u w:val="single"/>
        </w:rPr>
        <w:t>Indicator 2.2.1</w:t>
      </w:r>
      <w:r>
        <w:rPr>
          <w:b/>
          <w:bCs/>
        </w:rPr>
        <w:t>: teachers receiving initial training - fulfilled.</w:t>
      </w:r>
    </w:p>
    <w:p w14:paraId="670FF1B9" w14:textId="77777777" w:rsidR="00374CBE" w:rsidRDefault="00374CBE" w:rsidP="00374CBE"/>
    <w:p w14:paraId="69B93805" w14:textId="77777777" w:rsidR="00374CBE" w:rsidRDefault="00374CBE" w:rsidP="00374CBE">
      <w:r>
        <w:t xml:space="preserve">The concepts of 'initial' and 'continuous' training were only fully developed in 2016. This means that the baseline for the required 15% increase is zero, and as a result any level of relevant 'initial' training undertaken would be sufficient for fulfilment. </w:t>
      </w:r>
    </w:p>
    <w:p w14:paraId="01A714A7" w14:textId="77777777" w:rsidR="00374CBE" w:rsidRDefault="00374CBE" w:rsidP="00374CBE"/>
    <w:p w14:paraId="01CFEF50" w14:textId="77777777" w:rsidR="00374CBE" w:rsidRDefault="00374CBE" w:rsidP="00374CBE">
      <w:r>
        <w:t xml:space="preserve">There are two aspects to 'initial training', as understood in assessment of this Indicator: initial induction training for newly appointed teachers to introduce them to the VET system and the roles and obligations of teachers; and basic pedagogic training on how to be an effective teacher within the system. Two separate courses have been developed to reflect these requirements. While future plans are for both courses to be delivered to new teachers within the first few weeks after appointment, both courses are currently planned for existing novice teachers (i.e. those with less than two years of service), and the pedagogic course also for </w:t>
      </w:r>
      <w:r w:rsidRPr="0048377A">
        <w:t>teachers with longer service, to address the lack of pedagogic qualifi</w:t>
      </w:r>
      <w:r w:rsidRPr="005F2D2B">
        <w:t>cation among VET teachers. Completion of both courses is to become obligatory under plans to be confirmed in revisions to the VET Law expected to be submitted to Parliament in the coming months.</w:t>
      </w:r>
    </w:p>
    <w:p w14:paraId="211C7CB9" w14:textId="77777777" w:rsidR="00374CBE" w:rsidRPr="004324DF" w:rsidRDefault="00374CBE" w:rsidP="00374CBE"/>
    <w:p w14:paraId="5CE98E12" w14:textId="77777777" w:rsidR="00374CBE" w:rsidRDefault="00374CBE" w:rsidP="00374CBE">
      <w:pPr>
        <w:rPr>
          <w:rFonts w:eastAsia="Times New Roman" w:cs="Times New Roman"/>
        </w:rPr>
      </w:pPr>
      <w:r>
        <w:t>The situation is complicated by the fact that there was reported to be a significant increase in the number of VET teachers over 2016 to accommodate the extra teaching requirements of the switch to modular courses. EMIS reported that a</w:t>
      </w:r>
      <w:r>
        <w:rPr>
          <w:rFonts w:eastAsia="Times New Roman" w:cs="Times New Roman"/>
        </w:rPr>
        <w:t xml:space="preserve">t the beginning of 2017 </w:t>
      </w:r>
      <w:r w:rsidRPr="00366EF6">
        <w:rPr>
          <w:rFonts w:eastAsia="Times New Roman" w:cs="Times New Roman"/>
        </w:rPr>
        <w:t xml:space="preserve">there were </w:t>
      </w:r>
      <w:r>
        <w:rPr>
          <w:rFonts w:eastAsia="Times New Roman" w:cs="Times New Roman"/>
        </w:rPr>
        <w:t>1878</w:t>
      </w:r>
      <w:r w:rsidRPr="00366EF6">
        <w:rPr>
          <w:rFonts w:eastAsia="Times New Roman" w:cs="Times New Roman"/>
        </w:rPr>
        <w:t xml:space="preserve"> VET teachers in state VET providers (</w:t>
      </w:r>
      <w:r>
        <w:rPr>
          <w:rFonts w:eastAsia="Times New Roman" w:cs="Times New Roman"/>
        </w:rPr>
        <w:t>1043</w:t>
      </w:r>
      <w:r w:rsidRPr="00366EF6">
        <w:rPr>
          <w:rFonts w:eastAsia="Times New Roman" w:cs="Times New Roman"/>
        </w:rPr>
        <w:t xml:space="preserve"> in VET</w:t>
      </w:r>
      <w:r>
        <w:rPr>
          <w:rFonts w:eastAsia="Times New Roman" w:cs="Times New Roman"/>
        </w:rPr>
        <w:t>/community</w:t>
      </w:r>
      <w:r w:rsidRPr="00366EF6">
        <w:rPr>
          <w:rFonts w:eastAsia="Times New Roman" w:cs="Times New Roman"/>
        </w:rPr>
        <w:t xml:space="preserve"> colleges and </w:t>
      </w:r>
      <w:r>
        <w:rPr>
          <w:rFonts w:eastAsia="Times New Roman" w:cs="Times New Roman"/>
        </w:rPr>
        <w:t>835</w:t>
      </w:r>
      <w:r w:rsidRPr="00366EF6">
        <w:rPr>
          <w:rFonts w:eastAsia="Times New Roman" w:cs="Times New Roman"/>
        </w:rPr>
        <w:t xml:space="preserve"> in higher education institutions) and </w:t>
      </w:r>
      <w:r>
        <w:rPr>
          <w:rFonts w:eastAsia="Times New Roman" w:cs="Times New Roman"/>
        </w:rPr>
        <w:t>977</w:t>
      </w:r>
      <w:r w:rsidRPr="00366EF6">
        <w:rPr>
          <w:rFonts w:eastAsia="Times New Roman" w:cs="Times New Roman"/>
        </w:rPr>
        <w:t xml:space="preserve"> in private VET providers (</w:t>
      </w:r>
      <w:r>
        <w:rPr>
          <w:rFonts w:eastAsia="Times New Roman" w:cs="Times New Roman"/>
        </w:rPr>
        <w:t>847</w:t>
      </w:r>
      <w:r w:rsidRPr="00366EF6">
        <w:rPr>
          <w:rFonts w:eastAsia="Times New Roman" w:cs="Times New Roman"/>
        </w:rPr>
        <w:t xml:space="preserve"> in VET colleges, </w:t>
      </w:r>
      <w:r>
        <w:rPr>
          <w:rFonts w:eastAsia="Times New Roman" w:cs="Times New Roman"/>
        </w:rPr>
        <w:t>113</w:t>
      </w:r>
      <w:r w:rsidRPr="00366EF6">
        <w:rPr>
          <w:rFonts w:eastAsia="Times New Roman" w:cs="Times New Roman"/>
        </w:rPr>
        <w:t xml:space="preserve"> in higher education institutions, and 17 in secondary schools)</w:t>
      </w:r>
      <w:r>
        <w:rPr>
          <w:rFonts w:eastAsia="Times New Roman" w:cs="Times New Roman"/>
        </w:rPr>
        <w:t>.</w:t>
      </w:r>
      <w:r w:rsidRPr="00366EF6">
        <w:rPr>
          <w:rFonts w:eastAsia="Times New Roman" w:cs="Times New Roman"/>
        </w:rPr>
        <w:t xml:space="preserve"> </w:t>
      </w:r>
      <w:r>
        <w:rPr>
          <w:rFonts w:eastAsia="Times New Roman" w:cs="Times New Roman"/>
        </w:rPr>
        <w:t>This means there has been something like a fourfold increase in the number of new or 'novice' VET teachers, EMIS reporting that there were 411 novice teachers in 28 state VET providing institutions (318 in 21 colleges and 93 in 7 higher education establishments).</w:t>
      </w:r>
      <w:r w:rsidRPr="00366EF6">
        <w:rPr>
          <w:rFonts w:eastAsia="Times New Roman" w:cs="Times New Roman"/>
        </w:rPr>
        <w:t xml:space="preserve"> Further roll-out of modular courses, </w:t>
      </w:r>
      <w:r>
        <w:rPr>
          <w:rFonts w:eastAsia="Times New Roman" w:cs="Times New Roman"/>
        </w:rPr>
        <w:t xml:space="preserve">now planned </w:t>
      </w:r>
      <w:r w:rsidRPr="00366EF6">
        <w:rPr>
          <w:rFonts w:eastAsia="Times New Roman" w:cs="Times New Roman"/>
        </w:rPr>
        <w:t>to cover all disciplines by the autumn 2019 intake (initially for autumn 2017)</w:t>
      </w:r>
      <w:r w:rsidRPr="000A55AB">
        <w:rPr>
          <w:rFonts w:eastAsia="Times New Roman" w:cs="Times New Roman"/>
        </w:rPr>
        <w:t xml:space="preserve">, </w:t>
      </w:r>
      <w:r>
        <w:rPr>
          <w:rFonts w:eastAsia="Times New Roman" w:cs="Times New Roman"/>
        </w:rPr>
        <w:t>is</w:t>
      </w:r>
      <w:r w:rsidRPr="000A55AB">
        <w:rPr>
          <w:rFonts w:eastAsia="Times New Roman" w:cs="Times New Roman"/>
        </w:rPr>
        <w:t xml:space="preserve"> expected to further increase numbers over the next</w:t>
      </w:r>
      <w:r w:rsidRPr="00D16AF5">
        <w:rPr>
          <w:rFonts w:eastAsia="Times New Roman" w:cs="Times New Roman"/>
        </w:rPr>
        <w:t xml:space="preserve"> 2-3 years. This means that the number of new or novice teachers will increase dramatically and with it the number obligated to participate in </w:t>
      </w:r>
      <w:r>
        <w:rPr>
          <w:rFonts w:eastAsia="Times New Roman" w:cs="Times New Roman"/>
        </w:rPr>
        <w:t>these initial courses in the first few weeks after appointment (at least until a plan to increase university pedagogic qualifications among recruits is realised). An additional complication is that such requirements will also apply to teachers in private VET providers, and from</w:t>
      </w:r>
      <w:r>
        <w:t xml:space="preserve"> 2017 TPDC is to expand its responsibilities to cover all VET teachers in all VET institutions, public and private.</w:t>
      </w:r>
    </w:p>
    <w:p w14:paraId="06FC3753" w14:textId="77777777" w:rsidR="00374CBE" w:rsidRDefault="00374CBE" w:rsidP="00374CBE">
      <w:pPr>
        <w:rPr>
          <w:rFonts w:eastAsia="Times New Roman" w:cs="Times New Roman"/>
        </w:rPr>
      </w:pPr>
    </w:p>
    <w:p w14:paraId="14E320CE" w14:textId="77777777" w:rsidR="00374CBE" w:rsidRDefault="00374CBE" w:rsidP="00374CBE">
      <w:r>
        <w:t xml:space="preserve">The two-day induction course module, developed in August/September 2016 was tested on 16 novice teachers at Ikarosi VET college over 4th to 5th October. A further 12 teachers were trained over 24th to 25th December. </w:t>
      </w:r>
      <w:r w:rsidRPr="00366EF6">
        <w:rPr>
          <w:rFonts w:eastAsia="Times New Roman" w:cs="Times New Roman"/>
        </w:rPr>
        <w:t xml:space="preserve">The 28 trained </w:t>
      </w:r>
      <w:r>
        <w:rPr>
          <w:rFonts w:eastAsia="Times New Roman" w:cs="Times New Roman"/>
        </w:rPr>
        <w:t>in 2016 we</w:t>
      </w:r>
      <w:r w:rsidRPr="00366EF6">
        <w:rPr>
          <w:rFonts w:eastAsia="Times New Roman" w:cs="Times New Roman"/>
        </w:rPr>
        <w:t>re from a limited number of state VET colleges</w:t>
      </w:r>
      <w:r>
        <w:rPr>
          <w:rFonts w:eastAsia="Times New Roman" w:cs="Times New Roman"/>
        </w:rPr>
        <w:t xml:space="preserve">. </w:t>
      </w:r>
      <w:r>
        <w:t xml:space="preserve">TPDC plans to deliver the course to all other novice teachers over 2017. </w:t>
      </w:r>
    </w:p>
    <w:p w14:paraId="686E3468" w14:textId="77777777" w:rsidR="00374CBE" w:rsidRDefault="00374CBE" w:rsidP="00374CBE"/>
    <w:p w14:paraId="66DD751C" w14:textId="77777777" w:rsidR="00374CBE" w:rsidRDefault="00374CBE" w:rsidP="00374CBE">
      <w:pPr>
        <w:rPr>
          <w:rFonts w:eastAsia="Times New Roman"/>
        </w:rPr>
      </w:pPr>
      <w:r>
        <w:t xml:space="preserve">The basic pedagogic course was developed to address the need for VET teachers to possess certain basic competencies to be effective. It reflects the teaching standards covered by the VET Teachers Guidebook developed in 2016 and the initial training needs analysis conducted by TPDC with MCA-G project support to assess VET teacher competences in early 2016 (see Indicator 2.2.2). The course consists of five modules delivered over 27 days, covering inter alia education theory, creation of a positive learning environment, student assessment, interactive teaching techniques, and teacher professional development delivered in sequence. The course was introduced in September 2016. By the end of 2016 </w:t>
      </w:r>
      <w:r>
        <w:rPr>
          <w:rFonts w:eastAsia="Times New Roman" w:cs="Times New Roman"/>
        </w:rPr>
        <w:t xml:space="preserve">156 </w:t>
      </w:r>
      <w:r w:rsidRPr="00655353">
        <w:rPr>
          <w:rFonts w:eastAsia="Times New Roman" w:cs="Times New Roman"/>
        </w:rPr>
        <w:t>teachers had completed the first</w:t>
      </w:r>
      <w:r>
        <w:rPr>
          <w:rFonts w:eastAsia="Times New Roman" w:cs="Times New Roman"/>
        </w:rPr>
        <w:t xml:space="preserve"> and the second</w:t>
      </w:r>
      <w:r w:rsidRPr="00655353">
        <w:rPr>
          <w:rFonts w:eastAsia="Times New Roman" w:cs="Times New Roman"/>
        </w:rPr>
        <w:t xml:space="preserve"> module</w:t>
      </w:r>
      <w:r>
        <w:rPr>
          <w:rFonts w:eastAsia="Times New Roman" w:cs="Times New Roman"/>
        </w:rPr>
        <w:t>s</w:t>
      </w:r>
      <w:r w:rsidRPr="00655353">
        <w:rPr>
          <w:rFonts w:eastAsia="Times New Roman" w:cs="Times New Roman"/>
        </w:rPr>
        <w:t xml:space="preserve"> </w:t>
      </w:r>
      <w:r>
        <w:rPr>
          <w:rFonts w:eastAsia="Times New Roman" w:cs="Times New Roman"/>
        </w:rPr>
        <w:t xml:space="preserve">and </w:t>
      </w:r>
      <w:r w:rsidRPr="00BC0359">
        <w:rPr>
          <w:rFonts w:eastAsia="Times New Roman"/>
        </w:rPr>
        <w:t>132 the fourth module</w:t>
      </w:r>
      <w:r>
        <w:rPr>
          <w:rFonts w:eastAsia="Times New Roman"/>
        </w:rPr>
        <w:t xml:space="preserve">. TPDC reported that </w:t>
      </w:r>
      <w:r>
        <w:rPr>
          <w:rFonts w:eastAsia="Times New Roman" w:cs="Times New Roman"/>
        </w:rPr>
        <w:t>678</w:t>
      </w:r>
      <w:r w:rsidRPr="00BC0359">
        <w:rPr>
          <w:rFonts w:eastAsia="Times New Roman" w:cs="Times New Roman"/>
        </w:rPr>
        <w:t xml:space="preserve"> teachers </w:t>
      </w:r>
      <w:r>
        <w:rPr>
          <w:rFonts w:eastAsia="Times New Roman" w:cs="Times New Roman"/>
        </w:rPr>
        <w:t xml:space="preserve">had </w:t>
      </w:r>
      <w:r w:rsidRPr="00BC0359">
        <w:rPr>
          <w:rFonts w:eastAsia="Times New Roman" w:cs="Times New Roman"/>
        </w:rPr>
        <w:t>completed the third module</w:t>
      </w:r>
      <w:r>
        <w:rPr>
          <w:rFonts w:eastAsia="Times New Roman" w:cs="Times New Roman"/>
        </w:rPr>
        <w:t>, but this included those that completed it as a separate course earlier in 2016.</w:t>
      </w:r>
      <w:r>
        <w:rPr>
          <w:rFonts w:eastAsia="Times New Roman"/>
        </w:rPr>
        <w:t xml:space="preserve"> By March 2017, the number of teachers that had completed the fourth module was reported to have increased to </w:t>
      </w:r>
      <w:r w:rsidRPr="00BC0359">
        <w:rPr>
          <w:rFonts w:eastAsia="Times New Roman"/>
        </w:rPr>
        <w:t>148 teachers</w:t>
      </w:r>
      <w:r>
        <w:rPr>
          <w:rFonts w:eastAsia="Times New Roman"/>
        </w:rPr>
        <w:t>, while</w:t>
      </w:r>
      <w:r w:rsidRPr="00BC0359">
        <w:rPr>
          <w:rFonts w:eastAsia="Times New Roman"/>
        </w:rPr>
        <w:t xml:space="preserve"> </w:t>
      </w:r>
      <w:r>
        <w:rPr>
          <w:rFonts w:eastAsia="Times New Roman"/>
        </w:rPr>
        <w:t xml:space="preserve">146 had also </w:t>
      </w:r>
      <w:r w:rsidRPr="00BC0359">
        <w:rPr>
          <w:rFonts w:eastAsia="Times New Roman"/>
        </w:rPr>
        <w:t>completed the fifth module.</w:t>
      </w:r>
      <w:r>
        <w:rPr>
          <w:rFonts w:eastAsia="Times New Roman"/>
        </w:rPr>
        <w:t xml:space="preserve"> </w:t>
      </w:r>
    </w:p>
    <w:p w14:paraId="58E2B2A0" w14:textId="77777777" w:rsidR="00374CBE" w:rsidRDefault="00374CBE" w:rsidP="00374CBE">
      <w:pPr>
        <w:rPr>
          <w:rFonts w:eastAsia="Times New Roman"/>
        </w:rPr>
      </w:pPr>
    </w:p>
    <w:p w14:paraId="0BEB7CD8" w14:textId="77777777" w:rsidR="00374CBE" w:rsidRDefault="00374CBE" w:rsidP="00374CBE">
      <w:r>
        <w:rPr>
          <w:rFonts w:eastAsia="Times New Roman"/>
        </w:rPr>
        <w:t xml:space="preserve">Although no teacher had completed the full pedagogic course in 2016, the Review considers the situation sufficient to met the requirement of an increased number of teachers 'receiving' initial training. The courses stem from assessments of training needs conducted earlier in 2016 and are integral to the new Government policy on VET teacher's development, which includes </w:t>
      </w:r>
      <w:r w:rsidRPr="00553DD8">
        <w:rPr>
          <w:rFonts w:eastAsia="Times New Roman" w:cs="Times New Roman"/>
        </w:rPr>
        <w:t xml:space="preserve">a decision that all VET teachers should have teaching qualifications as a requirement for service. </w:t>
      </w:r>
      <w:r>
        <w:rPr>
          <w:rFonts w:eastAsia="Times New Roman" w:cs="Times New Roman"/>
        </w:rPr>
        <w:t>This is to be incorporated in the new VET Law. A policy document “</w:t>
      </w:r>
      <w:r w:rsidRPr="006F1432">
        <w:rPr>
          <w:rFonts w:eastAsia="Times New Roman" w:cs="Times New Roman"/>
        </w:rPr>
        <w:t>Vocational Education Teacher Training, Induction and</w:t>
      </w:r>
      <w:r>
        <w:rPr>
          <w:rFonts w:eastAsia="Times New Roman" w:cs="Times New Roman"/>
        </w:rPr>
        <w:t xml:space="preserve"> </w:t>
      </w:r>
      <w:r w:rsidRPr="006F1432">
        <w:rPr>
          <w:rFonts w:eastAsia="Times New Roman" w:cs="Times New Roman"/>
        </w:rPr>
        <w:t>Professional Development</w:t>
      </w:r>
      <w:r>
        <w:rPr>
          <w:rFonts w:eastAsia="Times New Roman" w:cs="Times New Roman"/>
        </w:rPr>
        <w:t>”</w:t>
      </w:r>
      <w:r w:rsidRPr="00553DD8">
        <w:rPr>
          <w:rFonts w:eastAsia="Times New Roman" w:cs="Times New Roman"/>
        </w:rPr>
        <w:t xml:space="preserve"> cover</w:t>
      </w:r>
      <w:r>
        <w:rPr>
          <w:rFonts w:eastAsia="Times New Roman" w:cs="Times New Roman"/>
        </w:rPr>
        <w:t>ing</w:t>
      </w:r>
      <w:r w:rsidRPr="00553DD8">
        <w:rPr>
          <w:rFonts w:eastAsia="Times New Roman" w:cs="Times New Roman"/>
        </w:rPr>
        <w:t xml:space="preserve"> these obligatory requirements </w:t>
      </w:r>
      <w:r>
        <w:rPr>
          <w:rFonts w:eastAsia="Times New Roman" w:cs="Times New Roman"/>
        </w:rPr>
        <w:t xml:space="preserve">was </w:t>
      </w:r>
      <w:r w:rsidRPr="00BC0359">
        <w:rPr>
          <w:rFonts w:eastAsia="Times New Roman" w:cs="Times New Roman"/>
        </w:rPr>
        <w:t xml:space="preserve">endorsed </w:t>
      </w:r>
      <w:r>
        <w:rPr>
          <w:rFonts w:eastAsia="Times New Roman" w:cs="Times New Roman"/>
        </w:rPr>
        <w:t xml:space="preserve">by the </w:t>
      </w:r>
      <w:r w:rsidRPr="00BC0359">
        <w:rPr>
          <w:rFonts w:eastAsia="Times New Roman" w:cs="Times New Roman"/>
        </w:rPr>
        <w:t>National VET Council</w:t>
      </w:r>
      <w:r>
        <w:rPr>
          <w:rFonts w:eastAsia="Times New Roman" w:cs="Times New Roman"/>
        </w:rPr>
        <w:t xml:space="preserve"> at the meeting held on</w:t>
      </w:r>
      <w:r w:rsidRPr="00BC0359">
        <w:rPr>
          <w:rFonts w:eastAsia="Times New Roman" w:cs="Times New Roman"/>
        </w:rPr>
        <w:t xml:space="preserve"> 28</w:t>
      </w:r>
      <w:r>
        <w:rPr>
          <w:rFonts w:eastAsia="Times New Roman" w:cs="Times New Roman"/>
        </w:rPr>
        <w:t xml:space="preserve">th December </w:t>
      </w:r>
      <w:r w:rsidRPr="00BC0359">
        <w:rPr>
          <w:rFonts w:eastAsia="Times New Roman" w:cs="Times New Roman"/>
        </w:rPr>
        <w:t>2016</w:t>
      </w:r>
      <w:r>
        <w:rPr>
          <w:rFonts w:eastAsia="Times New Roman" w:cs="Times New Roman"/>
        </w:rPr>
        <w:t>, and several normative acts have been prepared to support this after the Law is adopted.</w:t>
      </w:r>
      <w:r w:rsidRPr="00553DD8">
        <w:rPr>
          <w:rFonts w:eastAsia="Times New Roman" w:cs="Times New Roman"/>
        </w:rPr>
        <w:t xml:space="preserve"> </w:t>
      </w:r>
      <w:r>
        <w:t>Steps have also been taken to introduce VET specific elements into university pedagogic courses from September 2017.</w:t>
      </w:r>
    </w:p>
    <w:p w14:paraId="64212057" w14:textId="77777777" w:rsidR="00374CBE" w:rsidRDefault="00374CBE" w:rsidP="00374CBE"/>
    <w:p w14:paraId="65E29A72" w14:textId="77777777" w:rsidR="00374CBE" w:rsidRDefault="00374CBE" w:rsidP="00374CBE">
      <w:pPr>
        <w:ind w:right="26"/>
      </w:pPr>
      <w:r>
        <w:rPr>
          <w:b/>
          <w:bCs/>
          <w:u w:val="single"/>
        </w:rPr>
        <w:t>Indicator 2.2.2</w:t>
      </w:r>
      <w:r>
        <w:rPr>
          <w:b/>
          <w:bCs/>
        </w:rPr>
        <w:t>: teachers receiving continuous training - fulfilled.</w:t>
      </w:r>
    </w:p>
    <w:p w14:paraId="414BF662" w14:textId="77777777" w:rsidR="00374CBE" w:rsidRDefault="00374CBE" w:rsidP="00374CBE"/>
    <w:p w14:paraId="1A37E7D1" w14:textId="77777777" w:rsidR="00374CBE" w:rsidRDefault="00374CBE" w:rsidP="00374CBE">
      <w:r>
        <w:t xml:space="preserve">As noted for Indicator 2.2.1, the concepts of 'initial' and 'continuous' training have only been fully developed in 2016. This means that the baseline for the required 15% increase is zero and any level of 'continuous' training undertaken would be sufficient for fulfilment. </w:t>
      </w:r>
    </w:p>
    <w:p w14:paraId="6DC50B13" w14:textId="77777777" w:rsidR="00374CBE" w:rsidRDefault="00374CBE" w:rsidP="00374CBE"/>
    <w:p w14:paraId="3B46C30D" w14:textId="77777777" w:rsidR="00374CBE" w:rsidRDefault="00374CBE" w:rsidP="00374CBE">
      <w:r w:rsidRPr="000C4DCA">
        <w:t xml:space="preserve">As part of the process of introducing a programme of planned professional development of VET teachers, </w:t>
      </w:r>
      <w:r>
        <w:t>MCA-G</w:t>
      </w:r>
      <w:r w:rsidRPr="000C4DCA">
        <w:t xml:space="preserve"> supported TPDC to develop the capacity for conducting training needs analysis (TNA)</w:t>
      </w:r>
      <w:r>
        <w:t xml:space="preserve"> </w:t>
      </w:r>
      <w:r w:rsidRPr="000C4DCA">
        <w:t xml:space="preserve">to identify VET teachers’ training needs. </w:t>
      </w:r>
      <w:r w:rsidRPr="00E52F49">
        <w:t xml:space="preserve">With MCA-G project </w:t>
      </w:r>
      <w:r>
        <w:t xml:space="preserve">methodological </w:t>
      </w:r>
      <w:r w:rsidRPr="00E52F49">
        <w:t xml:space="preserve">support </w:t>
      </w:r>
      <w:r>
        <w:t xml:space="preserve">TPDC conducted an initial online TNA survey </w:t>
      </w:r>
      <w:r w:rsidRPr="00E52F49">
        <w:t>over January/February 2016</w:t>
      </w:r>
      <w:r>
        <w:t xml:space="preserve">, analysing </w:t>
      </w:r>
      <w:r w:rsidRPr="00E52F49">
        <w:t>the data in March 2016. A</w:t>
      </w:r>
      <w:r>
        <w:t xml:space="preserve"> </w:t>
      </w:r>
      <w:r w:rsidRPr="00E52F49">
        <w:t xml:space="preserve">total </w:t>
      </w:r>
      <w:r>
        <w:t xml:space="preserve">of </w:t>
      </w:r>
      <w:r w:rsidRPr="00E52F49">
        <w:t>29 institutions participated in the survey (19 public VET colleges and 10 higher educational institutions)</w:t>
      </w:r>
      <w:r>
        <w:t xml:space="preserve"> with </w:t>
      </w:r>
      <w:r w:rsidRPr="00E52F49">
        <w:t xml:space="preserve">830 </w:t>
      </w:r>
      <w:r>
        <w:t xml:space="preserve">VET teachers </w:t>
      </w:r>
      <w:r w:rsidRPr="00E52F49">
        <w:t>respond</w:t>
      </w:r>
      <w:r>
        <w:t>ing</w:t>
      </w:r>
      <w:r w:rsidRPr="00E52F49">
        <w:t xml:space="preserve">. </w:t>
      </w:r>
      <w:r>
        <w:t>During August/September 2016 all VET teachers were reported to have conducted a self-assessment of training needs and developed individual training plans.</w:t>
      </w:r>
    </w:p>
    <w:p w14:paraId="24B599F9" w14:textId="77777777" w:rsidR="00374CBE" w:rsidRDefault="00374CBE" w:rsidP="00374CBE"/>
    <w:p w14:paraId="65E0AD89" w14:textId="77777777" w:rsidR="00374CBE" w:rsidRPr="000525A4" w:rsidRDefault="00374CBE" w:rsidP="00374CBE">
      <w:r>
        <w:t xml:space="preserve">The most obvious manifestation of this individual needs based continuous training is in the update of knowledge and skills through workplace training. </w:t>
      </w:r>
      <w:r w:rsidRPr="00BC0359">
        <w:rPr>
          <w:rFonts w:eastAsia="Times New Roman" w:cs="Times New Roman"/>
        </w:rPr>
        <w:t>In 2016, 329 VET teachers pa</w:t>
      </w:r>
      <w:r>
        <w:rPr>
          <w:rFonts w:eastAsia="Times New Roman" w:cs="Times New Roman"/>
        </w:rPr>
        <w:t>rticipated in such</w:t>
      </w:r>
      <w:r w:rsidRPr="00BC0359">
        <w:rPr>
          <w:rFonts w:eastAsia="Times New Roman" w:cs="Times New Roman"/>
        </w:rPr>
        <w:t xml:space="preserve"> in-company training in 36 directions (in the fields of IT, arts, crafts, engineering, services, etc.).</w:t>
      </w:r>
      <w:r>
        <w:rPr>
          <w:rFonts w:eastAsia="Times New Roman" w:cs="Times New Roman"/>
        </w:rPr>
        <w:t xml:space="preserve"> Additionally, teachers participated in training related to new VET sector initiatives: </w:t>
      </w:r>
      <w:r w:rsidRPr="00BC0359">
        <w:rPr>
          <w:rFonts w:eastAsia="Times New Roman" w:cs="Times New Roman"/>
        </w:rPr>
        <w:t>407 on “Modular teaching issues for VET” (12 hours), 316 on "Individual approaches to vocational students with special educational needs and vocational testing - part 2" (10 hours)</w:t>
      </w:r>
      <w:r>
        <w:rPr>
          <w:rFonts w:eastAsia="Times New Roman" w:cs="Times New Roman"/>
        </w:rPr>
        <w:t>,</w:t>
      </w:r>
      <w:r w:rsidRPr="00BC0359">
        <w:rPr>
          <w:rFonts w:eastAsia="Times New Roman" w:cs="Times New Roman"/>
        </w:rPr>
        <w:t xml:space="preserve"> and 50 on “VET Teachers</w:t>
      </w:r>
      <w:r>
        <w:rPr>
          <w:rFonts w:eastAsia="Times New Roman" w:cs="Times New Roman"/>
        </w:rPr>
        <w:t>'</w:t>
      </w:r>
      <w:r w:rsidRPr="00BC0359">
        <w:rPr>
          <w:rFonts w:eastAsia="Times New Roman" w:cs="Times New Roman"/>
        </w:rPr>
        <w:t xml:space="preserve"> International Mobility” (~10 hours). </w:t>
      </w:r>
    </w:p>
    <w:p w14:paraId="776E56EE" w14:textId="77777777" w:rsidR="00374CBE" w:rsidRDefault="00374CBE" w:rsidP="00374CBE"/>
    <w:p w14:paraId="5F09D375" w14:textId="77777777" w:rsidR="00374CBE" w:rsidRDefault="00374CBE" w:rsidP="00374CBE">
      <w:pPr>
        <w:ind w:right="26"/>
      </w:pPr>
      <w:r>
        <w:rPr>
          <w:b/>
          <w:bCs/>
          <w:u w:val="single"/>
        </w:rPr>
        <w:t>Indicator 2.2.3</w:t>
      </w:r>
      <w:r>
        <w:rPr>
          <w:b/>
          <w:bCs/>
        </w:rPr>
        <w:t>: updated online list of vocational qualifications - fulfilled.</w:t>
      </w:r>
    </w:p>
    <w:p w14:paraId="17021808" w14:textId="77777777" w:rsidR="00374CBE" w:rsidRDefault="00374CBE" w:rsidP="00374CBE"/>
    <w:p w14:paraId="4660AD4B" w14:textId="77777777" w:rsidR="00374CBE" w:rsidRPr="001E08D1" w:rsidRDefault="00374CBE" w:rsidP="00374CBE">
      <w:r>
        <w:t>A</w:t>
      </w:r>
      <w:r w:rsidRPr="004324DF">
        <w:t xml:space="preserve"> list of vocational qualifications and </w:t>
      </w:r>
      <w:r>
        <w:t xml:space="preserve">a catalogue of </w:t>
      </w:r>
      <w:r w:rsidRPr="004324DF">
        <w:t xml:space="preserve">occupational standards are </w:t>
      </w:r>
      <w:r>
        <w:t>both available online on</w:t>
      </w:r>
      <w:r w:rsidRPr="004324DF">
        <w:t xml:space="preserve"> </w:t>
      </w:r>
      <w:hyperlink r:id="rId13" w:history="1">
        <w:r w:rsidRPr="004324DF">
          <w:rPr>
            <w:rStyle w:val="Hyperlink"/>
          </w:rPr>
          <w:t>www.vet.ge</w:t>
        </w:r>
      </w:hyperlink>
      <w:r w:rsidRPr="001E08D1">
        <w:t xml:space="preserve">. Both have been updated periodically to reflect the introduction of new qualifications and standards, and the revision of existing ones. </w:t>
      </w:r>
      <w:r>
        <w:t>Links have also been incorporated into the Labour Market Information System (LMIS) website developed by MoLHSA (see Specific Condition 1.1).</w:t>
      </w:r>
    </w:p>
    <w:p w14:paraId="05E4ED8B" w14:textId="77777777" w:rsidR="00374CBE" w:rsidRDefault="00374CBE" w:rsidP="00374CBE"/>
    <w:p w14:paraId="3A799210" w14:textId="77777777" w:rsidR="00374CBE" w:rsidRDefault="00374CBE" w:rsidP="00374CBE">
      <w:pPr>
        <w:pStyle w:val="Heading3"/>
      </w:pPr>
      <w:bookmarkStart w:id="8" w:name="_Toc486837745"/>
      <w:r>
        <w:t>iii)</w:t>
      </w:r>
      <w:r>
        <w:tab/>
        <w:t xml:space="preserve">Component 3: </w:t>
      </w:r>
      <w:r>
        <w:rPr>
          <w:lang w:eastAsia="en-GB"/>
        </w:rPr>
        <w:t>Efficient Transition from Training into Employment</w:t>
      </w:r>
      <w:r>
        <w:t>.</w:t>
      </w:r>
      <w:bookmarkEnd w:id="8"/>
    </w:p>
    <w:p w14:paraId="64E53BDD" w14:textId="77777777" w:rsidR="00374CBE" w:rsidRDefault="00374CBE" w:rsidP="00374CBE"/>
    <w:p w14:paraId="49367523" w14:textId="77777777" w:rsidR="00374CBE" w:rsidRDefault="00374CBE" w:rsidP="00374CBE">
      <w:pPr>
        <w:ind w:right="580"/>
        <w:rPr>
          <w:b/>
          <w:bCs/>
          <w:lang w:eastAsia="en-GB"/>
        </w:rPr>
      </w:pPr>
      <w:r w:rsidRPr="00464FBD">
        <w:rPr>
          <w:b/>
          <w:bCs/>
          <w:u w:val="single"/>
        </w:rPr>
        <w:t>Specific Condition 3.1</w:t>
      </w:r>
      <w:r>
        <w:rPr>
          <w:b/>
          <w:bCs/>
        </w:rPr>
        <w:t>:</w:t>
      </w:r>
      <w:r>
        <w:rPr>
          <w:b/>
          <w:bCs/>
          <w:lang w:eastAsia="en-GB"/>
        </w:rPr>
        <w:t xml:space="preserve"> </w:t>
      </w:r>
      <w:r w:rsidRPr="00464FBD">
        <w:rPr>
          <w:b/>
          <w:bCs/>
          <w:i/>
          <w:lang w:eastAsia="en-GB"/>
        </w:rPr>
        <w:t>Efficient transition from training to employment.</w:t>
      </w:r>
    </w:p>
    <w:p w14:paraId="4938901D" w14:textId="77777777" w:rsidR="00374CBE" w:rsidRDefault="00374CBE" w:rsidP="00374CBE">
      <w:pPr>
        <w:rPr>
          <w:b/>
          <w:bCs/>
          <w:i/>
          <w:lang w:eastAsia="en-GB"/>
        </w:rPr>
      </w:pPr>
    </w:p>
    <w:p w14:paraId="19FD7E8E" w14:textId="77777777" w:rsidR="00374CBE" w:rsidRPr="0095050A" w:rsidRDefault="00374CBE" w:rsidP="00374CBE">
      <w:pPr>
        <w:rPr>
          <w:b/>
          <w:bCs/>
        </w:rPr>
      </w:pPr>
      <w:r w:rsidRPr="0095050A">
        <w:rPr>
          <w:b/>
          <w:bCs/>
          <w:lang w:eastAsia="en-GB"/>
        </w:rPr>
        <w:t>Review Assessment</w:t>
      </w:r>
      <w:r w:rsidRPr="0095050A">
        <w:rPr>
          <w:b/>
          <w:bCs/>
        </w:rPr>
        <w:t xml:space="preserve">: </w:t>
      </w:r>
      <w:r>
        <w:rPr>
          <w:b/>
          <w:bCs/>
        </w:rPr>
        <w:t>non-</w:t>
      </w:r>
      <w:r w:rsidRPr="0095050A">
        <w:rPr>
          <w:b/>
          <w:bCs/>
        </w:rPr>
        <w:t>compliance</w:t>
      </w:r>
      <w:r w:rsidRPr="00464FBD">
        <w:rPr>
          <w:bCs/>
        </w:rPr>
        <w:t xml:space="preserve"> (one of two indicators fulfilled insufficient for partial compliance).</w:t>
      </w:r>
    </w:p>
    <w:p w14:paraId="2CECD525" w14:textId="77777777" w:rsidR="00374CBE" w:rsidRPr="0095050A" w:rsidRDefault="00374CBE" w:rsidP="00374CBE">
      <w:pPr>
        <w:rPr>
          <w:bCs/>
        </w:rPr>
      </w:pPr>
      <w:r w:rsidRPr="0095050A">
        <w:rPr>
          <w:bCs/>
        </w:rPr>
        <w:t xml:space="preserve">(Potential value: €1.0mn; Score: </w:t>
      </w:r>
      <w:r>
        <w:rPr>
          <w:bCs/>
        </w:rPr>
        <w:t>0</w:t>
      </w:r>
      <w:r w:rsidRPr="0095050A">
        <w:rPr>
          <w:bCs/>
        </w:rPr>
        <w:t xml:space="preserve">.0; Recommended funds release: </w:t>
      </w:r>
      <w:r>
        <w:rPr>
          <w:bCs/>
        </w:rPr>
        <w:t>nil</w:t>
      </w:r>
      <w:r w:rsidRPr="0095050A">
        <w:rPr>
          <w:bCs/>
        </w:rPr>
        <w:t>)</w:t>
      </w:r>
    </w:p>
    <w:p w14:paraId="14B9B1D4" w14:textId="77777777" w:rsidR="00374CBE" w:rsidRDefault="00374CBE" w:rsidP="00374CBE"/>
    <w:p w14:paraId="32E7CD23" w14:textId="77777777" w:rsidR="00374CBE" w:rsidRDefault="00374CBE" w:rsidP="00374CBE">
      <w:pPr>
        <w:rPr>
          <w:b/>
          <w:bCs/>
        </w:rPr>
      </w:pPr>
      <w:r>
        <w:rPr>
          <w:b/>
          <w:bCs/>
          <w:u w:val="single"/>
        </w:rPr>
        <w:t>Indicator 3.1.1</w:t>
      </w:r>
      <w:r>
        <w:rPr>
          <w:b/>
          <w:bCs/>
        </w:rPr>
        <w:t>: roll-out of new career guidance approach to all state VET providers - unfulfilled.</w:t>
      </w:r>
    </w:p>
    <w:p w14:paraId="01B57742" w14:textId="77777777" w:rsidR="00374CBE" w:rsidRDefault="00374CBE" w:rsidP="00374CBE"/>
    <w:p w14:paraId="29ACD3A7" w14:textId="77777777" w:rsidR="00374CBE" w:rsidRDefault="00374CBE" w:rsidP="00374CBE">
      <w:r w:rsidRPr="00553DD8">
        <w:rPr>
          <w:rFonts w:eastAsia="Times New Roman" w:cs="Times New Roman"/>
          <w:lang w:eastAsia="en-GB"/>
        </w:rPr>
        <w:t xml:space="preserve">The key to this indicator is the application </w:t>
      </w:r>
      <w:r w:rsidRPr="00A30B54">
        <w:rPr>
          <w:rFonts w:eastAsia="Times New Roman" w:cs="Times New Roman"/>
          <w:lang w:eastAsia="en-GB"/>
        </w:rPr>
        <w:t>within all public VET institutions</w:t>
      </w:r>
      <w:r>
        <w:rPr>
          <w:rFonts w:eastAsia="Times New Roman" w:cs="Times New Roman"/>
          <w:lang w:eastAsia="en-GB"/>
        </w:rPr>
        <w:t xml:space="preserve"> </w:t>
      </w:r>
      <w:r w:rsidRPr="00553DD8">
        <w:rPr>
          <w:rFonts w:eastAsia="Times New Roman" w:cs="Times New Roman"/>
          <w:lang w:eastAsia="en-GB"/>
        </w:rPr>
        <w:t xml:space="preserve">of the new approach to career guidance and counselling developed in late 2015 and early 2016, and piloted thereafter </w:t>
      </w:r>
      <w:r>
        <w:rPr>
          <w:rFonts w:eastAsia="Times New Roman" w:cs="Times New Roman"/>
          <w:lang w:eastAsia="en-GB"/>
        </w:rPr>
        <w:t xml:space="preserve">in 18 VET colleges and 5 ESS centres </w:t>
      </w:r>
      <w:r w:rsidRPr="00553DD8">
        <w:rPr>
          <w:rFonts w:eastAsia="Times New Roman" w:cs="Times New Roman"/>
          <w:lang w:eastAsia="en-GB"/>
        </w:rPr>
        <w:t xml:space="preserve">(as required under the Third Instalment </w:t>
      </w:r>
      <w:r w:rsidRPr="00A30B54">
        <w:rPr>
          <w:rFonts w:eastAsia="Times New Roman" w:cs="Times New Roman"/>
          <w:lang w:eastAsia="en-GB"/>
        </w:rPr>
        <w:t xml:space="preserve">Specific Condition 3.1, Indicators 3.1.1 and 3.1.2). </w:t>
      </w:r>
    </w:p>
    <w:p w14:paraId="66407BBE" w14:textId="77777777" w:rsidR="00374CBE" w:rsidRDefault="00374CBE" w:rsidP="00374CBE"/>
    <w:p w14:paraId="52D82334" w14:textId="77777777" w:rsidR="00374CBE" w:rsidRDefault="00374CBE" w:rsidP="00374CBE">
      <w:pPr>
        <w:rPr>
          <w:lang w:eastAsia="en-GB"/>
        </w:rPr>
      </w:pPr>
      <w:r>
        <w:t xml:space="preserve">There is an </w:t>
      </w:r>
      <w:r>
        <w:rPr>
          <w:lang w:eastAsia="en-GB"/>
        </w:rPr>
        <w:t xml:space="preserve">issue </w:t>
      </w:r>
      <w:r>
        <w:t xml:space="preserve">about what constitutes </w:t>
      </w:r>
      <w:r w:rsidRPr="00716161">
        <w:rPr>
          <w:i/>
          <w:lang w:eastAsia="en-GB"/>
        </w:rPr>
        <w:t>'all public VET institutions</w:t>
      </w:r>
      <w:r>
        <w:rPr>
          <w:lang w:eastAsia="en-GB"/>
        </w:rPr>
        <w:t xml:space="preserve">'. </w:t>
      </w:r>
      <w:r>
        <w:t xml:space="preserve">Different data provides different numbers for the number and nature of state VET providers, which include </w:t>
      </w:r>
      <w:r>
        <w:rPr>
          <w:lang w:eastAsia="en-GB"/>
        </w:rPr>
        <w:t xml:space="preserve">colleges, classified as either VET and community, higher education institutions, and secondary schools. EMIS for the </w:t>
      </w:r>
      <w:r>
        <w:t xml:space="preserve">end of 2016 referred to </w:t>
      </w:r>
      <w:r>
        <w:rPr>
          <w:lang w:eastAsia="en-GB"/>
        </w:rPr>
        <w:t>22 colleges</w:t>
      </w:r>
      <w:r>
        <w:t>,</w:t>
      </w:r>
      <w:r>
        <w:rPr>
          <w:lang w:eastAsia="en-GB"/>
        </w:rPr>
        <w:t xml:space="preserve"> 15 higher education institutions and one secondary school</w:t>
      </w:r>
      <w:r>
        <w:t xml:space="preserve">, but the numbers vary depending subject, with a report on </w:t>
      </w:r>
      <w:r>
        <w:rPr>
          <w:lang w:eastAsia="en-GB"/>
        </w:rPr>
        <w:t xml:space="preserve">student numbers by institution for the autumn 2016 intake </w:t>
      </w:r>
      <w:r>
        <w:t>including two fewer</w:t>
      </w:r>
      <w:r>
        <w:rPr>
          <w:lang w:eastAsia="en-GB"/>
        </w:rPr>
        <w:t xml:space="preserve"> higher education institutions</w:t>
      </w:r>
      <w:r>
        <w:t xml:space="preserve">. </w:t>
      </w:r>
      <w:r>
        <w:rPr>
          <w:lang w:eastAsia="en-GB"/>
        </w:rPr>
        <w:t xml:space="preserve">MoES </w:t>
      </w:r>
      <w:r>
        <w:t xml:space="preserve">on the other hand </w:t>
      </w:r>
      <w:r>
        <w:rPr>
          <w:lang w:eastAsia="en-GB"/>
        </w:rPr>
        <w:t xml:space="preserve">considered the Indicator refers only to </w:t>
      </w:r>
      <w:r>
        <w:t xml:space="preserve">the 18 </w:t>
      </w:r>
      <w:r>
        <w:rPr>
          <w:lang w:eastAsia="en-GB"/>
        </w:rPr>
        <w:t>state VET colleges</w:t>
      </w:r>
      <w:r>
        <w:t xml:space="preserve"> active at the start of 2016, justifying the exclusion of higher education institutions on the grounds that they have Career Centres operating on a different basis and without need for methodological support, a conclusion not born out by discussion held by the Review with a couple of VET providing universities. </w:t>
      </w:r>
    </w:p>
    <w:p w14:paraId="48CB7368" w14:textId="77777777" w:rsidR="00374CBE" w:rsidRDefault="00374CBE" w:rsidP="00374CBE"/>
    <w:p w14:paraId="40173DBD" w14:textId="77777777" w:rsidR="00374CBE" w:rsidRDefault="00374CBE" w:rsidP="00374CBE">
      <w:r>
        <w:lastRenderedPageBreak/>
        <w:t xml:space="preserve">Under the EU AAP2013 EVET Programme the Indicators assumed development of new approaches to POCG (through standards and guidelines/manual) and their piloting in 2015, with the roll out across all state VET institutions in 2016. However, all activities in methodological development were delayed to the end of 2015, so the pilot was essentially implemented only in 2016, the action plan for which, produced in draft in December 2015, envisaged nine months of implementation from the second quarter. The pilot involved a series of training events supported by EU and other TA projects at which the new approaches, detailed in a series of documents, were disseminated to some career managers from some colleges (but not all), and which are continuing in 2017, but more importantly was to include on-the-job training while career guidance officers were interfacing with students. </w:t>
      </w:r>
    </w:p>
    <w:p w14:paraId="56A85726" w14:textId="77777777" w:rsidR="00374CBE" w:rsidRDefault="00374CBE" w:rsidP="00374CBE"/>
    <w:p w14:paraId="13241E54" w14:textId="77777777" w:rsidR="00374CBE" w:rsidRDefault="00374CBE" w:rsidP="00374CBE">
      <w:pPr>
        <w:rPr>
          <w:lang w:eastAsia="en-GB"/>
        </w:rPr>
      </w:pPr>
      <w:r>
        <w:t>Visits by the Review to several VET colleges showed that, although a number of POCG activities were being implemented by Career Managers based on their pilot training (where they had participated, not all having done so), a systemic new approach based on the standards, manual and guidelines developed in 2015 was not in place. Indeed, t</w:t>
      </w:r>
      <w:r>
        <w:rPr>
          <w:rFonts w:eastAsia="Times New Roman" w:cs="Times New Roman"/>
          <w:lang w:eastAsia="en-GB"/>
        </w:rPr>
        <w:t xml:space="preserve">he main efforts in the VET colleges </w:t>
      </w:r>
      <w:r>
        <w:rPr>
          <w:rFonts w:cs="Times New Roman"/>
        </w:rPr>
        <w:t xml:space="preserve">appears to be </w:t>
      </w:r>
      <w:r>
        <w:rPr>
          <w:rFonts w:eastAsia="Times New Roman" w:cs="Times New Roman"/>
          <w:lang w:eastAsia="en-GB"/>
        </w:rPr>
        <w:t xml:space="preserve">still concentrated on so called “professional orientation” which is mostly understood as advertisement of own colleges and </w:t>
      </w:r>
      <w:r>
        <w:rPr>
          <w:rFonts w:cs="Times New Roman"/>
        </w:rPr>
        <w:t xml:space="preserve">the </w:t>
      </w:r>
      <w:r>
        <w:rPr>
          <w:rFonts w:eastAsia="Times New Roman" w:cs="Times New Roman"/>
          <w:lang w:eastAsia="en-GB"/>
        </w:rPr>
        <w:t xml:space="preserve">direction of general education pupils/graduates to VET (as apparently also understood by MoES), </w:t>
      </w:r>
      <w:r>
        <w:rPr>
          <w:rFonts w:cs="Times New Roman"/>
        </w:rPr>
        <w:t xml:space="preserve">rather than </w:t>
      </w:r>
      <w:r>
        <w:rPr>
          <w:rFonts w:eastAsia="Times New Roman" w:cs="Times New Roman"/>
          <w:lang w:eastAsia="en-GB"/>
        </w:rPr>
        <w:t xml:space="preserve">the “career guidance” activities </w:t>
      </w:r>
      <w:r>
        <w:rPr>
          <w:rFonts w:cs="Times New Roman"/>
        </w:rPr>
        <w:t xml:space="preserve">to guide individuals to certain career paths based on their aptitudes, as embodied in the piloted new approach. </w:t>
      </w:r>
      <w:r>
        <w:t xml:space="preserve">Furthermore, visits to higher education institutions providing VET confirmed that no attempt had been made to extend the new approach to POCG to this group of </w:t>
      </w:r>
      <w:r w:rsidRPr="00B8311F">
        <w:rPr>
          <w:i/>
        </w:rPr>
        <w:t>'public VET institutions</w:t>
      </w:r>
      <w:r>
        <w:t xml:space="preserve">'. This conclusion is supported by </w:t>
      </w:r>
      <w:r>
        <w:rPr>
          <w:rFonts w:eastAsia="Times New Roman" w:cs="Times New Roman"/>
        </w:rPr>
        <w:t>MoES</w:t>
      </w:r>
      <w:r>
        <w:rPr>
          <w:rFonts w:cs="Times New Roman"/>
        </w:rPr>
        <w:t>'s</w:t>
      </w:r>
      <w:r>
        <w:rPr>
          <w:rFonts w:eastAsia="Times New Roman" w:cs="Times New Roman"/>
        </w:rPr>
        <w:t xml:space="preserve"> </w:t>
      </w:r>
      <w:r>
        <w:rPr>
          <w:rFonts w:cs="Times New Roman"/>
        </w:rPr>
        <w:t>S</w:t>
      </w:r>
      <w:r>
        <w:rPr>
          <w:rFonts w:eastAsia="Times New Roman" w:cs="Times New Roman"/>
        </w:rPr>
        <w:t xml:space="preserve">ummary Report on the POCG activities </w:t>
      </w:r>
      <w:r>
        <w:rPr>
          <w:rFonts w:cs="Times New Roman"/>
        </w:rPr>
        <w:t xml:space="preserve">in 19 VET colleges which </w:t>
      </w:r>
      <w:r>
        <w:rPr>
          <w:rFonts w:eastAsia="Times New Roman" w:cs="Times New Roman"/>
        </w:rPr>
        <w:t xml:space="preserve">states that the </w:t>
      </w:r>
      <w:r w:rsidRPr="00A87DD6">
        <w:rPr>
          <w:rFonts w:eastAsia="Times New Roman" w:cs="Times New Roman"/>
        </w:rPr>
        <w:t>‘</w:t>
      </w:r>
      <w:r w:rsidRPr="00A87DD6">
        <w:rPr>
          <w:rFonts w:eastAsia="Times New Roman" w:cs="Times New Roman"/>
          <w:i/>
        </w:rPr>
        <w:t>Years 2015, 2016 were dedicated for preparation and piloting phases…</w:t>
      </w:r>
      <w:r>
        <w:rPr>
          <w:rFonts w:eastAsia="Times New Roman" w:cs="Times New Roman"/>
        </w:rPr>
        <w:t>’</w:t>
      </w:r>
      <w:r>
        <w:rPr>
          <w:rFonts w:cs="Times New Roman"/>
        </w:rPr>
        <w:t xml:space="preserve">, and by the continued failure of MoES to provide substandards </w:t>
      </w:r>
      <w:r>
        <w:t xml:space="preserve">for delivery of career guidance and counselling services through state VET institutions to support implementation of </w:t>
      </w:r>
      <w:r w:rsidRPr="00E6197F">
        <w:t>Government Decree</w:t>
      </w:r>
      <w:r>
        <w:t xml:space="preserve"> No.676 of 30th December 2015 approving</w:t>
      </w:r>
      <w:r>
        <w:rPr>
          <w:i/>
        </w:rPr>
        <w:t xml:space="preserve"> Standards for career guidance</w:t>
      </w:r>
      <w:r>
        <w:t xml:space="preserve">. </w:t>
      </w:r>
      <w:r>
        <w:rPr>
          <w:rFonts w:cs="Times New Roman"/>
        </w:rPr>
        <w:t>Furthermore</w:t>
      </w:r>
      <w:r w:rsidRPr="005A25CD">
        <w:rPr>
          <w:rFonts w:eastAsia="Times New Roman" w:cs="Times New Roman"/>
        </w:rPr>
        <w:t xml:space="preserve">, the Action Plan for the implementation of the new Professional Orientation and Career Guidance approach was </w:t>
      </w:r>
      <w:r>
        <w:rPr>
          <w:rFonts w:eastAsia="Times New Roman" w:cs="Times New Roman"/>
        </w:rPr>
        <w:t xml:space="preserve">reportedly </w:t>
      </w:r>
      <w:r w:rsidRPr="005A25CD">
        <w:rPr>
          <w:rFonts w:eastAsia="Times New Roman" w:cs="Times New Roman"/>
        </w:rPr>
        <w:t xml:space="preserve">still being developed under the EU TA project, including extension of </w:t>
      </w:r>
      <w:r>
        <w:rPr>
          <w:rFonts w:eastAsia="Times New Roman" w:cs="Times New Roman"/>
        </w:rPr>
        <w:t xml:space="preserve">some elements of </w:t>
      </w:r>
      <w:r w:rsidRPr="005A25CD">
        <w:rPr>
          <w:rFonts w:eastAsia="Times New Roman" w:cs="Times New Roman"/>
        </w:rPr>
        <w:t>the pilot phase.</w:t>
      </w:r>
    </w:p>
    <w:p w14:paraId="6BAC47F7" w14:textId="77777777" w:rsidR="00374CBE" w:rsidRDefault="00374CBE" w:rsidP="00374CBE"/>
    <w:p w14:paraId="4B51CB90" w14:textId="77777777" w:rsidR="00374CBE" w:rsidRDefault="00374CBE" w:rsidP="00374CBE">
      <w:r w:rsidRPr="005A25CD">
        <w:rPr>
          <w:rFonts w:eastAsia="Times New Roman" w:cs="Times New Roman"/>
        </w:rPr>
        <w:t xml:space="preserve">Based on </w:t>
      </w:r>
      <w:r>
        <w:rPr>
          <w:rFonts w:eastAsia="Times New Roman" w:cs="Times New Roman"/>
        </w:rPr>
        <w:t xml:space="preserve">this analysis, </w:t>
      </w:r>
      <w:r w:rsidRPr="005A25CD">
        <w:rPr>
          <w:rFonts w:eastAsia="Times New Roman" w:cs="Times New Roman"/>
        </w:rPr>
        <w:t xml:space="preserve">the Review concluded that implementation of the new career guidance and counselling concepts in </w:t>
      </w:r>
      <w:r>
        <w:rPr>
          <w:rFonts w:eastAsia="Times New Roman" w:cs="Times New Roman"/>
        </w:rPr>
        <w:t xml:space="preserve">all </w:t>
      </w:r>
      <w:r w:rsidRPr="005A25CD">
        <w:rPr>
          <w:rFonts w:eastAsia="Times New Roman" w:cs="Times New Roman"/>
        </w:rPr>
        <w:t xml:space="preserve">state VET institutions </w:t>
      </w:r>
      <w:r>
        <w:rPr>
          <w:rFonts w:eastAsia="Times New Roman" w:cs="Times New Roman"/>
        </w:rPr>
        <w:t>has not been achieved. 2016 has seen activities to support the new POCG approach agreed in 2015, but these are essentially implementation of the pilot</w:t>
      </w:r>
      <w:r>
        <w:rPr>
          <w:rFonts w:cs="Times New Roman"/>
        </w:rPr>
        <w:t xml:space="preserve">, relevant </w:t>
      </w:r>
      <w:r>
        <w:rPr>
          <w:rFonts w:eastAsia="Times New Roman" w:cs="Times New Roman"/>
        </w:rPr>
        <w:t xml:space="preserve">to reassessment of Third Instalment Indicator 3.1.2 </w:t>
      </w:r>
      <w:r>
        <w:rPr>
          <w:rFonts w:cs="Times New Roman"/>
        </w:rPr>
        <w:t>(see below) rather than this current Fourth Instalment Indicator.</w:t>
      </w:r>
    </w:p>
    <w:p w14:paraId="1BFB1E78" w14:textId="77777777" w:rsidR="00374CBE" w:rsidRDefault="00374CBE" w:rsidP="00374CBE">
      <w:pPr>
        <w:ind w:right="580"/>
      </w:pPr>
    </w:p>
    <w:p w14:paraId="0BCC9C31" w14:textId="77777777" w:rsidR="00374CBE" w:rsidRDefault="00374CBE" w:rsidP="00374CBE">
      <w:pPr>
        <w:rPr>
          <w:b/>
          <w:bCs/>
        </w:rPr>
      </w:pPr>
      <w:r>
        <w:rPr>
          <w:b/>
          <w:bCs/>
          <w:u w:val="single"/>
        </w:rPr>
        <w:t>Indicator 3.1.2</w:t>
      </w:r>
      <w:r>
        <w:rPr>
          <w:b/>
          <w:bCs/>
        </w:rPr>
        <w:t>: VET graduate tracer study - fulfilled.</w:t>
      </w:r>
    </w:p>
    <w:p w14:paraId="4390B8ED" w14:textId="77777777" w:rsidR="00374CBE" w:rsidRDefault="00374CBE" w:rsidP="00374CBE"/>
    <w:p w14:paraId="22132D9F" w14:textId="77777777" w:rsidR="00374CBE" w:rsidRDefault="00374CBE" w:rsidP="00374CBE">
      <w:pPr>
        <w:rPr>
          <w:rFonts w:eastAsia="Times New Roman" w:cs="Arial"/>
        </w:rPr>
      </w:pPr>
      <w:r>
        <w:rPr>
          <w:rFonts w:eastAsia="Times New Roman" w:cs="Arial"/>
        </w:rPr>
        <w:t>Tracer studies have now been completed for three years: in 2014 on 2012/13 academic year graduates, in 2015 on 2013/14 academic year graduates, and in 2016 on 2014/15 academic year graduates. All the studies were based on responses to a telephone call questionnaire of graduates eighteen months to two years after completing their courses, the success of which is partly based on phone contact details of graduates remaining up-to-date. Whereas the first study covered graduates from VET colleges only, the two later studies appear to have also included graduates from VET providing higher education institutions.</w:t>
      </w:r>
    </w:p>
    <w:p w14:paraId="54C9F837" w14:textId="77777777" w:rsidR="00374CBE" w:rsidRDefault="00374CBE" w:rsidP="00374CBE">
      <w:pPr>
        <w:rPr>
          <w:rFonts w:eastAsia="Times New Roman" w:cs="Arial"/>
        </w:rPr>
      </w:pPr>
    </w:p>
    <w:p w14:paraId="63442C72" w14:textId="77777777" w:rsidR="00374CBE" w:rsidRPr="00F47ED3" w:rsidRDefault="00374CBE" w:rsidP="00374CBE">
      <w:pPr>
        <w:rPr>
          <w:rFonts w:cs="Arial"/>
        </w:rPr>
      </w:pPr>
      <w:r>
        <w:rPr>
          <w:rFonts w:cs="Arial"/>
          <w:szCs w:val="20"/>
        </w:rPr>
        <w:t xml:space="preserve">The 2015 study covering 2013/14 graduates involved responses from 2591 graduates (reported as 39.5% of total graduates - i.e. around 6600). </w:t>
      </w:r>
      <w:r w:rsidRPr="00F47ED3">
        <w:rPr>
          <w:rFonts w:cs="Arial"/>
        </w:rPr>
        <w:t xml:space="preserve">The </w:t>
      </w:r>
      <w:r>
        <w:rPr>
          <w:rFonts w:cs="Arial"/>
        </w:rPr>
        <w:t xml:space="preserve">2016 study </w:t>
      </w:r>
      <w:r w:rsidRPr="00F47ED3">
        <w:rPr>
          <w:rFonts w:cs="Arial"/>
        </w:rPr>
        <w:t>of 20</w:t>
      </w:r>
      <w:r>
        <w:rPr>
          <w:rFonts w:cs="Arial"/>
        </w:rPr>
        <w:t>14/</w:t>
      </w:r>
      <w:r w:rsidRPr="00F47ED3">
        <w:rPr>
          <w:rFonts w:cs="Arial"/>
        </w:rPr>
        <w:t xml:space="preserve">15 </w:t>
      </w:r>
      <w:r>
        <w:rPr>
          <w:rFonts w:cs="Arial"/>
        </w:rPr>
        <w:t>g</w:t>
      </w:r>
      <w:r w:rsidRPr="00F47ED3">
        <w:rPr>
          <w:rFonts w:cs="Arial"/>
        </w:rPr>
        <w:t>raduates</w:t>
      </w:r>
      <w:r>
        <w:rPr>
          <w:rFonts w:cs="Arial"/>
        </w:rPr>
        <w:t>,</w:t>
      </w:r>
      <w:r w:rsidRPr="00F47ED3">
        <w:rPr>
          <w:rFonts w:cs="Arial"/>
        </w:rPr>
        <w:t xml:space="preserve"> organised by MoES and implemented by OROEI</w:t>
      </w:r>
      <w:r>
        <w:rPr>
          <w:rFonts w:cs="Arial"/>
        </w:rPr>
        <w:t>,</w:t>
      </w:r>
      <w:r w:rsidRPr="00F47ED3">
        <w:rPr>
          <w:rFonts w:cs="Arial"/>
        </w:rPr>
        <w:t xml:space="preserve"> </w:t>
      </w:r>
      <w:r>
        <w:rPr>
          <w:rFonts w:cs="Arial"/>
        </w:rPr>
        <w:t xml:space="preserve">involved </w:t>
      </w:r>
      <w:r w:rsidRPr="00F47ED3">
        <w:rPr>
          <w:rFonts w:eastAsia="Calibri" w:cs="Arial"/>
        </w:rPr>
        <w:t>3767 respondents</w:t>
      </w:r>
      <w:r>
        <w:rPr>
          <w:rFonts w:eastAsia="Calibri" w:cs="Arial"/>
        </w:rPr>
        <w:t xml:space="preserve"> (said to</w:t>
      </w:r>
      <w:r w:rsidRPr="00F47ED3">
        <w:rPr>
          <w:rFonts w:eastAsia="Calibri" w:cs="Arial"/>
        </w:rPr>
        <w:t xml:space="preserve"> comprise around 54% of 6939 graduate</w:t>
      </w:r>
      <w:r>
        <w:rPr>
          <w:rFonts w:eastAsia="Calibri" w:cs="Arial"/>
        </w:rPr>
        <w:t>s).</w:t>
      </w:r>
      <w:r w:rsidRPr="00F47ED3">
        <w:rPr>
          <w:rFonts w:eastAsia="Calibri" w:cs="Arial"/>
        </w:rPr>
        <w:t xml:space="preserve"> </w:t>
      </w:r>
      <w:r>
        <w:rPr>
          <w:rFonts w:eastAsia="Calibri" w:cs="Arial"/>
        </w:rPr>
        <w:t>Both</w:t>
      </w:r>
      <w:r w:rsidRPr="00F47ED3">
        <w:rPr>
          <w:rFonts w:cs="Arial"/>
        </w:rPr>
        <w:t xml:space="preserve"> reports are published at: </w:t>
      </w:r>
      <w:hyperlink r:id="rId14" w:history="1">
        <w:r w:rsidRPr="00D17AF0">
          <w:rPr>
            <w:rStyle w:val="Hyperlink"/>
          </w:rPr>
          <w:t>http://mes.gov.ge/content.php?id=5962&amp;lang=geo</w:t>
        </w:r>
      </w:hyperlink>
      <w:r w:rsidRPr="00F47ED3">
        <w:rPr>
          <w:rFonts w:cs="Arial"/>
        </w:rPr>
        <w:t xml:space="preserve">. </w:t>
      </w:r>
      <w:r>
        <w:rPr>
          <w:rFonts w:cs="Arial"/>
        </w:rPr>
        <w:t>The quality and depth of analysis and design of the report of the 2016 study appears to be an improvement on the 2015 study, and both show a marked development since the 2014 study.</w:t>
      </w:r>
    </w:p>
    <w:p w14:paraId="496A02C8" w14:textId="77777777" w:rsidR="00374CBE" w:rsidRDefault="00374CBE" w:rsidP="00374CBE"/>
    <w:p w14:paraId="02F985AE" w14:textId="77777777" w:rsidR="00374CBE" w:rsidRPr="00F47ED3" w:rsidRDefault="00374CBE" w:rsidP="00374CBE">
      <w:pPr>
        <w:rPr>
          <w:rFonts w:cs="Arial"/>
        </w:rPr>
      </w:pPr>
      <w:r w:rsidRPr="00F47ED3">
        <w:rPr>
          <w:rFonts w:cs="Arial"/>
        </w:rPr>
        <w:lastRenderedPageBreak/>
        <w:t xml:space="preserve">A Barometer of Occupations developed by the MoES reflects rating of occupations by the number of graduates for the years 2013-2015, fast growing (for white and blues collars) and fast declining jobs which should suggest the VET applicants to make more informed choices. The Barometer is available at: </w:t>
      </w:r>
    </w:p>
    <w:p w14:paraId="398A2194" w14:textId="77777777" w:rsidR="00374CBE" w:rsidRPr="00F47ED3" w:rsidRDefault="006D7B13" w:rsidP="00374CBE">
      <w:pPr>
        <w:rPr>
          <w:rFonts w:cs="Arial"/>
        </w:rPr>
      </w:pPr>
      <w:hyperlink r:id="rId15" w:history="1">
        <w:r w:rsidR="00374CBE" w:rsidRPr="00F47ED3">
          <w:rPr>
            <w:rStyle w:val="Hyperlink"/>
            <w:sz w:val="22"/>
            <w:szCs w:val="22"/>
          </w:rPr>
          <w:t>http://vet.ge/en/</w:t>
        </w:r>
        <w:r w:rsidR="00374CBE" w:rsidRPr="00F47ED3">
          <w:rPr>
            <w:rStyle w:val="Hyperlink"/>
            <w:rFonts w:ascii="Sylfaen" w:hAnsi="Sylfaen" w:cs="Sylfaen"/>
            <w:sz w:val="22"/>
            <w:szCs w:val="22"/>
          </w:rPr>
          <w:t>სიახლეები</w:t>
        </w:r>
        <w:r w:rsidR="00374CBE" w:rsidRPr="00F47ED3">
          <w:rPr>
            <w:rStyle w:val="Hyperlink"/>
            <w:sz w:val="22"/>
            <w:szCs w:val="22"/>
          </w:rPr>
          <w:t>-</w:t>
        </w:r>
        <w:r w:rsidR="00374CBE" w:rsidRPr="00F47ED3">
          <w:rPr>
            <w:rStyle w:val="Hyperlink"/>
            <w:rFonts w:ascii="Sylfaen" w:hAnsi="Sylfaen" w:cs="Sylfaen"/>
            <w:sz w:val="22"/>
            <w:szCs w:val="22"/>
          </w:rPr>
          <w:t>და</w:t>
        </w:r>
        <w:r w:rsidR="00374CBE" w:rsidRPr="00F47ED3">
          <w:rPr>
            <w:rStyle w:val="Hyperlink"/>
            <w:sz w:val="22"/>
            <w:szCs w:val="22"/>
          </w:rPr>
          <w:t>-</w:t>
        </w:r>
        <w:r w:rsidR="00374CBE" w:rsidRPr="00F47ED3">
          <w:rPr>
            <w:rStyle w:val="Hyperlink"/>
            <w:rFonts w:ascii="Sylfaen" w:hAnsi="Sylfaen" w:cs="Sylfaen"/>
            <w:sz w:val="22"/>
            <w:szCs w:val="22"/>
          </w:rPr>
          <w:t>მულტიმედია</w:t>
        </w:r>
        <w:r w:rsidR="00374CBE" w:rsidRPr="00F47ED3">
          <w:rPr>
            <w:rStyle w:val="Hyperlink"/>
            <w:sz w:val="22"/>
            <w:szCs w:val="22"/>
          </w:rPr>
          <w:t>/</w:t>
        </w:r>
        <w:r w:rsidR="00374CBE" w:rsidRPr="00F47ED3">
          <w:rPr>
            <w:rStyle w:val="Hyperlink"/>
            <w:rFonts w:ascii="Sylfaen" w:hAnsi="Sylfaen" w:cs="Sylfaen"/>
            <w:sz w:val="22"/>
            <w:szCs w:val="22"/>
          </w:rPr>
          <w:t>რესურსები</w:t>
        </w:r>
        <w:r w:rsidR="00374CBE" w:rsidRPr="00F47ED3">
          <w:rPr>
            <w:rStyle w:val="Hyperlink"/>
            <w:sz w:val="22"/>
            <w:szCs w:val="22"/>
          </w:rPr>
          <w:t>/</w:t>
        </w:r>
        <w:r w:rsidR="00374CBE" w:rsidRPr="00F47ED3">
          <w:rPr>
            <w:rStyle w:val="Hyperlink"/>
            <w:rFonts w:ascii="Sylfaen" w:hAnsi="Sylfaen" w:cs="Sylfaen"/>
            <w:sz w:val="22"/>
            <w:szCs w:val="22"/>
          </w:rPr>
          <w:t>კვლევები</w:t>
        </w:r>
        <w:r w:rsidR="00374CBE" w:rsidRPr="00F47ED3">
          <w:rPr>
            <w:rStyle w:val="Hyperlink"/>
            <w:sz w:val="22"/>
            <w:szCs w:val="22"/>
          </w:rPr>
          <w:t>/</w:t>
        </w:r>
        <w:r w:rsidR="00374CBE" w:rsidRPr="00F47ED3">
          <w:rPr>
            <w:rStyle w:val="Hyperlink"/>
            <w:rFonts w:ascii="Sylfaen" w:hAnsi="Sylfaen" w:cs="Sylfaen"/>
            <w:sz w:val="22"/>
            <w:szCs w:val="22"/>
          </w:rPr>
          <w:t>პროფესიათა</w:t>
        </w:r>
        <w:r w:rsidR="00374CBE" w:rsidRPr="00F47ED3">
          <w:rPr>
            <w:rStyle w:val="Hyperlink"/>
            <w:sz w:val="22"/>
            <w:szCs w:val="22"/>
          </w:rPr>
          <w:t>-</w:t>
        </w:r>
        <w:r w:rsidR="00374CBE" w:rsidRPr="00F47ED3">
          <w:rPr>
            <w:rStyle w:val="Hyperlink"/>
            <w:rFonts w:ascii="Sylfaen" w:hAnsi="Sylfaen" w:cs="Sylfaen"/>
            <w:sz w:val="22"/>
            <w:szCs w:val="22"/>
          </w:rPr>
          <w:t>რეიტინგი</w:t>
        </w:r>
        <w:r w:rsidR="00374CBE" w:rsidRPr="00F47ED3">
          <w:rPr>
            <w:rStyle w:val="Hyperlink"/>
            <w:sz w:val="22"/>
            <w:szCs w:val="22"/>
          </w:rPr>
          <w:t>-2015-</w:t>
        </w:r>
        <w:r w:rsidR="00374CBE" w:rsidRPr="00F47ED3">
          <w:rPr>
            <w:rStyle w:val="Hyperlink"/>
            <w:rFonts w:ascii="Sylfaen" w:hAnsi="Sylfaen" w:cs="Sylfaen"/>
            <w:sz w:val="22"/>
            <w:szCs w:val="22"/>
          </w:rPr>
          <w:t>წლი</w:t>
        </w:r>
        <w:r w:rsidR="00374CBE" w:rsidRPr="00F47ED3">
          <w:rPr>
            <w:rStyle w:val="Hyperlink"/>
            <w:sz w:val="22"/>
            <w:szCs w:val="22"/>
          </w:rPr>
          <w:t>-2/</w:t>
        </w:r>
      </w:hyperlink>
    </w:p>
    <w:p w14:paraId="0336FB8B" w14:textId="77777777" w:rsidR="00374CBE" w:rsidRDefault="00374CBE" w:rsidP="00374CBE"/>
    <w:p w14:paraId="6F5CC6A1" w14:textId="77777777" w:rsidR="00374CBE" w:rsidRDefault="00374CBE" w:rsidP="00374CBE">
      <w:r>
        <w:t xml:space="preserve">Analysis of the results of the latest study point to possible bias in the sample. Although between 65% and 75% of students are aged over 20, and between 35% and 45% over 25, only 22% of respondents reporting being employed prior to undertaking their VET course, suggesting respondents were skewed towards younger age groups (perhaps because they were easier to contact). The </w:t>
      </w:r>
      <w:r w:rsidRPr="00EE66E6">
        <w:t xml:space="preserve">study reported that only 34% of respondents had gained employment since completing their course </w:t>
      </w:r>
      <w:r>
        <w:t>and</w:t>
      </w:r>
      <w:r w:rsidRPr="00EE66E6">
        <w:t xml:space="preserve">, of those employed, only 48% reported that their employment related to the qualifications gained and only 57% of those reported that such qualifications complied with the requirements of the employment pursued. In other words, only 16% of respondents gained employment in jobs related to the qualifications they pursued, and for only 9% did those qualifications respond in whole or in part to the requirements of the job. This means that there are important lessons to be learned from the tracer study </w:t>
      </w:r>
      <w:r>
        <w:t xml:space="preserve">for </w:t>
      </w:r>
      <w:r w:rsidRPr="00EE66E6">
        <w:t>both policy decisions and the practical application of the process of determination of occupational standards, curricula, workplace learning and teacher training.</w:t>
      </w:r>
    </w:p>
    <w:p w14:paraId="553D051A" w14:textId="77777777" w:rsidR="00374CBE" w:rsidRDefault="00374CBE" w:rsidP="00374CBE"/>
    <w:p w14:paraId="20F99588" w14:textId="77777777" w:rsidR="00374CBE" w:rsidRDefault="00374CBE" w:rsidP="00374CBE">
      <w:pPr>
        <w:ind w:right="580"/>
        <w:rPr>
          <w:b/>
          <w:bCs/>
        </w:rPr>
      </w:pPr>
      <w:r w:rsidRPr="00464FBD">
        <w:rPr>
          <w:b/>
          <w:bCs/>
          <w:u w:val="single"/>
        </w:rPr>
        <w:t>Specific Condition 3.2</w:t>
      </w:r>
      <w:r>
        <w:rPr>
          <w:b/>
          <w:bCs/>
        </w:rPr>
        <w:t>:</w:t>
      </w:r>
      <w:r>
        <w:rPr>
          <w:b/>
          <w:bCs/>
          <w:lang w:eastAsia="en-GB"/>
        </w:rPr>
        <w:t xml:space="preserve"> </w:t>
      </w:r>
      <w:r w:rsidRPr="001F659E">
        <w:rPr>
          <w:b/>
          <w:bCs/>
          <w:i/>
          <w:lang w:eastAsia="en-GB"/>
        </w:rPr>
        <w:t>Increased awareness of VET amongst potential students and employers</w:t>
      </w:r>
      <w:r w:rsidRPr="001F659E">
        <w:rPr>
          <w:b/>
          <w:bCs/>
          <w:i/>
        </w:rPr>
        <w:t>.</w:t>
      </w:r>
    </w:p>
    <w:p w14:paraId="21EA4924" w14:textId="77777777" w:rsidR="00374CBE" w:rsidRDefault="00374CBE" w:rsidP="00374CBE">
      <w:pPr>
        <w:rPr>
          <w:b/>
          <w:bCs/>
          <w:i/>
          <w:lang w:eastAsia="en-GB"/>
        </w:rPr>
      </w:pPr>
    </w:p>
    <w:p w14:paraId="3404AF8A" w14:textId="77777777" w:rsidR="00374CBE" w:rsidRPr="0095050A" w:rsidRDefault="00374CBE" w:rsidP="00374CBE">
      <w:pPr>
        <w:rPr>
          <w:b/>
          <w:bCs/>
        </w:rPr>
      </w:pPr>
      <w:r w:rsidRPr="0095050A">
        <w:rPr>
          <w:b/>
          <w:bCs/>
          <w:lang w:eastAsia="en-GB"/>
        </w:rPr>
        <w:t>Review Assessment</w:t>
      </w:r>
      <w:r w:rsidRPr="0095050A">
        <w:rPr>
          <w:b/>
          <w:bCs/>
        </w:rPr>
        <w:t xml:space="preserve">: compliance. </w:t>
      </w:r>
    </w:p>
    <w:p w14:paraId="32CF0338" w14:textId="77777777" w:rsidR="00374CBE" w:rsidRPr="0095050A" w:rsidRDefault="00374CBE" w:rsidP="00374CBE">
      <w:pPr>
        <w:rPr>
          <w:bCs/>
        </w:rPr>
      </w:pPr>
      <w:r w:rsidRPr="0095050A">
        <w:rPr>
          <w:bCs/>
        </w:rPr>
        <w:t>(Potential value: €1.0mn; Score: 1.00; Recommended funds release: €1.0mn)</w:t>
      </w:r>
    </w:p>
    <w:p w14:paraId="4ABB5D20" w14:textId="77777777" w:rsidR="00374CBE" w:rsidRPr="003931D9" w:rsidRDefault="00374CBE" w:rsidP="00374CBE">
      <w:pPr>
        <w:ind w:left="1134" w:right="580" w:hanging="1134"/>
        <w:rPr>
          <w:bCs/>
          <w:i/>
          <w:iCs/>
          <w:sz w:val="24"/>
          <w:szCs w:val="24"/>
        </w:rPr>
      </w:pPr>
    </w:p>
    <w:p w14:paraId="10F0700A" w14:textId="77777777" w:rsidR="00374CBE" w:rsidRDefault="00374CBE" w:rsidP="00374CBE">
      <w:pPr>
        <w:ind w:right="580"/>
        <w:rPr>
          <w:b/>
          <w:bCs/>
          <w:i/>
          <w:iCs/>
        </w:rPr>
      </w:pPr>
      <w:r>
        <w:rPr>
          <w:b/>
          <w:bCs/>
          <w:u w:val="single"/>
        </w:rPr>
        <w:t>Indicator 3.2.1</w:t>
      </w:r>
      <w:r>
        <w:rPr>
          <w:b/>
          <w:bCs/>
        </w:rPr>
        <w:t>: increase in VET applicants - fulfilled.</w:t>
      </w:r>
    </w:p>
    <w:p w14:paraId="7306FA2F" w14:textId="77777777" w:rsidR="00374CBE" w:rsidRDefault="00374CBE" w:rsidP="00374CBE"/>
    <w:p w14:paraId="6DB8D302" w14:textId="77777777" w:rsidR="00374CBE" w:rsidRDefault="00374CBE" w:rsidP="00374CBE">
      <w:r>
        <w:t xml:space="preserve">There is some confusion over what constitutes an applicant. For EMIS there is a distinction between those that register an initial interest in VET courses, registrants, and those that take the entry exam showing a serious intention of obtaining a place, applicants. MoES regards registrants as applicants. Even then, not all those that successfully pass the exam get offered a place on a course. </w:t>
      </w:r>
    </w:p>
    <w:p w14:paraId="6683F055" w14:textId="77777777" w:rsidR="00374CBE" w:rsidRDefault="00374CBE" w:rsidP="00374CBE"/>
    <w:p w14:paraId="6EA7C96A" w14:textId="77777777" w:rsidR="00374CBE" w:rsidRPr="005B26CF" w:rsidRDefault="00374CBE" w:rsidP="00374CBE">
      <w:r>
        <w:rPr>
          <w:rFonts w:eastAsia="Times New Roman" w:cs="Times New Roman"/>
        </w:rPr>
        <w:t>For 2016 EMIS reported that there were 19523 registrants, of whom 15085 (or 77%) took the entry exam. 11124 of these (57% of registrants, 74% of those who took the exam) gained a place on a VET course. Comparable figures for 2015 show a similar pattern: 17547 registrants, of whom 13207 (or 75%) took the exam, and 10405 (59% of registrants, 79% of exam entrants) gained places. A similar breakdown for 2013 was not available to the Review, but nonetheless the number who sat the exam in 2016 showed a 14.2% increase on those that took it in 2015, suggesting the 10% increase required to fulfil the Indicator has been exceeded.</w:t>
      </w:r>
    </w:p>
    <w:p w14:paraId="35E6CDDC" w14:textId="77777777" w:rsidR="00374CBE" w:rsidRPr="00553DD8" w:rsidRDefault="00374CBE" w:rsidP="00374CBE">
      <w:pPr>
        <w:rPr>
          <w:rFonts w:eastAsia="Times New Roman" w:cs="Times New Roman"/>
        </w:rPr>
      </w:pPr>
    </w:p>
    <w:p w14:paraId="72744F8E" w14:textId="77777777" w:rsidR="00374CBE" w:rsidRPr="00553DD8" w:rsidRDefault="00374CBE" w:rsidP="00374CBE">
      <w:pPr>
        <w:ind w:right="26"/>
        <w:rPr>
          <w:rFonts w:eastAsia="Times New Roman" w:cs="Times New Roman"/>
        </w:rPr>
      </w:pPr>
      <w:r w:rsidRPr="00553DD8">
        <w:rPr>
          <w:rFonts w:eastAsia="Times New Roman" w:cs="Times New Roman"/>
        </w:rPr>
        <w:t xml:space="preserve">Information provided by the MoES statistical bulletin for 2013-2015 gives the total number of registrants </w:t>
      </w:r>
      <w:r>
        <w:rPr>
          <w:rFonts w:eastAsia="Times New Roman" w:cs="Times New Roman"/>
        </w:rPr>
        <w:t xml:space="preserve">in 2013 </w:t>
      </w:r>
      <w:r w:rsidRPr="00553DD8">
        <w:rPr>
          <w:rFonts w:eastAsia="Times New Roman" w:cs="Times New Roman"/>
        </w:rPr>
        <w:t>as 12876</w:t>
      </w:r>
      <w:r>
        <w:rPr>
          <w:rFonts w:eastAsia="Times New Roman" w:cs="Times New Roman"/>
        </w:rPr>
        <w:t>. The figure for registrants reported by EMIS</w:t>
      </w:r>
      <w:r w:rsidRPr="00553DD8">
        <w:rPr>
          <w:rFonts w:eastAsia="Times New Roman" w:cs="Times New Roman"/>
        </w:rPr>
        <w:t xml:space="preserve"> </w:t>
      </w:r>
      <w:r>
        <w:rPr>
          <w:rFonts w:eastAsia="Times New Roman" w:cs="Times New Roman"/>
        </w:rPr>
        <w:t xml:space="preserve">for 2016 of 19523 </w:t>
      </w:r>
      <w:r w:rsidRPr="00553DD8">
        <w:rPr>
          <w:rFonts w:eastAsia="Times New Roman" w:cs="Times New Roman"/>
        </w:rPr>
        <w:t xml:space="preserve"> </w:t>
      </w:r>
      <w:r>
        <w:rPr>
          <w:rFonts w:eastAsia="Times New Roman" w:cs="Times New Roman"/>
        </w:rPr>
        <w:t>represents an 11.3% increase on 2015 and a 51.6% increase on the figure for 2013, well above the 10% requirement</w:t>
      </w:r>
      <w:r w:rsidRPr="00553DD8">
        <w:rPr>
          <w:rFonts w:eastAsia="Times New Roman" w:cs="Times New Roman"/>
        </w:rPr>
        <w:t xml:space="preserve">. </w:t>
      </w:r>
    </w:p>
    <w:p w14:paraId="731CE43B" w14:textId="77777777" w:rsidR="00374CBE" w:rsidRDefault="00374CBE" w:rsidP="00374CBE"/>
    <w:p w14:paraId="366CB022" w14:textId="28FFEF26" w:rsidR="00374CBE" w:rsidRDefault="00374CBE" w:rsidP="00374CBE">
      <w:pPr>
        <w:ind w:right="26"/>
      </w:pPr>
      <w:r>
        <w:t xml:space="preserve">The figures, however, also show that while the number of registrants has risen sharply, the number of students has shown a much more modest increase. As a result, the proportion of registrants who actually gain a place has fallen significantly over the last four years, from 69% in 2013 to 60% in 2016. With around 25% of registrants not siting the exam, the success of the VET system in meeting the aspirations of the growing number of applicants who take the exam has also declined, by a further 6.3% in 2016 alone, and the </w:t>
      </w:r>
      <w:r w:rsidR="00E55184">
        <w:t>pattern</w:t>
      </w:r>
      <w:r>
        <w:t xml:space="preserve"> is </w:t>
      </w:r>
      <w:r>
        <w:lastRenderedPageBreak/>
        <w:t>even worse if different intakes are considered: 74% of exam entrants gained a place in autumn 2016 compared with 82% for the spring intake in 2015. a decline over the two year period of 10%.</w:t>
      </w:r>
    </w:p>
    <w:p w14:paraId="02ADD635" w14:textId="77777777" w:rsidR="00374CBE" w:rsidRDefault="00374CBE" w:rsidP="00374CBE">
      <w:pPr>
        <w:ind w:right="26"/>
      </w:pPr>
    </w:p>
    <w:p w14:paraId="61FF582A" w14:textId="77777777" w:rsidR="00374CBE" w:rsidRDefault="00374CBE" w:rsidP="00374CBE">
      <w:pPr>
        <w:ind w:right="26"/>
      </w:pPr>
      <w:r>
        <w:t>Thus, while there has been an increase in interest in VET courses sufficient to meet the requirements of the Indicator (whether taking registrants or exam entrants as the basis), the VET system has failed to respond adequately, potentially undermining the efforts made in recent years to overcome the previous in-built prejudice against VET (exemplified strongly by the fact that under 2% of Grade 9 students opt for VET as a pathway to their future careers.</w:t>
      </w:r>
    </w:p>
    <w:p w14:paraId="1BE623D8" w14:textId="77777777" w:rsidR="00374CBE" w:rsidRDefault="00374CBE" w:rsidP="00374CBE">
      <w:pPr>
        <w:ind w:right="26"/>
      </w:pPr>
    </w:p>
    <w:p w14:paraId="66F9E51E" w14:textId="77777777" w:rsidR="00374CBE" w:rsidRDefault="00374CBE" w:rsidP="00374CBE">
      <w:pPr>
        <w:tabs>
          <w:tab w:val="left" w:pos="2340"/>
        </w:tabs>
      </w:pPr>
      <w:r>
        <w:rPr>
          <w:b/>
          <w:bCs/>
          <w:u w:val="single"/>
        </w:rPr>
        <w:t>Indicator 3.2.2</w:t>
      </w:r>
      <w:r>
        <w:rPr>
          <w:b/>
          <w:bCs/>
        </w:rPr>
        <w:t>: employers' survey - fulfilled.</w:t>
      </w:r>
    </w:p>
    <w:p w14:paraId="1BD78CF6" w14:textId="77777777" w:rsidR="00374CBE" w:rsidRDefault="00374CBE" w:rsidP="00374CBE"/>
    <w:p w14:paraId="374783C6" w14:textId="77777777" w:rsidR="00374CBE" w:rsidRDefault="00374CBE" w:rsidP="00374CBE">
      <w:r>
        <w:t>A third survey of employers' attitudes towards VET was completed in December 2016, based on a survey conducted in November. The survey covered 410 employers, a much smaller sample than that used for the 2015 survey published early in 2016 which reported on responses from 1901 employers. Both surveys are published on the MoES website (</w:t>
      </w:r>
      <w:hyperlink r:id="rId16" w:history="1">
        <w:r w:rsidRPr="00A2351F">
          <w:rPr>
            <w:rStyle w:val="Hyperlink"/>
            <w:rFonts w:eastAsia="Times New Roman" w:cs="Times New Roman"/>
          </w:rPr>
          <w:t>http://mes.gov.ge/uploads/Employers_27_survey.pdf</w:t>
        </w:r>
      </w:hyperlink>
      <w:r>
        <w:rPr>
          <w:rFonts w:eastAsia="Times New Roman" w:cs="Times New Roman"/>
        </w:rPr>
        <w:t>), and both were conducted by ACT under contract from the SDC financed UNDP implemented VET project.</w:t>
      </w:r>
    </w:p>
    <w:p w14:paraId="4D970491" w14:textId="77777777" w:rsidR="00374CBE" w:rsidRDefault="00374CBE" w:rsidP="00374CBE">
      <w:pPr>
        <w:rPr>
          <w:rFonts w:eastAsia="Times New Roman" w:cs="Times New Roman"/>
        </w:rPr>
      </w:pPr>
    </w:p>
    <w:p w14:paraId="35970D03" w14:textId="77777777" w:rsidR="00374CBE" w:rsidRDefault="00374CBE" w:rsidP="00374CBE">
      <w:pPr>
        <w:rPr>
          <w:rFonts w:eastAsia="Times New Roman" w:cs="Times New Roman"/>
        </w:rPr>
      </w:pPr>
      <w:r>
        <w:rPr>
          <w:rFonts w:eastAsia="Times New Roman" w:cs="Times New Roman"/>
        </w:rPr>
        <w:t xml:space="preserve">The Indicator makes reference to comparison with a baseline survey conducted in 2014 </w:t>
      </w:r>
      <w:r>
        <w:t xml:space="preserve">with the GIZ and UNDP support. However, the 2014 survey involved 230 of the 400 companies considered as partner organisations of the VET colleges, rather than employers generally. As a result comparison is made with the findings from the 2015 survey. </w:t>
      </w:r>
      <w:r>
        <w:rPr>
          <w:rFonts w:eastAsia="Times New Roman" w:cs="Times New Roman"/>
        </w:rPr>
        <w:t>Although a much smaller sample, the 2016 survey more or less confirms the main finding of the 2015 survey: that the VET system has little relevance to employers. Only 8% have employed VET students or graduates and only 4% have interns from the VET system, compared with 11% and 4% in 2015. Only 4% stated they cooperated with a VET provider, and only 2% had an agreement with one, compared with 7% and 4% in 2015. 65% of those with interns thought they would employ one or all of them, as against 69% in 2015. On a positive note, whereas 48% of respondents reported they were unaware of opportunities to cooperate with VET institutions in 2015, this proportion had reduced to 27% in the 2016 survey, and while 15% thought VET qualifications were of little value to them to justify cooperation in 2015, only 12% thought so in 2016.</w:t>
      </w:r>
    </w:p>
    <w:p w14:paraId="7EDAF9DD" w14:textId="77777777" w:rsidR="00374CBE" w:rsidRDefault="00374CBE" w:rsidP="00374CBE">
      <w:pPr>
        <w:rPr>
          <w:rFonts w:eastAsia="Times New Roman" w:cs="Times New Roman"/>
        </w:rPr>
      </w:pPr>
    </w:p>
    <w:p w14:paraId="31B081F5" w14:textId="77777777" w:rsidR="00374CBE" w:rsidRDefault="00374CBE" w:rsidP="00374CBE">
      <w:pPr>
        <w:rPr>
          <w:rFonts w:eastAsia="Times New Roman" w:cs="Times New Roman"/>
        </w:rPr>
      </w:pPr>
      <w:r>
        <w:rPr>
          <w:rFonts w:eastAsia="Times New Roman" w:cs="Times New Roman"/>
        </w:rPr>
        <w:t>Whether this represents '</w:t>
      </w:r>
      <w:r>
        <w:rPr>
          <w:rFonts w:eastAsia="Times New Roman" w:cs="Times New Roman"/>
          <w:i/>
        </w:rPr>
        <w:t xml:space="preserve">positive </w:t>
      </w:r>
      <w:r w:rsidRPr="00D9590A">
        <w:rPr>
          <w:rFonts w:eastAsia="Times New Roman" w:cs="Times New Roman"/>
          <w:i/>
        </w:rPr>
        <w:t>feedback</w:t>
      </w:r>
      <w:r>
        <w:rPr>
          <w:rFonts w:eastAsia="Times New Roman" w:cs="Times New Roman"/>
        </w:rPr>
        <w:t>'</w:t>
      </w:r>
      <w:r w:rsidRPr="00D9590A">
        <w:rPr>
          <w:rFonts w:eastAsia="Times New Roman" w:cs="Times New Roman"/>
        </w:rPr>
        <w:t xml:space="preserve"> is open to question</w:t>
      </w:r>
      <w:r>
        <w:rPr>
          <w:rFonts w:eastAsia="Times New Roman" w:cs="Times New Roman"/>
        </w:rPr>
        <w:t>, but assuming this refers simply to the willingness of employers to talk about the VET system, i.e. respond to the survey questionnaire, it would seem to have been achieved, although the significant reduction in coverage between 2015 and 2016 surveys raises questions even under this definition. The Review does not think that 'positive' means there should be limited or reduced negative criticism, but rather that, given that the source of verification highlights feedback from social partners and VET institutions, refers to the response of social partners and VET institutions to the survey. However, the Review is not aware of any such response, perhaps to be expected given the late delivery of the survey at the end of the year.</w:t>
      </w:r>
    </w:p>
    <w:p w14:paraId="5B76526B" w14:textId="77777777" w:rsidR="00374CBE" w:rsidRDefault="00374CBE" w:rsidP="00374CBE">
      <w:pPr>
        <w:rPr>
          <w:rFonts w:eastAsia="Times New Roman" w:cs="Times New Roman"/>
        </w:rPr>
      </w:pPr>
    </w:p>
    <w:p w14:paraId="6544B879" w14:textId="3B6726A2" w:rsidR="00374CBE" w:rsidRDefault="00374CBE" w:rsidP="00374CBE">
      <w:pPr>
        <w:rPr>
          <w:rFonts w:eastAsia="Times New Roman" w:cs="Times New Roman"/>
        </w:rPr>
      </w:pPr>
      <w:r>
        <w:rPr>
          <w:rFonts w:eastAsia="Times New Roman" w:cs="Times New Roman"/>
        </w:rPr>
        <w:t xml:space="preserve">Equally important is the response the Government to the survey findings, and what actions are to be taken to address the evident inadequacies that the survey highlights. There does not seem to have been much in terms of policy changes or actions initiated after the 2015 survey and, reluctantly, it has to be admitted that there is little to suggest that there will be a more active response this time, especially given the bullish interpretation presented of the findings in the MoES self-assessment report (which not only appears to compare 2016 findings with the </w:t>
      </w:r>
      <w:r w:rsidR="00E55184">
        <w:rPr>
          <w:rFonts w:eastAsia="Times New Roman" w:cs="Times New Roman"/>
        </w:rPr>
        <w:t>initial</w:t>
      </w:r>
      <w:r>
        <w:rPr>
          <w:rFonts w:eastAsia="Times New Roman" w:cs="Times New Roman"/>
        </w:rPr>
        <w:t xml:space="preserve"> interim 2015 report but also reports on positive changes on the basis of figures not found in the survey report.</w:t>
      </w:r>
    </w:p>
    <w:p w14:paraId="1865DF7D" w14:textId="77777777" w:rsidR="00374CBE" w:rsidRPr="00D9590A" w:rsidRDefault="00374CBE" w:rsidP="00374CBE">
      <w:pPr>
        <w:rPr>
          <w:rFonts w:eastAsia="Times New Roman" w:cs="Times New Roman"/>
          <w:i/>
        </w:rPr>
      </w:pPr>
    </w:p>
    <w:p w14:paraId="173B769C" w14:textId="77777777" w:rsidR="00374CBE" w:rsidRDefault="00374CBE" w:rsidP="00374CBE">
      <w:pPr>
        <w:rPr>
          <w:b/>
          <w:bCs/>
          <w:lang w:eastAsia="en-GB"/>
        </w:rPr>
      </w:pPr>
      <w:r w:rsidRPr="00464FBD">
        <w:rPr>
          <w:b/>
          <w:bCs/>
          <w:u w:val="single"/>
        </w:rPr>
        <w:t>Specific Condition 3.3</w:t>
      </w:r>
      <w:r>
        <w:rPr>
          <w:b/>
          <w:bCs/>
        </w:rPr>
        <w:t>:</w:t>
      </w:r>
      <w:r>
        <w:rPr>
          <w:b/>
          <w:bCs/>
          <w:lang w:eastAsia="en-GB"/>
        </w:rPr>
        <w:t xml:space="preserve"> </w:t>
      </w:r>
      <w:r w:rsidRPr="001F659E">
        <w:rPr>
          <w:b/>
          <w:bCs/>
          <w:i/>
          <w:lang w:eastAsia="en-GB"/>
        </w:rPr>
        <w:t>Enhanced social partnership.</w:t>
      </w:r>
    </w:p>
    <w:p w14:paraId="5F41FAFD" w14:textId="77777777" w:rsidR="00374CBE" w:rsidRDefault="00374CBE" w:rsidP="00374CBE">
      <w:pPr>
        <w:rPr>
          <w:b/>
          <w:bCs/>
          <w:lang w:eastAsia="en-GB"/>
        </w:rPr>
      </w:pPr>
    </w:p>
    <w:p w14:paraId="01469E38" w14:textId="77777777" w:rsidR="00374CBE" w:rsidRPr="0095050A" w:rsidRDefault="00374CBE" w:rsidP="00374CBE">
      <w:pPr>
        <w:rPr>
          <w:b/>
          <w:bCs/>
        </w:rPr>
      </w:pPr>
      <w:r w:rsidRPr="0095050A">
        <w:rPr>
          <w:b/>
          <w:bCs/>
          <w:lang w:eastAsia="en-GB"/>
        </w:rPr>
        <w:lastRenderedPageBreak/>
        <w:t>Review Assessment</w:t>
      </w:r>
      <w:r w:rsidRPr="0095050A">
        <w:rPr>
          <w:b/>
          <w:bCs/>
        </w:rPr>
        <w:t xml:space="preserve">: </w:t>
      </w:r>
      <w:r>
        <w:rPr>
          <w:b/>
          <w:bCs/>
        </w:rPr>
        <w:t>non-</w:t>
      </w:r>
      <w:r w:rsidRPr="0095050A">
        <w:rPr>
          <w:b/>
          <w:bCs/>
        </w:rPr>
        <w:t>compliance</w:t>
      </w:r>
      <w:r w:rsidRPr="00464FBD">
        <w:rPr>
          <w:bCs/>
        </w:rPr>
        <w:t xml:space="preserve"> (one of two indicators fulfilled insufficient for partial compliance).</w:t>
      </w:r>
    </w:p>
    <w:p w14:paraId="0D3089D0" w14:textId="77777777" w:rsidR="00374CBE" w:rsidRPr="0095050A" w:rsidRDefault="00374CBE" w:rsidP="00374CBE">
      <w:pPr>
        <w:rPr>
          <w:bCs/>
        </w:rPr>
      </w:pPr>
      <w:r w:rsidRPr="0095050A">
        <w:rPr>
          <w:bCs/>
        </w:rPr>
        <w:t>(Potential value: €</w:t>
      </w:r>
      <w:r>
        <w:rPr>
          <w:bCs/>
        </w:rPr>
        <w:t>0.5</w:t>
      </w:r>
      <w:r w:rsidRPr="0095050A">
        <w:rPr>
          <w:bCs/>
        </w:rPr>
        <w:t xml:space="preserve">mn; Score: </w:t>
      </w:r>
      <w:r>
        <w:rPr>
          <w:bCs/>
        </w:rPr>
        <w:t>0.0</w:t>
      </w:r>
      <w:r w:rsidRPr="0095050A">
        <w:rPr>
          <w:bCs/>
        </w:rPr>
        <w:t xml:space="preserve">; Recommended funds release: </w:t>
      </w:r>
      <w:r>
        <w:rPr>
          <w:bCs/>
        </w:rPr>
        <w:t>nil</w:t>
      </w:r>
      <w:r w:rsidRPr="0095050A">
        <w:rPr>
          <w:bCs/>
        </w:rPr>
        <w:t>)</w:t>
      </w:r>
    </w:p>
    <w:p w14:paraId="1A239E46" w14:textId="77777777" w:rsidR="00374CBE" w:rsidRDefault="00374CBE" w:rsidP="00374CBE"/>
    <w:p w14:paraId="637B9AC3" w14:textId="77777777" w:rsidR="00374CBE" w:rsidRDefault="00374CBE" w:rsidP="00374CBE">
      <w:r>
        <w:rPr>
          <w:b/>
          <w:bCs/>
          <w:u w:val="single"/>
        </w:rPr>
        <w:t>Indicator 3.3.1</w:t>
      </w:r>
      <w:r>
        <w:rPr>
          <w:b/>
          <w:bCs/>
        </w:rPr>
        <w:t xml:space="preserve">: improved social partnership - unfulfilled. </w:t>
      </w:r>
    </w:p>
    <w:p w14:paraId="17ED1D4C" w14:textId="77777777" w:rsidR="00374CBE" w:rsidRPr="00DC498E" w:rsidRDefault="00374CBE" w:rsidP="00374CBE"/>
    <w:p w14:paraId="7E899E5C" w14:textId="77777777" w:rsidR="00374CBE" w:rsidRDefault="00374CBE" w:rsidP="00374CBE">
      <w:pPr>
        <w:rPr>
          <w:rFonts w:eastAsia="Times New Roman" w:cs="Times New Roman"/>
        </w:rPr>
      </w:pPr>
      <w:r w:rsidRPr="00515A3A">
        <w:rPr>
          <w:rFonts w:eastAsia="Times New Roman" w:cs="Times New Roman"/>
        </w:rPr>
        <w:t xml:space="preserve">No evidence of improvement in the social partnership framework </w:t>
      </w:r>
      <w:r>
        <w:rPr>
          <w:rFonts w:eastAsia="Times New Roman" w:cs="Times New Roman"/>
        </w:rPr>
        <w:t xml:space="preserve">as such </w:t>
      </w:r>
      <w:r w:rsidRPr="00515A3A">
        <w:rPr>
          <w:rFonts w:eastAsia="Times New Roman" w:cs="Times New Roman"/>
        </w:rPr>
        <w:t>w</w:t>
      </w:r>
      <w:r>
        <w:rPr>
          <w:rFonts w:eastAsia="Times New Roman" w:cs="Times New Roman"/>
        </w:rPr>
        <w:t>as</w:t>
      </w:r>
      <w:r w:rsidRPr="00515A3A">
        <w:rPr>
          <w:rFonts w:eastAsia="Times New Roman" w:cs="Times New Roman"/>
        </w:rPr>
        <w:t xml:space="preserve"> provided to the </w:t>
      </w:r>
      <w:r>
        <w:rPr>
          <w:rFonts w:eastAsia="Times New Roman" w:cs="Times New Roman"/>
        </w:rPr>
        <w:t>Final</w:t>
      </w:r>
      <w:r w:rsidRPr="00515A3A">
        <w:rPr>
          <w:rFonts w:eastAsia="Times New Roman" w:cs="Times New Roman"/>
        </w:rPr>
        <w:t xml:space="preserve"> Review</w:t>
      </w:r>
      <w:r>
        <w:rPr>
          <w:rFonts w:eastAsia="Times New Roman" w:cs="Times New Roman"/>
        </w:rPr>
        <w:t xml:space="preserve"> and no progress report on implementation of the </w:t>
      </w:r>
      <w:r>
        <w:t>"</w:t>
      </w:r>
      <w:r w:rsidRPr="00E70C29">
        <w:rPr>
          <w:i/>
        </w:rPr>
        <w:t>Framework for Enhanced Social Partnership in VET</w:t>
      </w:r>
      <w:r>
        <w:t xml:space="preserve">", discussed by the NVETC on 31st December 2014 and </w:t>
      </w:r>
      <w:r>
        <w:rPr>
          <w:rFonts w:eastAsia="Times New Roman" w:cs="Times New Roman"/>
        </w:rPr>
        <w:t>presented as evidence for the Second Instalment</w:t>
      </w:r>
      <w:r w:rsidRPr="00553DD8">
        <w:rPr>
          <w:rFonts w:eastAsia="Times New Roman" w:cs="Times New Roman"/>
        </w:rPr>
        <w:t xml:space="preserve">. </w:t>
      </w:r>
      <w:r>
        <w:rPr>
          <w:rFonts w:eastAsia="Times New Roman" w:cs="Times New Roman"/>
        </w:rPr>
        <w:t xml:space="preserve">MoES reported only on developments in work-based learning (WBL), but while WBL is referred to in the Indicator, the emphasis is on improving the systemic participation of the social partners in the VET policy cycle, the key feature of which is the operation of the NVETC. </w:t>
      </w:r>
    </w:p>
    <w:p w14:paraId="008D20A5" w14:textId="77777777" w:rsidR="00374CBE" w:rsidRDefault="00374CBE" w:rsidP="00374CBE">
      <w:pPr>
        <w:rPr>
          <w:rFonts w:eastAsia="Times New Roman" w:cs="Times New Roman"/>
        </w:rPr>
      </w:pPr>
    </w:p>
    <w:p w14:paraId="4129F8BD" w14:textId="77777777" w:rsidR="00374CBE" w:rsidRDefault="00374CBE" w:rsidP="00374CBE">
      <w:r>
        <w:t xml:space="preserve">The NVETC, the main body for </w:t>
      </w:r>
      <w:r w:rsidRPr="00DC498E">
        <w:t>the application of social partnership in the VET sector at the national (policy making) level</w:t>
      </w:r>
      <w:r>
        <w:t xml:space="preserve"> met only twice (in March and December), although thematic working groups under the NVETC continued to function. An evaluation of the functioning of the Council over the last three years (including consideration of the effect of including civil society as a fourth tier, the core feature of the '</w:t>
      </w:r>
      <w:r w:rsidRPr="007D66DA">
        <w:rPr>
          <w:i/>
        </w:rPr>
        <w:t>Framework'</w:t>
      </w:r>
      <w:r>
        <w:t xml:space="preserve"> but not included in the associated Action Plan for 2015-2017) was conducted by ETF and presented to MoES in September 2016, but has yet to be approved and acted upon. MoES indicated that changes to the NVETC were expected to be introduced as a result of the evaluation but have yet to be determine what these would involve.</w:t>
      </w:r>
    </w:p>
    <w:p w14:paraId="0238373E" w14:textId="77777777" w:rsidR="00374CBE" w:rsidRDefault="00374CBE" w:rsidP="00374CBE">
      <w:pPr>
        <w:rPr>
          <w:rFonts w:eastAsia="Times New Roman" w:cs="Times New Roman"/>
        </w:rPr>
      </w:pPr>
    </w:p>
    <w:p w14:paraId="41ABF687" w14:textId="77777777" w:rsidR="00374CBE" w:rsidRDefault="00374CBE" w:rsidP="00374CBE">
      <w:pPr>
        <w:rPr>
          <w:rFonts w:eastAsia="Times New Roman" w:cs="Times New Roman"/>
        </w:rPr>
      </w:pPr>
      <w:r>
        <w:rPr>
          <w:rFonts w:eastAsia="Times New Roman" w:cs="Times New Roman"/>
        </w:rPr>
        <w:t>While the ETF report on the functioning of the social partnership was obtained by the Review, it was not presented by the Government. The ETF report questions the validity of continuing the quadripartite arrangement for the NVETC, the central feature of the '</w:t>
      </w:r>
      <w:r w:rsidRPr="00073F0F">
        <w:rPr>
          <w:rFonts w:eastAsia="Times New Roman" w:cs="Times New Roman"/>
          <w:i/>
        </w:rPr>
        <w:t>Framework</w:t>
      </w:r>
      <w:r>
        <w:rPr>
          <w:rFonts w:eastAsia="Times New Roman" w:cs="Times New Roman"/>
          <w:i/>
        </w:rPr>
        <w:t>'</w:t>
      </w:r>
      <w:r>
        <w:rPr>
          <w:rFonts w:eastAsia="Times New Roman" w:cs="Times New Roman"/>
        </w:rPr>
        <w:t xml:space="preserve"> document but not included in the Action Plan. </w:t>
      </w:r>
      <w:r w:rsidRPr="00553DD8">
        <w:rPr>
          <w:rFonts w:eastAsia="Times New Roman" w:cs="Times New Roman"/>
        </w:rPr>
        <w:t>Interviews with the Presidents of the two main social partners, the Georgian Association of Employers and the Georgian Trade Unions Confederation suggest</w:t>
      </w:r>
      <w:r>
        <w:rPr>
          <w:rFonts w:eastAsia="Times New Roman" w:cs="Times New Roman"/>
        </w:rPr>
        <w:t>s that</w:t>
      </w:r>
      <w:r w:rsidRPr="00553DD8">
        <w:rPr>
          <w:rFonts w:eastAsia="Times New Roman" w:cs="Times New Roman"/>
        </w:rPr>
        <w:t xml:space="preserve"> progress in the improvement of the social partnership (and specifically in</w:t>
      </w:r>
      <w:r>
        <w:rPr>
          <w:rFonts w:eastAsia="Times New Roman" w:cs="Times New Roman"/>
        </w:rPr>
        <w:t xml:space="preserve"> the</w:t>
      </w:r>
      <w:r w:rsidRPr="00553DD8">
        <w:rPr>
          <w:rFonts w:eastAsia="Times New Roman" w:cs="Times New Roman"/>
        </w:rPr>
        <w:t xml:space="preserve"> </w:t>
      </w:r>
      <w:r>
        <w:rPr>
          <w:rFonts w:eastAsia="Times New Roman" w:cs="Times New Roman"/>
        </w:rPr>
        <w:t>'</w:t>
      </w:r>
      <w:r w:rsidRPr="00F62DDD">
        <w:rPr>
          <w:rFonts w:eastAsia="Times New Roman" w:cs="Times New Roman"/>
          <w:i/>
        </w:rPr>
        <w:t>systemic participation of social partners in VET policy</w:t>
      </w:r>
      <w:r>
        <w:rPr>
          <w:rFonts w:eastAsia="Times New Roman" w:cs="Times New Roman"/>
          <w:i/>
        </w:rPr>
        <w:t>'</w:t>
      </w:r>
      <w:r w:rsidRPr="00553DD8">
        <w:rPr>
          <w:rFonts w:eastAsia="Times New Roman" w:cs="Times New Roman"/>
        </w:rPr>
        <w:t xml:space="preserve"> making p</w:t>
      </w:r>
      <w:r>
        <w:rPr>
          <w:rFonts w:eastAsia="Times New Roman" w:cs="Times New Roman"/>
        </w:rPr>
        <w:t>rocess) has not</w:t>
      </w:r>
      <w:r w:rsidRPr="00460B73">
        <w:rPr>
          <w:rFonts w:eastAsia="Times New Roman" w:cs="Times New Roman"/>
        </w:rPr>
        <w:t xml:space="preserve"> been achieved, </w:t>
      </w:r>
      <w:r>
        <w:rPr>
          <w:rFonts w:eastAsia="Times New Roman" w:cs="Times New Roman"/>
        </w:rPr>
        <w:t xml:space="preserve">and there was no evidence of </w:t>
      </w:r>
      <w:r w:rsidRPr="00460B73">
        <w:rPr>
          <w:rFonts w:eastAsia="Times New Roman" w:cs="Times New Roman"/>
        </w:rPr>
        <w:t xml:space="preserve">an increased level of satisfaction of the social partners in this regard. </w:t>
      </w:r>
      <w:r>
        <w:rPr>
          <w:rFonts w:eastAsia="Times New Roman" w:cs="Times New Roman"/>
        </w:rPr>
        <w:t>Thus although there has been some progress in implementation of elements of the '</w:t>
      </w:r>
      <w:r w:rsidRPr="00073F0F">
        <w:rPr>
          <w:rFonts w:eastAsia="Times New Roman" w:cs="Times New Roman"/>
          <w:i/>
        </w:rPr>
        <w:t>Framework</w:t>
      </w:r>
      <w:r>
        <w:rPr>
          <w:rFonts w:eastAsia="Times New Roman" w:cs="Times New Roman"/>
        </w:rPr>
        <w:t>', the central issue has not been addressed, and there is no evidence of an '</w:t>
      </w:r>
      <w:r w:rsidRPr="00073F0F">
        <w:rPr>
          <w:rFonts w:eastAsia="Times New Roman" w:cs="Times New Roman"/>
          <w:i/>
        </w:rPr>
        <w:t>improved framework for social partnership...reflecting the systemic</w:t>
      </w:r>
      <w:r w:rsidRPr="00F62DDD">
        <w:rPr>
          <w:rFonts w:eastAsia="Times New Roman" w:cs="Times New Roman"/>
          <w:i/>
        </w:rPr>
        <w:t xml:space="preserve"> participation of social partners in </w:t>
      </w:r>
      <w:r>
        <w:rPr>
          <w:rFonts w:eastAsia="Times New Roman" w:cs="Times New Roman"/>
          <w:i/>
        </w:rPr>
        <w:t xml:space="preserve">the </w:t>
      </w:r>
      <w:r w:rsidRPr="00F62DDD">
        <w:rPr>
          <w:rFonts w:eastAsia="Times New Roman" w:cs="Times New Roman"/>
          <w:i/>
        </w:rPr>
        <w:t>VET policy</w:t>
      </w:r>
      <w:r>
        <w:rPr>
          <w:rFonts w:eastAsia="Times New Roman" w:cs="Times New Roman"/>
          <w:i/>
        </w:rPr>
        <w:t xml:space="preserve"> cycle'</w:t>
      </w:r>
      <w:r w:rsidRPr="00553DD8">
        <w:rPr>
          <w:rFonts w:eastAsia="Times New Roman" w:cs="Times New Roman"/>
        </w:rPr>
        <w:t xml:space="preserve"> </w:t>
      </w:r>
      <w:r>
        <w:rPr>
          <w:rFonts w:eastAsia="Times New Roman" w:cs="Times New Roman"/>
        </w:rPr>
        <w:t xml:space="preserve">being implemented. </w:t>
      </w:r>
    </w:p>
    <w:p w14:paraId="7D1D6AF0" w14:textId="77777777" w:rsidR="00374CBE" w:rsidRDefault="00374CBE" w:rsidP="00374CBE">
      <w:pPr>
        <w:rPr>
          <w:rFonts w:eastAsia="Times New Roman" w:cs="Times New Roman"/>
        </w:rPr>
      </w:pPr>
    </w:p>
    <w:p w14:paraId="6C9C7E7C" w14:textId="4F30CCDF" w:rsidR="00374CBE" w:rsidRPr="00460B73" w:rsidRDefault="00374CBE" w:rsidP="00374CBE">
      <w:pPr>
        <w:rPr>
          <w:rFonts w:eastAsia="Times New Roman" w:cs="Times New Roman"/>
        </w:rPr>
      </w:pPr>
      <w:r>
        <w:t>A</w:t>
      </w:r>
      <w:r w:rsidRPr="00282DB6">
        <w:rPr>
          <w:i/>
        </w:rPr>
        <w:t xml:space="preserve"> “Concept Paper of WBL Model Implementation in Georgia" </w:t>
      </w:r>
      <w:r w:rsidRPr="00282DB6">
        <w:t>was discussed and approved by the NVETC on 28th of December 2015</w:t>
      </w:r>
      <w:r>
        <w:t xml:space="preserve">, but there was no separate ministerial decision, and this led EU to consider that the requirements of the comparable Indicator for the Third Instalment had not been fulfilled. An Action </w:t>
      </w:r>
      <w:r w:rsidR="00E55184">
        <w:t>Plan</w:t>
      </w:r>
      <w:r>
        <w:t xml:space="preserve"> for 2016-2018 was presented to the NVETC on 31st March 2016, shortly after a speech by the Prime Minister affirmed that future development of VET would focus on private-public partnership and WBL. </w:t>
      </w:r>
      <w:r>
        <w:rPr>
          <w:rFonts w:eastAsia="Times New Roman" w:cs="Times New Roman"/>
        </w:rPr>
        <w:t xml:space="preserve">There have been steps towards the introduction of WBL in 2016, including at a conference </w:t>
      </w:r>
      <w:r w:rsidRPr="00553DD8">
        <w:rPr>
          <w:rFonts w:eastAsia="Times New Roman" w:cs="Times New Roman"/>
        </w:rPr>
        <w:t>organized by MCA-G</w:t>
      </w:r>
      <w:r>
        <w:rPr>
          <w:rFonts w:eastAsia="Times New Roman" w:cs="Times New Roman"/>
        </w:rPr>
        <w:t xml:space="preserve"> in July on </w:t>
      </w:r>
      <w:r w:rsidRPr="00553DD8">
        <w:rPr>
          <w:rFonts w:eastAsia="Times New Roman" w:cs="Times New Roman"/>
        </w:rPr>
        <w:t>how to increase and enhance labour market-oriented TVET development</w:t>
      </w:r>
      <w:r>
        <w:rPr>
          <w:rFonts w:eastAsia="Times New Roman" w:cs="Times New Roman"/>
        </w:rPr>
        <w:t xml:space="preserve">, and another conference in September organized by ETF on WBL funding. However, practically, actions in 2016 have been limited to the three pilot projects required to </w:t>
      </w:r>
      <w:r w:rsidR="00E55184">
        <w:rPr>
          <w:rFonts w:eastAsia="Times New Roman" w:cs="Times New Roman"/>
        </w:rPr>
        <w:t>fulfil</w:t>
      </w:r>
      <w:r>
        <w:rPr>
          <w:rFonts w:eastAsia="Times New Roman" w:cs="Times New Roman"/>
        </w:rPr>
        <w:t xml:space="preserve"> Indicator 3.3.2 (see below). This is confirmed by a report on implementation of the WBL Concept Action Plan between July 2016 and March 2017, the sole document provided as evidence for this Indicator, which refers only to the implementation of two of the pilots (those supported by the SDC/UNDP project and implemented by the Georgian Farmers Association).</w:t>
      </w:r>
    </w:p>
    <w:p w14:paraId="4AAD3A48" w14:textId="77777777" w:rsidR="00374CBE" w:rsidRPr="00DC498E" w:rsidRDefault="00374CBE" w:rsidP="00374CBE"/>
    <w:p w14:paraId="72A1B0E6" w14:textId="77777777" w:rsidR="00374CBE" w:rsidRPr="0011101E" w:rsidRDefault="00374CBE" w:rsidP="00374CBE">
      <w:r>
        <w:t xml:space="preserve">Social partners are involved at various stages of VET programme development, including the determination of occupational standards, the provision of work placement for course participants, and training to up-date VET teacher skills. </w:t>
      </w:r>
      <w:r w:rsidRPr="0011101E">
        <w:t xml:space="preserve">Involvement in WBL </w:t>
      </w:r>
      <w:r>
        <w:t>is</w:t>
      </w:r>
      <w:r w:rsidRPr="0011101E">
        <w:t xml:space="preserve"> still limited and </w:t>
      </w:r>
      <w:r w:rsidRPr="0011101E">
        <w:lastRenderedPageBreak/>
        <w:t>embryonic, evidenced by the three pilots covered under Indicator 3.3.2. A funding scheme for WBL</w:t>
      </w:r>
      <w:r>
        <w:t>, following a conference organized by ETF in September,</w:t>
      </w:r>
      <w:r w:rsidRPr="0011101E">
        <w:t xml:space="preserve"> is reportedly being developed </w:t>
      </w:r>
      <w:r>
        <w:t>for</w:t>
      </w:r>
      <w:r w:rsidRPr="0011101E">
        <w:t xml:space="preserve"> adopt</w:t>
      </w:r>
      <w:r>
        <w:t>ion</w:t>
      </w:r>
      <w:r w:rsidRPr="0011101E">
        <w:t xml:space="preserve"> by Government Decree in 2017.</w:t>
      </w:r>
    </w:p>
    <w:p w14:paraId="400C521A" w14:textId="77777777" w:rsidR="00374CBE" w:rsidRDefault="00374CBE" w:rsidP="00374CBE"/>
    <w:p w14:paraId="33B694AD" w14:textId="77777777" w:rsidR="00374CBE" w:rsidRDefault="00374CBE" w:rsidP="00374CBE">
      <w:pPr>
        <w:rPr>
          <w:b/>
          <w:bCs/>
          <w:i/>
          <w:iCs/>
        </w:rPr>
      </w:pPr>
      <w:r>
        <w:rPr>
          <w:b/>
          <w:bCs/>
          <w:u w:val="single"/>
        </w:rPr>
        <w:t>Indicator 3.3.2</w:t>
      </w:r>
      <w:r>
        <w:rPr>
          <w:b/>
          <w:bCs/>
        </w:rPr>
        <w:t>: pilot WBL projects - fulfilled.</w:t>
      </w:r>
    </w:p>
    <w:p w14:paraId="7E727388" w14:textId="77777777" w:rsidR="00374CBE" w:rsidRDefault="00374CBE" w:rsidP="00374CBE"/>
    <w:p w14:paraId="07C71B93" w14:textId="3EF7595A" w:rsidR="00374CBE" w:rsidRDefault="00374CBE" w:rsidP="00374CBE">
      <w:r>
        <w:t xml:space="preserve">Three pilot projects to develop work-based learning (WBL) have been set up. All are focussed on agricultural occupations, and include two supported by SDC/UNDP, implemented by the Georgian Farmers' Association (GFA) on cattle husbandry and fruit growing (nuts and stone fruit), delivered through four VET </w:t>
      </w:r>
      <w:r w:rsidR="00E55184">
        <w:t>colleges (two at Kachreti and A</w:t>
      </w:r>
      <w:r>
        <w:t xml:space="preserve">khaltsikhe on cattle husbandry, stone fruit at Mtskheta, and nuts at Senaki) and one by GIZ on viticulture and wine, delivered through two VET colleges (Kachreti and </w:t>
      </w:r>
      <w:r w:rsidR="00E55184">
        <w:t>Mtskheta</w:t>
      </w:r>
      <w:r>
        <w:t>) that offer othe</w:t>
      </w:r>
      <w:r w:rsidR="00E55184">
        <w:t>r</w:t>
      </w:r>
      <w:r>
        <w:t xml:space="preserve"> VET agricultural programmes. </w:t>
      </w:r>
    </w:p>
    <w:p w14:paraId="7C7990EB" w14:textId="77777777" w:rsidR="00374CBE" w:rsidRDefault="00374CBE" w:rsidP="00374CBE"/>
    <w:p w14:paraId="5EB98240" w14:textId="77777777" w:rsidR="00374CBE" w:rsidRPr="001F659E" w:rsidRDefault="00374CBE" w:rsidP="00374CBE">
      <w:pPr>
        <w:rPr>
          <w:b/>
          <w:i/>
        </w:rPr>
      </w:pPr>
      <w:r w:rsidRPr="001F659E">
        <w:rPr>
          <w:b/>
          <w:i/>
        </w:rPr>
        <w:t>e)</w:t>
      </w:r>
      <w:r w:rsidRPr="001F659E">
        <w:rPr>
          <w:b/>
          <w:i/>
        </w:rPr>
        <w:tab/>
        <w:t>Outstanding Third Instalment Indicators</w:t>
      </w:r>
    </w:p>
    <w:p w14:paraId="0DC6CD42" w14:textId="77777777" w:rsidR="00374CBE" w:rsidRDefault="00374CBE" w:rsidP="00374CBE"/>
    <w:p w14:paraId="1EBD280F" w14:textId="77777777" w:rsidR="00374CBE" w:rsidRDefault="00374CBE" w:rsidP="00374CBE">
      <w:pPr>
        <w:ind w:right="26"/>
        <w:rPr>
          <w:b/>
          <w:bCs/>
          <w:lang w:eastAsia="en-GB"/>
        </w:rPr>
      </w:pPr>
      <w:r w:rsidRPr="00464FBD">
        <w:rPr>
          <w:b/>
          <w:bCs/>
          <w:u w:val="single"/>
        </w:rPr>
        <w:t>Specific Condition 2.2</w:t>
      </w:r>
      <w:r>
        <w:rPr>
          <w:b/>
          <w:bCs/>
        </w:rPr>
        <w:t>:</w:t>
      </w:r>
      <w:r>
        <w:rPr>
          <w:b/>
          <w:bCs/>
          <w:lang w:eastAsia="en-GB"/>
        </w:rPr>
        <w:t xml:space="preserve"> </w:t>
      </w:r>
      <w:r w:rsidRPr="001F659E">
        <w:rPr>
          <w:b/>
          <w:bCs/>
          <w:i/>
          <w:lang w:eastAsia="en-GB"/>
        </w:rPr>
        <w:t>Improved quality of VET qualifications.</w:t>
      </w:r>
    </w:p>
    <w:p w14:paraId="59B67B13" w14:textId="77777777" w:rsidR="00374CBE" w:rsidRDefault="00374CBE" w:rsidP="00374CBE">
      <w:pPr>
        <w:ind w:right="26"/>
        <w:rPr>
          <w:b/>
          <w:bCs/>
          <w:lang w:eastAsia="en-GB"/>
        </w:rPr>
      </w:pPr>
    </w:p>
    <w:p w14:paraId="489C6783" w14:textId="77777777" w:rsidR="00374CBE" w:rsidRPr="0095050A" w:rsidRDefault="00374CBE" w:rsidP="00374CBE">
      <w:pPr>
        <w:rPr>
          <w:b/>
          <w:bCs/>
        </w:rPr>
      </w:pPr>
      <w:r w:rsidRPr="0095050A">
        <w:rPr>
          <w:b/>
          <w:bCs/>
          <w:lang w:eastAsia="en-GB"/>
        </w:rPr>
        <w:t>Review Assessment</w:t>
      </w:r>
      <w:r w:rsidRPr="0095050A">
        <w:rPr>
          <w:b/>
          <w:bCs/>
        </w:rPr>
        <w:t xml:space="preserve">: </w:t>
      </w:r>
      <w:r>
        <w:rPr>
          <w:b/>
          <w:bCs/>
        </w:rPr>
        <w:t>non-</w:t>
      </w:r>
      <w:r w:rsidRPr="0095050A">
        <w:rPr>
          <w:b/>
          <w:bCs/>
        </w:rPr>
        <w:t>compliance</w:t>
      </w:r>
      <w:r>
        <w:rPr>
          <w:bCs/>
        </w:rPr>
        <w:t xml:space="preserve"> </w:t>
      </w:r>
      <w:r w:rsidRPr="00464FBD">
        <w:rPr>
          <w:bCs/>
        </w:rPr>
        <w:t>(one of two indicators fulfilled insufficient for partial compliance).</w:t>
      </w:r>
    </w:p>
    <w:p w14:paraId="333BDDBD" w14:textId="77777777" w:rsidR="00374CBE" w:rsidRPr="0095050A" w:rsidRDefault="00374CBE" w:rsidP="00374CBE">
      <w:pPr>
        <w:rPr>
          <w:bCs/>
        </w:rPr>
      </w:pPr>
      <w:r w:rsidRPr="0095050A">
        <w:rPr>
          <w:bCs/>
        </w:rPr>
        <w:t xml:space="preserve">(Potential value: €1.0mn; </w:t>
      </w:r>
      <w:r>
        <w:rPr>
          <w:bCs/>
        </w:rPr>
        <w:t xml:space="preserve">Previous </w:t>
      </w:r>
      <w:r w:rsidRPr="0095050A">
        <w:rPr>
          <w:bCs/>
        </w:rPr>
        <w:t>Score: 0</w:t>
      </w:r>
      <w:r>
        <w:rPr>
          <w:bCs/>
        </w:rPr>
        <w:t>.</w:t>
      </w:r>
      <w:r w:rsidRPr="0095050A">
        <w:rPr>
          <w:bCs/>
        </w:rPr>
        <w:t xml:space="preserve">0; </w:t>
      </w:r>
      <w:r>
        <w:rPr>
          <w:bCs/>
        </w:rPr>
        <w:t xml:space="preserve">Current Score 0.0; Funds available for release: €1.0mn; </w:t>
      </w:r>
      <w:r w:rsidRPr="0095050A">
        <w:rPr>
          <w:bCs/>
        </w:rPr>
        <w:t xml:space="preserve">Recommended funds release: </w:t>
      </w:r>
      <w:r>
        <w:rPr>
          <w:bCs/>
        </w:rPr>
        <w:t>nil</w:t>
      </w:r>
      <w:r w:rsidRPr="0095050A">
        <w:rPr>
          <w:bCs/>
        </w:rPr>
        <w:t>)</w:t>
      </w:r>
    </w:p>
    <w:p w14:paraId="1AB66AA3" w14:textId="77777777" w:rsidR="00374CBE" w:rsidRDefault="00374CBE" w:rsidP="00374CBE">
      <w:pPr>
        <w:ind w:right="26"/>
      </w:pPr>
    </w:p>
    <w:p w14:paraId="6325B3EC" w14:textId="77777777" w:rsidR="00374CBE" w:rsidRDefault="00374CBE" w:rsidP="00374CBE">
      <w:r>
        <w:rPr>
          <w:b/>
          <w:bCs/>
          <w:u w:val="single"/>
        </w:rPr>
        <w:t>Indicator 2.2.1</w:t>
      </w:r>
      <w:r>
        <w:rPr>
          <w:b/>
          <w:bCs/>
        </w:rPr>
        <w:t>: teacher professional development - previously assessed as fulfilled.</w:t>
      </w:r>
    </w:p>
    <w:p w14:paraId="3874543A" w14:textId="77777777" w:rsidR="00374CBE" w:rsidRDefault="00374CBE" w:rsidP="00374CBE">
      <w:pPr>
        <w:ind w:right="26"/>
      </w:pPr>
    </w:p>
    <w:p w14:paraId="61D019B3" w14:textId="77777777" w:rsidR="00374CBE" w:rsidRDefault="00374CBE" w:rsidP="00374CBE">
      <w:r>
        <w:rPr>
          <w:b/>
          <w:bCs/>
          <w:u w:val="single"/>
        </w:rPr>
        <w:t>Indicator 2.2.2</w:t>
      </w:r>
      <w:r>
        <w:rPr>
          <w:b/>
          <w:bCs/>
        </w:rPr>
        <w:t>: revised NQF - previous assessment: unfulfilled; current assessment: unfulfilled.</w:t>
      </w:r>
    </w:p>
    <w:p w14:paraId="0776BFB2" w14:textId="77777777" w:rsidR="00374CBE" w:rsidRDefault="00374CBE" w:rsidP="00374CBE"/>
    <w:p w14:paraId="71A4D711" w14:textId="5EC7B431" w:rsidR="00374CBE" w:rsidRDefault="00374CBE" w:rsidP="00374CBE">
      <w:r>
        <w:t xml:space="preserve">There is </w:t>
      </w:r>
      <w:r w:rsidR="00E55184">
        <w:t>essentially</w:t>
      </w:r>
      <w:r>
        <w:t xml:space="preserve"> not change from the situation at the time of the Third Instalment Review. The new NQF remains in draft to be finalised and adopted, pending adoption on the new VET Law (see Fourth Instalment Indicator 2.2.1 above). The catalogue of OS is periodically updated (as mentioned in above for Fourth Instalment Indicator 2.2.3.</w:t>
      </w:r>
    </w:p>
    <w:p w14:paraId="5BDBAB59" w14:textId="77777777" w:rsidR="00374CBE" w:rsidRDefault="00374CBE" w:rsidP="00374CBE"/>
    <w:p w14:paraId="15495F0F" w14:textId="77777777" w:rsidR="00374CBE" w:rsidRDefault="00374CBE" w:rsidP="00374CBE">
      <w:pPr>
        <w:ind w:right="580"/>
        <w:rPr>
          <w:b/>
          <w:bCs/>
          <w:lang w:eastAsia="en-GB"/>
        </w:rPr>
      </w:pPr>
      <w:r w:rsidRPr="00464FBD">
        <w:rPr>
          <w:b/>
          <w:bCs/>
          <w:u w:val="single"/>
        </w:rPr>
        <w:t>Specific Condition 3.1</w:t>
      </w:r>
      <w:r>
        <w:rPr>
          <w:b/>
          <w:bCs/>
        </w:rPr>
        <w:t>:</w:t>
      </w:r>
      <w:r>
        <w:rPr>
          <w:b/>
          <w:bCs/>
          <w:lang w:eastAsia="en-GB"/>
        </w:rPr>
        <w:t xml:space="preserve"> </w:t>
      </w:r>
      <w:r w:rsidRPr="00464FBD">
        <w:rPr>
          <w:b/>
          <w:bCs/>
          <w:i/>
          <w:lang w:eastAsia="en-GB"/>
        </w:rPr>
        <w:t>Efficient transition from training to employment.</w:t>
      </w:r>
    </w:p>
    <w:p w14:paraId="3AD0813D" w14:textId="77777777" w:rsidR="00374CBE" w:rsidRDefault="00374CBE" w:rsidP="00374CBE">
      <w:pPr>
        <w:rPr>
          <w:b/>
          <w:bCs/>
          <w:i/>
          <w:lang w:eastAsia="en-GB"/>
        </w:rPr>
      </w:pPr>
    </w:p>
    <w:p w14:paraId="6BFAE33D" w14:textId="77777777" w:rsidR="00374CBE" w:rsidRPr="0095050A" w:rsidRDefault="00374CBE" w:rsidP="00374CBE">
      <w:pPr>
        <w:rPr>
          <w:b/>
          <w:bCs/>
        </w:rPr>
      </w:pPr>
      <w:r w:rsidRPr="0095050A">
        <w:rPr>
          <w:b/>
          <w:bCs/>
          <w:lang w:eastAsia="en-GB"/>
        </w:rPr>
        <w:t>Review Assessment</w:t>
      </w:r>
      <w:r w:rsidRPr="0095050A">
        <w:rPr>
          <w:b/>
          <w:bCs/>
        </w:rPr>
        <w:t>: compliance</w:t>
      </w:r>
      <w:r>
        <w:rPr>
          <w:bCs/>
        </w:rPr>
        <w:t>.</w:t>
      </w:r>
    </w:p>
    <w:p w14:paraId="12EC9273" w14:textId="77777777" w:rsidR="00374CBE" w:rsidRPr="0095050A" w:rsidRDefault="00374CBE" w:rsidP="00374CBE">
      <w:pPr>
        <w:rPr>
          <w:bCs/>
        </w:rPr>
      </w:pPr>
      <w:r w:rsidRPr="0095050A">
        <w:rPr>
          <w:bCs/>
        </w:rPr>
        <w:t>(Potential value: €</w:t>
      </w:r>
      <w:r>
        <w:rPr>
          <w:bCs/>
        </w:rPr>
        <w:t>0.5</w:t>
      </w:r>
      <w:r w:rsidRPr="0095050A">
        <w:rPr>
          <w:bCs/>
        </w:rPr>
        <w:t xml:space="preserve">mn; </w:t>
      </w:r>
      <w:r>
        <w:rPr>
          <w:bCs/>
        </w:rPr>
        <w:t xml:space="preserve">Previous </w:t>
      </w:r>
      <w:r w:rsidRPr="0095050A">
        <w:rPr>
          <w:bCs/>
        </w:rPr>
        <w:t>Score: 0</w:t>
      </w:r>
      <w:r>
        <w:rPr>
          <w:bCs/>
        </w:rPr>
        <w:t>.</w:t>
      </w:r>
      <w:r w:rsidRPr="0095050A">
        <w:rPr>
          <w:bCs/>
        </w:rPr>
        <w:t xml:space="preserve">0; </w:t>
      </w:r>
      <w:r>
        <w:rPr>
          <w:bCs/>
        </w:rPr>
        <w:t xml:space="preserve">Current Score 1.0; Funds available for release: €1.0mn; </w:t>
      </w:r>
      <w:r w:rsidRPr="0095050A">
        <w:rPr>
          <w:bCs/>
        </w:rPr>
        <w:t xml:space="preserve">Recommended funds release: </w:t>
      </w:r>
      <w:r>
        <w:rPr>
          <w:bCs/>
        </w:rPr>
        <w:t>€0.5mn</w:t>
      </w:r>
      <w:r w:rsidRPr="0095050A">
        <w:rPr>
          <w:bCs/>
        </w:rPr>
        <w:t>)</w:t>
      </w:r>
    </w:p>
    <w:p w14:paraId="18BAFFD9" w14:textId="77777777" w:rsidR="00374CBE" w:rsidRDefault="00374CBE" w:rsidP="00374CBE"/>
    <w:p w14:paraId="58F5F8E7" w14:textId="77777777" w:rsidR="00374CBE" w:rsidRDefault="00374CBE" w:rsidP="00374CBE">
      <w:pPr>
        <w:rPr>
          <w:b/>
          <w:bCs/>
        </w:rPr>
      </w:pPr>
      <w:r>
        <w:rPr>
          <w:b/>
          <w:bCs/>
          <w:u w:val="single"/>
        </w:rPr>
        <w:t>Indicator 3.1.1</w:t>
      </w:r>
      <w:r>
        <w:rPr>
          <w:b/>
          <w:bCs/>
        </w:rPr>
        <w:t>: career guidance manual - previously assessed as fulfilled.</w:t>
      </w:r>
    </w:p>
    <w:p w14:paraId="6F5AA449" w14:textId="77777777" w:rsidR="00374CBE" w:rsidRDefault="00374CBE" w:rsidP="00374CBE">
      <w:pPr>
        <w:rPr>
          <w:b/>
          <w:bCs/>
        </w:rPr>
      </w:pPr>
    </w:p>
    <w:p w14:paraId="035D73B8" w14:textId="77777777" w:rsidR="00374CBE" w:rsidRDefault="00374CBE" w:rsidP="00374CBE">
      <w:r>
        <w:rPr>
          <w:b/>
          <w:bCs/>
          <w:u w:val="single"/>
        </w:rPr>
        <w:t>Indicator 3.1.2</w:t>
      </w:r>
      <w:r>
        <w:rPr>
          <w:b/>
          <w:bCs/>
        </w:rPr>
        <w:t>: career guidance pilot - previous assessment: unfulfilled; current assessment: fulfilled.</w:t>
      </w:r>
    </w:p>
    <w:p w14:paraId="332CFC3D" w14:textId="77777777" w:rsidR="00374CBE" w:rsidRPr="00F536DB" w:rsidRDefault="00374CBE" w:rsidP="00374CBE">
      <w:pPr>
        <w:rPr>
          <w:bCs/>
        </w:rPr>
      </w:pPr>
    </w:p>
    <w:p w14:paraId="5FD571F2" w14:textId="77777777" w:rsidR="00374CBE" w:rsidRPr="00F536DB" w:rsidRDefault="00374CBE" w:rsidP="00374CBE">
      <w:pPr>
        <w:rPr>
          <w:bCs/>
        </w:rPr>
      </w:pPr>
      <w:r w:rsidRPr="00F536DB">
        <w:rPr>
          <w:bCs/>
        </w:rPr>
        <w:t>As evident from the discussion above on Fourth Instalment Indicator 3.1.1, 2016 has seen the implementation of the POCG pilot, including for at least 18 VET colleges and 5 ESS offices</w:t>
      </w:r>
      <w:r>
        <w:rPr>
          <w:bCs/>
        </w:rPr>
        <w:t xml:space="preserve"> (currently 8 career guidance specialists, and 10 job coaches for those with special needs/disabled)</w:t>
      </w:r>
      <w:r w:rsidRPr="00F536DB">
        <w:rPr>
          <w:bCs/>
        </w:rPr>
        <w:t>. Elements of the pilot remain, and the roll out to all state VET providers (as required for the Fourth Instalment Indicator) has yet to be achieved, but the Review believes the situation means that the Third Instalment Indicator has been fulfilled.</w:t>
      </w:r>
    </w:p>
    <w:p w14:paraId="1A813D30" w14:textId="77777777" w:rsidR="00374CBE" w:rsidRDefault="00374CBE" w:rsidP="00374CBE">
      <w:pPr>
        <w:rPr>
          <w:bCs/>
        </w:rPr>
      </w:pPr>
    </w:p>
    <w:p w14:paraId="6B151FF8" w14:textId="77777777" w:rsidR="00374CBE" w:rsidRDefault="00374CBE" w:rsidP="00374CBE">
      <w:pPr>
        <w:ind w:right="580"/>
        <w:rPr>
          <w:b/>
          <w:bCs/>
          <w:lang w:eastAsia="en-GB"/>
        </w:rPr>
      </w:pPr>
      <w:r>
        <w:rPr>
          <w:b/>
          <w:bCs/>
          <w:u w:val="single"/>
        </w:rPr>
        <w:t>Specific Condition 3.3</w:t>
      </w:r>
      <w:r>
        <w:rPr>
          <w:b/>
          <w:bCs/>
        </w:rPr>
        <w:t>:</w:t>
      </w:r>
      <w:r>
        <w:rPr>
          <w:b/>
          <w:bCs/>
          <w:lang w:eastAsia="en-GB"/>
        </w:rPr>
        <w:t xml:space="preserve"> </w:t>
      </w:r>
      <w:r w:rsidRPr="00385FD2">
        <w:rPr>
          <w:b/>
          <w:bCs/>
          <w:i/>
          <w:lang w:eastAsia="en-GB"/>
        </w:rPr>
        <w:t>Enhanced Social Partnership</w:t>
      </w:r>
      <w:r w:rsidRPr="00464FBD">
        <w:rPr>
          <w:b/>
          <w:bCs/>
          <w:i/>
          <w:lang w:eastAsia="en-GB"/>
        </w:rPr>
        <w:t>.</w:t>
      </w:r>
    </w:p>
    <w:p w14:paraId="24785C84" w14:textId="77777777" w:rsidR="00374CBE" w:rsidRDefault="00374CBE" w:rsidP="00374CBE">
      <w:pPr>
        <w:rPr>
          <w:bCs/>
        </w:rPr>
      </w:pPr>
    </w:p>
    <w:p w14:paraId="3881EB53" w14:textId="6E9DA45B" w:rsidR="00374CBE" w:rsidRDefault="00374CBE" w:rsidP="00374CBE">
      <w:pPr>
        <w:rPr>
          <w:bCs/>
        </w:rPr>
      </w:pPr>
      <w:r>
        <w:rPr>
          <w:bCs/>
        </w:rPr>
        <w:t xml:space="preserve">While the EU decided not to allow fulfilment of Third Instalment Indicator 3.3.1 to be reassessed, the Review believes that implementation of the WBL Concept through 2016, </w:t>
      </w:r>
      <w:r>
        <w:rPr>
          <w:bCs/>
        </w:rPr>
        <w:lastRenderedPageBreak/>
        <w:t>including further discussion within the NVETC and adoption of an Action Plan for 2016-2018, is sufficient to illustrate ministerial approval of the Concept. The Ministry itself justifies fulfilment by reference to the fact that the submission of the Concept to the NVETC in December 2015, and again with the Action Plan in March 2016, and the positive response of the NVETC chaired by the Deputy Minister of MoES is evidence of a ministerial decision, given that the le</w:t>
      </w:r>
      <w:r w:rsidR="00E55184">
        <w:rPr>
          <w:bCs/>
        </w:rPr>
        <w:t>gislative protocol in Georgia in</w:t>
      </w:r>
      <w:r>
        <w:rPr>
          <w:bCs/>
        </w:rPr>
        <w:t xml:space="preserve"> that a Concept Paper is not formally approved by Ministerial Order, as suggested in the source of verification, but agreed with EUD was inappropriate. Given these facts, and that the source of verification is indicative and not itself part of the Indicator, the Review believes EU should reconsider its decision with respect to the Third Instalment Indicator.</w:t>
      </w:r>
    </w:p>
    <w:p w14:paraId="6B2DB1E8" w14:textId="77777777" w:rsidR="00374CBE" w:rsidRPr="00F536DB" w:rsidRDefault="00374CBE" w:rsidP="00374CBE">
      <w:pPr>
        <w:rPr>
          <w:bCs/>
        </w:rPr>
      </w:pPr>
    </w:p>
    <w:p w14:paraId="530EFA8E" w14:textId="77777777" w:rsidR="00374CBE" w:rsidRDefault="00374CBE" w:rsidP="00374CBE">
      <w:pPr>
        <w:pStyle w:val="Heading2"/>
      </w:pPr>
      <w:bookmarkStart w:id="9" w:name="_Toc486837746"/>
      <w:r>
        <w:t>f)</w:t>
      </w:r>
      <w:r>
        <w:tab/>
        <w:t>Conclusions for Disbursement</w:t>
      </w:r>
      <w:bookmarkEnd w:id="9"/>
    </w:p>
    <w:p w14:paraId="00AEFB5F" w14:textId="77777777" w:rsidR="00374CBE" w:rsidRDefault="00374CBE" w:rsidP="00374CBE"/>
    <w:p w14:paraId="53EE208F" w14:textId="77777777" w:rsidR="00374CBE" w:rsidRPr="00DB29A5" w:rsidRDefault="00374CBE" w:rsidP="00374CBE">
      <w:pPr>
        <w:rPr>
          <w:b/>
        </w:rPr>
      </w:pPr>
      <w:r w:rsidRPr="00DB29A5">
        <w:rPr>
          <w:b/>
        </w:rPr>
        <w:t>i)</w:t>
      </w:r>
      <w:r w:rsidRPr="00DB29A5">
        <w:rPr>
          <w:b/>
        </w:rPr>
        <w:tab/>
        <w:t>Fourth Instalment Conditions</w:t>
      </w:r>
    </w:p>
    <w:p w14:paraId="7163FEDD" w14:textId="77777777" w:rsidR="00374CBE" w:rsidRDefault="00374CBE" w:rsidP="00374CBE"/>
    <w:p w14:paraId="243565B0" w14:textId="77777777" w:rsidR="00374CBE" w:rsidRDefault="00374CBE" w:rsidP="00374CBE">
      <w:pPr>
        <w:rPr>
          <w:highlight w:val="green"/>
        </w:rPr>
      </w:pPr>
      <w:r>
        <w:t>Table A summarizes the Review's conclusions on the status of Government's compliance with the conditions for release of the Fourth Instalment. The Review concluded the Government was compliant with all four General Conditions, eligibility criteria for release of any funds but also conditions for disbursement of the Fixed Tranche. Based on this assessment the Final Review has concluded that Government is eligible to receive €6.0mn of the €7.5mn allocated in the FA for the Fourth Instalment. Two Indicators are considered to be unfulfilled: 3.1.1 on the extension of the new career guidance and counselling concept across all public VET institutions, and 3.3.1 on the implementation of an improved framework for social partnership. As both are one of two Indicators for the Specific Condition, the fulfilment of the other Indicator is insufficient for an assessment of partial compliance as this requires more than half the Indicators for a particular Specific Condition to be met.</w:t>
      </w:r>
    </w:p>
    <w:p w14:paraId="2F8ADF17" w14:textId="77777777" w:rsidR="00374CBE" w:rsidRDefault="00374CBE" w:rsidP="00374CBE"/>
    <w:p w14:paraId="7D9D3A23" w14:textId="77777777" w:rsidR="00374CBE" w:rsidRDefault="00374CBE" w:rsidP="00374CBE">
      <w:pPr>
        <w:jc w:val="center"/>
        <w:rPr>
          <w:b/>
          <w:bCs/>
        </w:rPr>
      </w:pPr>
      <w:r>
        <w:rPr>
          <w:b/>
          <w:bCs/>
        </w:rPr>
        <w:t>Table A: Summary of Fourth Instalment Disbursement Recommendation</w:t>
      </w:r>
    </w:p>
    <w:p w14:paraId="13CC472E" w14:textId="77777777" w:rsidR="00374CBE" w:rsidRDefault="00374CBE" w:rsidP="00374CBE">
      <w:pPr>
        <w:rPr>
          <w:highlight w:val="green"/>
        </w:rPr>
      </w:pPr>
    </w:p>
    <w:tbl>
      <w:tblPr>
        <w:tblW w:w="8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78"/>
        <w:gridCol w:w="1417"/>
        <w:gridCol w:w="1134"/>
        <w:gridCol w:w="851"/>
        <w:gridCol w:w="1356"/>
      </w:tblGrid>
      <w:tr w:rsidR="00374CBE" w:rsidRPr="00690428" w14:paraId="7C4A45D5" w14:textId="77777777" w:rsidTr="00E55184">
        <w:trPr>
          <w:jc w:val="center"/>
        </w:trPr>
        <w:tc>
          <w:tcPr>
            <w:tcW w:w="4178" w:type="dxa"/>
          </w:tcPr>
          <w:p w14:paraId="1ED369EF" w14:textId="77777777" w:rsidR="00374CBE" w:rsidRPr="00690428" w:rsidRDefault="00374CBE" w:rsidP="00E55184">
            <w:pPr>
              <w:rPr>
                <w:b/>
                <w:bCs/>
                <w:sz w:val="20"/>
                <w:szCs w:val="20"/>
              </w:rPr>
            </w:pPr>
          </w:p>
          <w:p w14:paraId="2F93AE79" w14:textId="77777777" w:rsidR="00374CBE" w:rsidRPr="00690428" w:rsidRDefault="00374CBE" w:rsidP="00E55184">
            <w:pPr>
              <w:jc w:val="center"/>
              <w:rPr>
                <w:b/>
                <w:bCs/>
                <w:sz w:val="20"/>
                <w:szCs w:val="20"/>
              </w:rPr>
            </w:pPr>
            <w:r w:rsidRPr="00690428">
              <w:rPr>
                <w:b/>
                <w:bCs/>
                <w:sz w:val="20"/>
                <w:szCs w:val="20"/>
              </w:rPr>
              <w:t>Condition</w:t>
            </w:r>
          </w:p>
        </w:tc>
        <w:tc>
          <w:tcPr>
            <w:tcW w:w="1417" w:type="dxa"/>
          </w:tcPr>
          <w:p w14:paraId="4F9917B8" w14:textId="77777777" w:rsidR="00374CBE" w:rsidRPr="00690428" w:rsidRDefault="00374CBE" w:rsidP="00E55184">
            <w:pPr>
              <w:jc w:val="center"/>
              <w:rPr>
                <w:b/>
                <w:bCs/>
                <w:sz w:val="20"/>
                <w:szCs w:val="20"/>
              </w:rPr>
            </w:pPr>
            <w:r w:rsidRPr="00690428">
              <w:rPr>
                <w:b/>
                <w:bCs/>
                <w:sz w:val="20"/>
                <w:szCs w:val="20"/>
              </w:rPr>
              <w:t>Compliance</w:t>
            </w:r>
          </w:p>
        </w:tc>
        <w:tc>
          <w:tcPr>
            <w:tcW w:w="1134" w:type="dxa"/>
          </w:tcPr>
          <w:p w14:paraId="3F2FDDC9" w14:textId="77777777" w:rsidR="00374CBE" w:rsidRPr="00690428" w:rsidRDefault="00374CBE" w:rsidP="00E55184">
            <w:pPr>
              <w:jc w:val="center"/>
              <w:rPr>
                <w:b/>
                <w:bCs/>
                <w:sz w:val="20"/>
                <w:szCs w:val="20"/>
              </w:rPr>
            </w:pPr>
            <w:r w:rsidRPr="00690428">
              <w:rPr>
                <w:b/>
                <w:bCs/>
                <w:sz w:val="20"/>
                <w:szCs w:val="20"/>
              </w:rPr>
              <w:t>Possible Value €mn</w:t>
            </w:r>
          </w:p>
        </w:tc>
        <w:tc>
          <w:tcPr>
            <w:tcW w:w="851" w:type="dxa"/>
          </w:tcPr>
          <w:p w14:paraId="2A5C5019" w14:textId="77777777" w:rsidR="00374CBE" w:rsidRPr="00690428" w:rsidRDefault="00374CBE" w:rsidP="00E55184">
            <w:pPr>
              <w:jc w:val="center"/>
              <w:rPr>
                <w:b/>
                <w:bCs/>
                <w:sz w:val="20"/>
                <w:szCs w:val="20"/>
              </w:rPr>
            </w:pPr>
            <w:r w:rsidRPr="00690428">
              <w:rPr>
                <w:b/>
                <w:bCs/>
                <w:sz w:val="20"/>
                <w:szCs w:val="20"/>
              </w:rPr>
              <w:t>Score</w:t>
            </w:r>
          </w:p>
        </w:tc>
        <w:tc>
          <w:tcPr>
            <w:tcW w:w="1356" w:type="dxa"/>
          </w:tcPr>
          <w:p w14:paraId="32798E06" w14:textId="77777777" w:rsidR="00374CBE" w:rsidRPr="00690428" w:rsidRDefault="00374CBE" w:rsidP="00E55184">
            <w:pPr>
              <w:jc w:val="center"/>
              <w:rPr>
                <w:b/>
                <w:bCs/>
                <w:sz w:val="20"/>
                <w:szCs w:val="20"/>
              </w:rPr>
            </w:pPr>
            <w:r>
              <w:rPr>
                <w:b/>
                <w:bCs/>
                <w:sz w:val="20"/>
                <w:szCs w:val="20"/>
              </w:rPr>
              <w:t>Proposed</w:t>
            </w:r>
            <w:r w:rsidRPr="00690428">
              <w:rPr>
                <w:b/>
                <w:bCs/>
                <w:sz w:val="20"/>
                <w:szCs w:val="20"/>
              </w:rPr>
              <w:t xml:space="preserve"> release €mn</w:t>
            </w:r>
          </w:p>
        </w:tc>
      </w:tr>
      <w:tr w:rsidR="00374CBE" w:rsidRPr="00690428" w14:paraId="15520C1D" w14:textId="77777777" w:rsidTr="00E55184">
        <w:trPr>
          <w:jc w:val="center"/>
        </w:trPr>
        <w:tc>
          <w:tcPr>
            <w:tcW w:w="4178" w:type="dxa"/>
            <w:shd w:val="clear" w:color="auto" w:fill="E0E0E0"/>
          </w:tcPr>
          <w:p w14:paraId="4865EB6C" w14:textId="77777777" w:rsidR="00374CBE" w:rsidRPr="00690428" w:rsidRDefault="00374CBE" w:rsidP="00E55184">
            <w:pPr>
              <w:jc w:val="left"/>
              <w:rPr>
                <w:b/>
                <w:bCs/>
                <w:sz w:val="20"/>
                <w:szCs w:val="20"/>
              </w:rPr>
            </w:pPr>
            <w:r w:rsidRPr="00690428">
              <w:rPr>
                <w:b/>
                <w:bCs/>
                <w:sz w:val="20"/>
                <w:szCs w:val="20"/>
              </w:rPr>
              <w:t>A. Fixed Tranche (13.3%)</w:t>
            </w:r>
          </w:p>
        </w:tc>
        <w:tc>
          <w:tcPr>
            <w:tcW w:w="1417" w:type="dxa"/>
            <w:shd w:val="clear" w:color="auto" w:fill="E0E0E0"/>
          </w:tcPr>
          <w:p w14:paraId="09056F92" w14:textId="77777777" w:rsidR="00374CBE" w:rsidRPr="00690428" w:rsidRDefault="00374CBE" w:rsidP="00E55184">
            <w:pPr>
              <w:jc w:val="center"/>
              <w:rPr>
                <w:b/>
                <w:bCs/>
                <w:sz w:val="20"/>
                <w:szCs w:val="20"/>
              </w:rPr>
            </w:pPr>
            <w:r w:rsidRPr="00690428">
              <w:rPr>
                <w:b/>
                <w:bCs/>
                <w:sz w:val="20"/>
                <w:szCs w:val="20"/>
              </w:rPr>
              <w:t>compliance</w:t>
            </w:r>
          </w:p>
        </w:tc>
        <w:tc>
          <w:tcPr>
            <w:tcW w:w="1134" w:type="dxa"/>
            <w:shd w:val="clear" w:color="auto" w:fill="E0E0E0"/>
          </w:tcPr>
          <w:p w14:paraId="3095E5A5" w14:textId="77777777" w:rsidR="00374CBE" w:rsidRPr="00690428" w:rsidRDefault="00374CBE" w:rsidP="00E55184">
            <w:pPr>
              <w:jc w:val="center"/>
              <w:rPr>
                <w:b/>
                <w:bCs/>
                <w:sz w:val="20"/>
                <w:szCs w:val="20"/>
              </w:rPr>
            </w:pPr>
            <w:r>
              <w:rPr>
                <w:b/>
                <w:bCs/>
                <w:sz w:val="20"/>
                <w:szCs w:val="20"/>
              </w:rPr>
              <w:t>1.0</w:t>
            </w:r>
          </w:p>
        </w:tc>
        <w:tc>
          <w:tcPr>
            <w:tcW w:w="851" w:type="dxa"/>
            <w:shd w:val="clear" w:color="auto" w:fill="E0E0E0"/>
          </w:tcPr>
          <w:p w14:paraId="0197A7DD" w14:textId="77777777" w:rsidR="00374CBE" w:rsidRPr="00690428" w:rsidRDefault="00374CBE" w:rsidP="00E55184">
            <w:pPr>
              <w:jc w:val="center"/>
              <w:rPr>
                <w:b/>
                <w:bCs/>
                <w:sz w:val="20"/>
                <w:szCs w:val="20"/>
              </w:rPr>
            </w:pPr>
          </w:p>
        </w:tc>
        <w:tc>
          <w:tcPr>
            <w:tcW w:w="1356" w:type="dxa"/>
            <w:shd w:val="clear" w:color="auto" w:fill="E0E0E0"/>
          </w:tcPr>
          <w:p w14:paraId="320F7040" w14:textId="77777777" w:rsidR="00374CBE" w:rsidRPr="00690428" w:rsidRDefault="00374CBE" w:rsidP="00E55184">
            <w:pPr>
              <w:jc w:val="center"/>
              <w:rPr>
                <w:b/>
                <w:bCs/>
                <w:sz w:val="20"/>
                <w:szCs w:val="20"/>
              </w:rPr>
            </w:pPr>
            <w:r w:rsidRPr="00690428">
              <w:rPr>
                <w:b/>
                <w:bCs/>
                <w:sz w:val="20"/>
                <w:szCs w:val="20"/>
              </w:rPr>
              <w:t>1.0</w:t>
            </w:r>
          </w:p>
        </w:tc>
      </w:tr>
      <w:tr w:rsidR="00374CBE" w:rsidRPr="00690428" w14:paraId="1429B171" w14:textId="77777777" w:rsidTr="00E55184">
        <w:trPr>
          <w:jc w:val="center"/>
        </w:trPr>
        <w:tc>
          <w:tcPr>
            <w:tcW w:w="4178" w:type="dxa"/>
            <w:shd w:val="clear" w:color="auto" w:fill="E0E0E0"/>
          </w:tcPr>
          <w:p w14:paraId="07A770BE" w14:textId="77777777" w:rsidR="00374CBE" w:rsidRPr="00690428" w:rsidRDefault="00374CBE" w:rsidP="00E55184">
            <w:pPr>
              <w:jc w:val="left"/>
              <w:rPr>
                <w:b/>
                <w:bCs/>
                <w:sz w:val="20"/>
                <w:szCs w:val="20"/>
              </w:rPr>
            </w:pPr>
            <w:r w:rsidRPr="00690428">
              <w:rPr>
                <w:b/>
                <w:bCs/>
                <w:sz w:val="20"/>
                <w:szCs w:val="20"/>
              </w:rPr>
              <w:t>B. Variable Tranche (86.7%)</w:t>
            </w:r>
          </w:p>
        </w:tc>
        <w:tc>
          <w:tcPr>
            <w:tcW w:w="1417" w:type="dxa"/>
            <w:shd w:val="clear" w:color="auto" w:fill="E0E0E0"/>
          </w:tcPr>
          <w:p w14:paraId="3D9CEDB2" w14:textId="77777777" w:rsidR="00374CBE" w:rsidRPr="00690428" w:rsidRDefault="00374CBE" w:rsidP="00E55184">
            <w:pPr>
              <w:jc w:val="center"/>
              <w:rPr>
                <w:b/>
                <w:bCs/>
                <w:sz w:val="20"/>
                <w:szCs w:val="20"/>
              </w:rPr>
            </w:pPr>
          </w:p>
        </w:tc>
        <w:tc>
          <w:tcPr>
            <w:tcW w:w="1134" w:type="dxa"/>
            <w:shd w:val="clear" w:color="auto" w:fill="E0E0E0"/>
          </w:tcPr>
          <w:p w14:paraId="48579E7E" w14:textId="77777777" w:rsidR="00374CBE" w:rsidRPr="00690428" w:rsidRDefault="00374CBE" w:rsidP="00E55184">
            <w:pPr>
              <w:jc w:val="center"/>
              <w:rPr>
                <w:b/>
                <w:bCs/>
                <w:sz w:val="20"/>
                <w:szCs w:val="20"/>
              </w:rPr>
            </w:pPr>
          </w:p>
        </w:tc>
        <w:tc>
          <w:tcPr>
            <w:tcW w:w="851" w:type="dxa"/>
            <w:shd w:val="clear" w:color="auto" w:fill="E0E0E0"/>
          </w:tcPr>
          <w:p w14:paraId="64681B3E" w14:textId="77777777" w:rsidR="00374CBE" w:rsidRPr="00690428" w:rsidRDefault="00374CBE" w:rsidP="00E55184">
            <w:pPr>
              <w:jc w:val="center"/>
              <w:rPr>
                <w:b/>
                <w:bCs/>
                <w:sz w:val="20"/>
                <w:szCs w:val="20"/>
              </w:rPr>
            </w:pPr>
          </w:p>
        </w:tc>
        <w:tc>
          <w:tcPr>
            <w:tcW w:w="1356" w:type="dxa"/>
            <w:shd w:val="clear" w:color="auto" w:fill="E0E0E0"/>
          </w:tcPr>
          <w:p w14:paraId="08EA00B4" w14:textId="77777777" w:rsidR="00374CBE" w:rsidRPr="00690428" w:rsidRDefault="00374CBE" w:rsidP="00E55184">
            <w:pPr>
              <w:jc w:val="center"/>
              <w:rPr>
                <w:b/>
                <w:bCs/>
                <w:sz w:val="20"/>
                <w:szCs w:val="20"/>
              </w:rPr>
            </w:pPr>
          </w:p>
        </w:tc>
      </w:tr>
      <w:tr w:rsidR="00374CBE" w:rsidRPr="00690428" w14:paraId="05966883" w14:textId="77777777" w:rsidTr="00E55184">
        <w:trPr>
          <w:cantSplit/>
          <w:jc w:val="center"/>
        </w:trPr>
        <w:tc>
          <w:tcPr>
            <w:tcW w:w="8936" w:type="dxa"/>
            <w:gridSpan w:val="5"/>
            <w:shd w:val="clear" w:color="auto" w:fill="F3F3F3"/>
          </w:tcPr>
          <w:p w14:paraId="1E88EA6F" w14:textId="77777777" w:rsidR="00374CBE" w:rsidRPr="00690428" w:rsidRDefault="00374CBE" w:rsidP="00E55184">
            <w:pPr>
              <w:jc w:val="center"/>
              <w:rPr>
                <w:b/>
                <w:bCs/>
                <w:sz w:val="20"/>
                <w:szCs w:val="20"/>
              </w:rPr>
            </w:pPr>
            <w:r w:rsidRPr="00690428">
              <w:rPr>
                <w:b/>
                <w:bCs/>
                <w:sz w:val="20"/>
                <w:szCs w:val="20"/>
                <w:lang w:eastAsia="en-GB"/>
              </w:rPr>
              <w:t>Component 1: Effective Labour Market Management</w:t>
            </w:r>
            <w:r w:rsidRPr="00690428">
              <w:rPr>
                <w:b/>
                <w:bCs/>
                <w:sz w:val="20"/>
                <w:szCs w:val="20"/>
              </w:rPr>
              <w:t xml:space="preserve"> (26.7%)</w:t>
            </w:r>
          </w:p>
        </w:tc>
      </w:tr>
      <w:tr w:rsidR="00374CBE" w:rsidRPr="00690428" w14:paraId="0F6C8DB6" w14:textId="77777777" w:rsidTr="00E55184">
        <w:trPr>
          <w:jc w:val="center"/>
        </w:trPr>
        <w:tc>
          <w:tcPr>
            <w:tcW w:w="4178" w:type="dxa"/>
          </w:tcPr>
          <w:p w14:paraId="7634284D" w14:textId="77777777" w:rsidR="00374CBE" w:rsidRPr="00690428" w:rsidRDefault="00374CBE" w:rsidP="007C295F">
            <w:pPr>
              <w:widowControl w:val="0"/>
              <w:numPr>
                <w:ilvl w:val="0"/>
                <w:numId w:val="6"/>
              </w:numPr>
              <w:autoSpaceDE w:val="0"/>
              <w:autoSpaceDN w:val="0"/>
              <w:jc w:val="left"/>
              <w:rPr>
                <w:i/>
                <w:iCs/>
                <w:sz w:val="20"/>
                <w:szCs w:val="20"/>
              </w:rPr>
            </w:pPr>
            <w:r w:rsidRPr="00690428">
              <w:rPr>
                <w:i/>
                <w:iCs/>
                <w:sz w:val="20"/>
                <w:szCs w:val="20"/>
                <w:lang w:eastAsia="en-GB"/>
              </w:rPr>
              <w:t>Reliable and sustainable labour market information and forecasting</w:t>
            </w:r>
            <w:r w:rsidRPr="00690428">
              <w:rPr>
                <w:i/>
                <w:iCs/>
                <w:sz w:val="20"/>
                <w:szCs w:val="20"/>
              </w:rPr>
              <w:t>.</w:t>
            </w:r>
          </w:p>
        </w:tc>
        <w:tc>
          <w:tcPr>
            <w:tcW w:w="1417" w:type="dxa"/>
          </w:tcPr>
          <w:p w14:paraId="49FB1373" w14:textId="77777777" w:rsidR="00374CBE" w:rsidRPr="00690428" w:rsidRDefault="00374CBE" w:rsidP="00E55184">
            <w:pPr>
              <w:jc w:val="center"/>
              <w:rPr>
                <w:sz w:val="20"/>
                <w:szCs w:val="20"/>
              </w:rPr>
            </w:pPr>
            <w:r w:rsidRPr="00690428">
              <w:rPr>
                <w:sz w:val="20"/>
                <w:szCs w:val="20"/>
              </w:rPr>
              <w:t>compliance</w:t>
            </w:r>
          </w:p>
        </w:tc>
        <w:tc>
          <w:tcPr>
            <w:tcW w:w="1134" w:type="dxa"/>
          </w:tcPr>
          <w:p w14:paraId="4025F7D2" w14:textId="77777777" w:rsidR="00374CBE" w:rsidRPr="00690428" w:rsidRDefault="00374CBE" w:rsidP="00E55184">
            <w:pPr>
              <w:jc w:val="center"/>
              <w:rPr>
                <w:sz w:val="20"/>
                <w:szCs w:val="20"/>
              </w:rPr>
            </w:pPr>
            <w:r w:rsidRPr="00690428">
              <w:rPr>
                <w:sz w:val="20"/>
                <w:szCs w:val="20"/>
              </w:rPr>
              <w:t>1.0</w:t>
            </w:r>
          </w:p>
        </w:tc>
        <w:tc>
          <w:tcPr>
            <w:tcW w:w="851" w:type="dxa"/>
          </w:tcPr>
          <w:p w14:paraId="0BA1135A" w14:textId="77777777" w:rsidR="00374CBE" w:rsidRPr="00690428" w:rsidRDefault="00374CBE" w:rsidP="00E55184">
            <w:pPr>
              <w:jc w:val="center"/>
              <w:rPr>
                <w:sz w:val="20"/>
                <w:szCs w:val="20"/>
              </w:rPr>
            </w:pPr>
            <w:r w:rsidRPr="00690428">
              <w:rPr>
                <w:sz w:val="20"/>
                <w:szCs w:val="20"/>
              </w:rPr>
              <w:t>1.0</w:t>
            </w:r>
          </w:p>
        </w:tc>
        <w:tc>
          <w:tcPr>
            <w:tcW w:w="1356" w:type="dxa"/>
          </w:tcPr>
          <w:p w14:paraId="3D7011ED" w14:textId="77777777" w:rsidR="00374CBE" w:rsidRPr="00690428" w:rsidRDefault="00374CBE" w:rsidP="00E55184">
            <w:pPr>
              <w:jc w:val="center"/>
              <w:rPr>
                <w:sz w:val="20"/>
                <w:szCs w:val="20"/>
              </w:rPr>
            </w:pPr>
            <w:r>
              <w:rPr>
                <w:sz w:val="20"/>
                <w:szCs w:val="20"/>
              </w:rPr>
              <w:t>1.</w:t>
            </w:r>
            <w:r w:rsidRPr="00690428">
              <w:rPr>
                <w:sz w:val="20"/>
                <w:szCs w:val="20"/>
              </w:rPr>
              <w:t>0</w:t>
            </w:r>
          </w:p>
        </w:tc>
      </w:tr>
      <w:tr w:rsidR="00374CBE" w:rsidRPr="00690428" w14:paraId="16FF5F67" w14:textId="77777777" w:rsidTr="00E55184">
        <w:trPr>
          <w:jc w:val="center"/>
        </w:trPr>
        <w:tc>
          <w:tcPr>
            <w:tcW w:w="4178" w:type="dxa"/>
          </w:tcPr>
          <w:p w14:paraId="52854613" w14:textId="77777777" w:rsidR="00374CBE" w:rsidRPr="00690428" w:rsidRDefault="00374CBE" w:rsidP="007C295F">
            <w:pPr>
              <w:widowControl w:val="0"/>
              <w:numPr>
                <w:ilvl w:val="0"/>
                <w:numId w:val="6"/>
              </w:numPr>
              <w:autoSpaceDE w:val="0"/>
              <w:autoSpaceDN w:val="0"/>
              <w:jc w:val="left"/>
              <w:rPr>
                <w:i/>
                <w:iCs/>
                <w:sz w:val="20"/>
                <w:szCs w:val="20"/>
              </w:rPr>
            </w:pPr>
            <w:r w:rsidRPr="00690428">
              <w:rPr>
                <w:i/>
                <w:iCs/>
                <w:sz w:val="20"/>
                <w:szCs w:val="20"/>
                <w:lang w:eastAsia="en-GB"/>
              </w:rPr>
              <w:t>Improved Quality of Employment Support Services</w:t>
            </w:r>
            <w:r w:rsidRPr="00690428">
              <w:rPr>
                <w:i/>
                <w:iCs/>
                <w:sz w:val="20"/>
                <w:szCs w:val="20"/>
              </w:rPr>
              <w:t>.</w:t>
            </w:r>
          </w:p>
        </w:tc>
        <w:tc>
          <w:tcPr>
            <w:tcW w:w="1417" w:type="dxa"/>
          </w:tcPr>
          <w:p w14:paraId="5DDE2144" w14:textId="77777777" w:rsidR="00374CBE" w:rsidRPr="00690428" w:rsidRDefault="00374CBE" w:rsidP="00E55184">
            <w:pPr>
              <w:jc w:val="center"/>
              <w:rPr>
                <w:sz w:val="20"/>
                <w:szCs w:val="20"/>
              </w:rPr>
            </w:pPr>
            <w:r w:rsidRPr="00690428">
              <w:rPr>
                <w:sz w:val="20"/>
                <w:szCs w:val="20"/>
              </w:rPr>
              <w:t>compliance</w:t>
            </w:r>
          </w:p>
        </w:tc>
        <w:tc>
          <w:tcPr>
            <w:tcW w:w="1134" w:type="dxa"/>
          </w:tcPr>
          <w:p w14:paraId="2DAF09CB" w14:textId="77777777" w:rsidR="00374CBE" w:rsidRPr="00690428" w:rsidRDefault="00374CBE" w:rsidP="00E55184">
            <w:pPr>
              <w:jc w:val="center"/>
              <w:rPr>
                <w:sz w:val="20"/>
                <w:szCs w:val="20"/>
              </w:rPr>
            </w:pPr>
            <w:r w:rsidRPr="00690428">
              <w:rPr>
                <w:sz w:val="20"/>
                <w:szCs w:val="20"/>
              </w:rPr>
              <w:t>1.0</w:t>
            </w:r>
          </w:p>
        </w:tc>
        <w:tc>
          <w:tcPr>
            <w:tcW w:w="851" w:type="dxa"/>
          </w:tcPr>
          <w:p w14:paraId="2F176D4A" w14:textId="77777777" w:rsidR="00374CBE" w:rsidRPr="00690428" w:rsidRDefault="00374CBE" w:rsidP="00E55184">
            <w:pPr>
              <w:jc w:val="center"/>
              <w:rPr>
                <w:sz w:val="20"/>
                <w:szCs w:val="20"/>
              </w:rPr>
            </w:pPr>
            <w:r>
              <w:rPr>
                <w:sz w:val="20"/>
                <w:szCs w:val="20"/>
              </w:rPr>
              <w:t>1.0</w:t>
            </w:r>
          </w:p>
        </w:tc>
        <w:tc>
          <w:tcPr>
            <w:tcW w:w="1356" w:type="dxa"/>
          </w:tcPr>
          <w:p w14:paraId="30C880BB" w14:textId="77777777" w:rsidR="00374CBE" w:rsidRPr="00690428" w:rsidRDefault="00374CBE" w:rsidP="00E55184">
            <w:pPr>
              <w:jc w:val="center"/>
              <w:rPr>
                <w:sz w:val="20"/>
                <w:szCs w:val="20"/>
              </w:rPr>
            </w:pPr>
            <w:r>
              <w:rPr>
                <w:sz w:val="20"/>
                <w:szCs w:val="20"/>
              </w:rPr>
              <w:t>1.0</w:t>
            </w:r>
          </w:p>
        </w:tc>
      </w:tr>
      <w:tr w:rsidR="00374CBE" w:rsidRPr="00690428" w14:paraId="1965DBE2" w14:textId="77777777" w:rsidTr="00E55184">
        <w:trPr>
          <w:cantSplit/>
          <w:jc w:val="center"/>
        </w:trPr>
        <w:tc>
          <w:tcPr>
            <w:tcW w:w="8936" w:type="dxa"/>
            <w:gridSpan w:val="5"/>
            <w:shd w:val="clear" w:color="auto" w:fill="F3F3F3"/>
          </w:tcPr>
          <w:p w14:paraId="5DFBA13F" w14:textId="77777777" w:rsidR="00374CBE" w:rsidRPr="00690428" w:rsidRDefault="00374CBE" w:rsidP="00E55184">
            <w:pPr>
              <w:jc w:val="center"/>
              <w:rPr>
                <w:b/>
                <w:bCs/>
                <w:sz w:val="20"/>
                <w:szCs w:val="20"/>
              </w:rPr>
            </w:pPr>
            <w:r w:rsidRPr="00690428">
              <w:rPr>
                <w:b/>
                <w:bCs/>
                <w:sz w:val="20"/>
                <w:szCs w:val="20"/>
                <w:lang w:eastAsia="en-GB"/>
              </w:rPr>
              <w:t>Component 2: Enhanced Quality and Relevance of VET System</w:t>
            </w:r>
            <w:r w:rsidRPr="00690428">
              <w:rPr>
                <w:b/>
                <w:bCs/>
                <w:sz w:val="20"/>
                <w:szCs w:val="20"/>
              </w:rPr>
              <w:t xml:space="preserve"> (26.7%)</w:t>
            </w:r>
          </w:p>
        </w:tc>
      </w:tr>
      <w:tr w:rsidR="00374CBE" w:rsidRPr="00690428" w14:paraId="1E599D42" w14:textId="77777777" w:rsidTr="00E55184">
        <w:trPr>
          <w:jc w:val="center"/>
        </w:trPr>
        <w:tc>
          <w:tcPr>
            <w:tcW w:w="4178" w:type="dxa"/>
          </w:tcPr>
          <w:p w14:paraId="73B13973" w14:textId="77777777" w:rsidR="00374CBE" w:rsidRPr="00690428" w:rsidRDefault="00374CBE" w:rsidP="007C295F">
            <w:pPr>
              <w:widowControl w:val="0"/>
              <w:numPr>
                <w:ilvl w:val="0"/>
                <w:numId w:val="7"/>
              </w:numPr>
              <w:autoSpaceDE w:val="0"/>
              <w:autoSpaceDN w:val="0"/>
              <w:jc w:val="left"/>
              <w:rPr>
                <w:i/>
                <w:iCs/>
                <w:sz w:val="20"/>
                <w:szCs w:val="20"/>
              </w:rPr>
            </w:pPr>
            <w:r w:rsidRPr="00690428">
              <w:rPr>
                <w:i/>
                <w:iCs/>
                <w:sz w:val="20"/>
                <w:szCs w:val="20"/>
                <w:lang w:eastAsia="en-GB"/>
              </w:rPr>
              <w:t>Enhanced matching of skills provided by the VET system with the needs of the labour market</w:t>
            </w:r>
            <w:r w:rsidRPr="00690428">
              <w:rPr>
                <w:i/>
                <w:iCs/>
                <w:sz w:val="20"/>
                <w:szCs w:val="20"/>
              </w:rPr>
              <w:t>.</w:t>
            </w:r>
          </w:p>
        </w:tc>
        <w:tc>
          <w:tcPr>
            <w:tcW w:w="1417" w:type="dxa"/>
          </w:tcPr>
          <w:p w14:paraId="70F5F480" w14:textId="77777777" w:rsidR="00374CBE" w:rsidRPr="00690428" w:rsidRDefault="00374CBE" w:rsidP="00E55184">
            <w:pPr>
              <w:jc w:val="center"/>
              <w:rPr>
                <w:sz w:val="20"/>
                <w:szCs w:val="20"/>
              </w:rPr>
            </w:pPr>
            <w:r w:rsidRPr="00690428">
              <w:rPr>
                <w:sz w:val="20"/>
                <w:szCs w:val="20"/>
              </w:rPr>
              <w:t>compliance</w:t>
            </w:r>
          </w:p>
        </w:tc>
        <w:tc>
          <w:tcPr>
            <w:tcW w:w="1134" w:type="dxa"/>
          </w:tcPr>
          <w:p w14:paraId="26B1B8EE" w14:textId="77777777" w:rsidR="00374CBE" w:rsidRPr="00690428" w:rsidRDefault="00374CBE" w:rsidP="00E55184">
            <w:pPr>
              <w:jc w:val="center"/>
              <w:rPr>
                <w:sz w:val="20"/>
                <w:szCs w:val="20"/>
              </w:rPr>
            </w:pPr>
            <w:r w:rsidRPr="00690428">
              <w:rPr>
                <w:sz w:val="20"/>
                <w:szCs w:val="20"/>
              </w:rPr>
              <w:t>1.0</w:t>
            </w:r>
          </w:p>
        </w:tc>
        <w:tc>
          <w:tcPr>
            <w:tcW w:w="851" w:type="dxa"/>
          </w:tcPr>
          <w:p w14:paraId="0B1041A1" w14:textId="77777777" w:rsidR="00374CBE" w:rsidRPr="00690428" w:rsidRDefault="00374CBE" w:rsidP="00E55184">
            <w:pPr>
              <w:jc w:val="center"/>
              <w:rPr>
                <w:sz w:val="20"/>
                <w:szCs w:val="20"/>
              </w:rPr>
            </w:pPr>
            <w:r w:rsidRPr="00690428">
              <w:rPr>
                <w:sz w:val="20"/>
                <w:szCs w:val="20"/>
              </w:rPr>
              <w:t>1.0</w:t>
            </w:r>
          </w:p>
        </w:tc>
        <w:tc>
          <w:tcPr>
            <w:tcW w:w="1356" w:type="dxa"/>
          </w:tcPr>
          <w:p w14:paraId="09B275B0" w14:textId="77777777" w:rsidR="00374CBE" w:rsidRPr="00690428" w:rsidRDefault="00374CBE" w:rsidP="00E55184">
            <w:pPr>
              <w:jc w:val="center"/>
              <w:rPr>
                <w:sz w:val="20"/>
                <w:szCs w:val="20"/>
              </w:rPr>
            </w:pPr>
            <w:r>
              <w:rPr>
                <w:sz w:val="20"/>
                <w:szCs w:val="20"/>
              </w:rPr>
              <w:t>1.</w:t>
            </w:r>
            <w:r w:rsidRPr="00690428">
              <w:rPr>
                <w:sz w:val="20"/>
                <w:szCs w:val="20"/>
              </w:rPr>
              <w:t>0</w:t>
            </w:r>
          </w:p>
        </w:tc>
      </w:tr>
      <w:tr w:rsidR="00374CBE" w:rsidRPr="00690428" w14:paraId="2B5DF2EB" w14:textId="77777777" w:rsidTr="00E55184">
        <w:trPr>
          <w:jc w:val="center"/>
        </w:trPr>
        <w:tc>
          <w:tcPr>
            <w:tcW w:w="4178" w:type="dxa"/>
          </w:tcPr>
          <w:p w14:paraId="6EF2A8EB" w14:textId="77777777" w:rsidR="00374CBE" w:rsidRPr="00690428" w:rsidRDefault="00374CBE" w:rsidP="007C295F">
            <w:pPr>
              <w:widowControl w:val="0"/>
              <w:numPr>
                <w:ilvl w:val="0"/>
                <w:numId w:val="7"/>
              </w:numPr>
              <w:autoSpaceDE w:val="0"/>
              <w:autoSpaceDN w:val="0"/>
              <w:jc w:val="left"/>
              <w:rPr>
                <w:i/>
                <w:iCs/>
                <w:sz w:val="20"/>
                <w:szCs w:val="20"/>
              </w:rPr>
            </w:pPr>
            <w:r w:rsidRPr="00690428">
              <w:rPr>
                <w:i/>
                <w:iCs/>
                <w:sz w:val="20"/>
                <w:szCs w:val="20"/>
                <w:lang w:eastAsia="en-GB"/>
              </w:rPr>
              <w:t>Improved quality of VET qualifications.</w:t>
            </w:r>
          </w:p>
        </w:tc>
        <w:tc>
          <w:tcPr>
            <w:tcW w:w="1417" w:type="dxa"/>
          </w:tcPr>
          <w:p w14:paraId="6E472532" w14:textId="77777777" w:rsidR="00374CBE" w:rsidRPr="00690428" w:rsidRDefault="00374CBE" w:rsidP="00E55184">
            <w:pPr>
              <w:jc w:val="center"/>
              <w:rPr>
                <w:sz w:val="20"/>
                <w:szCs w:val="20"/>
              </w:rPr>
            </w:pPr>
            <w:r w:rsidRPr="00690428">
              <w:rPr>
                <w:sz w:val="20"/>
                <w:szCs w:val="20"/>
              </w:rPr>
              <w:t>compliance</w:t>
            </w:r>
          </w:p>
        </w:tc>
        <w:tc>
          <w:tcPr>
            <w:tcW w:w="1134" w:type="dxa"/>
          </w:tcPr>
          <w:p w14:paraId="3A6AE9AC" w14:textId="77777777" w:rsidR="00374CBE" w:rsidRPr="00690428" w:rsidRDefault="00374CBE" w:rsidP="00E55184">
            <w:pPr>
              <w:jc w:val="center"/>
              <w:rPr>
                <w:sz w:val="20"/>
                <w:szCs w:val="20"/>
              </w:rPr>
            </w:pPr>
            <w:r w:rsidRPr="00690428">
              <w:rPr>
                <w:sz w:val="20"/>
                <w:szCs w:val="20"/>
              </w:rPr>
              <w:t>1.0</w:t>
            </w:r>
          </w:p>
        </w:tc>
        <w:tc>
          <w:tcPr>
            <w:tcW w:w="851" w:type="dxa"/>
          </w:tcPr>
          <w:p w14:paraId="329344BA" w14:textId="77777777" w:rsidR="00374CBE" w:rsidRPr="00690428" w:rsidRDefault="00374CBE" w:rsidP="00E55184">
            <w:pPr>
              <w:jc w:val="center"/>
              <w:rPr>
                <w:sz w:val="20"/>
                <w:szCs w:val="20"/>
              </w:rPr>
            </w:pPr>
            <w:r>
              <w:rPr>
                <w:sz w:val="20"/>
                <w:szCs w:val="20"/>
              </w:rPr>
              <w:t>1.</w:t>
            </w:r>
            <w:r w:rsidRPr="00690428">
              <w:rPr>
                <w:sz w:val="20"/>
                <w:szCs w:val="20"/>
              </w:rPr>
              <w:t>0</w:t>
            </w:r>
          </w:p>
        </w:tc>
        <w:tc>
          <w:tcPr>
            <w:tcW w:w="1356" w:type="dxa"/>
          </w:tcPr>
          <w:p w14:paraId="56C053DC" w14:textId="77777777" w:rsidR="00374CBE" w:rsidRPr="00690428" w:rsidRDefault="00374CBE" w:rsidP="00E55184">
            <w:pPr>
              <w:jc w:val="center"/>
              <w:rPr>
                <w:sz w:val="20"/>
                <w:szCs w:val="20"/>
              </w:rPr>
            </w:pPr>
            <w:r>
              <w:rPr>
                <w:sz w:val="20"/>
                <w:szCs w:val="20"/>
              </w:rPr>
              <w:t>1.</w:t>
            </w:r>
            <w:r w:rsidRPr="00690428">
              <w:rPr>
                <w:sz w:val="20"/>
                <w:szCs w:val="20"/>
              </w:rPr>
              <w:t>0</w:t>
            </w:r>
          </w:p>
        </w:tc>
      </w:tr>
      <w:tr w:rsidR="00374CBE" w:rsidRPr="00690428" w14:paraId="124D9183" w14:textId="77777777" w:rsidTr="00E55184">
        <w:trPr>
          <w:cantSplit/>
          <w:jc w:val="center"/>
        </w:trPr>
        <w:tc>
          <w:tcPr>
            <w:tcW w:w="8936" w:type="dxa"/>
            <w:gridSpan w:val="5"/>
            <w:shd w:val="clear" w:color="auto" w:fill="F3F3F3"/>
          </w:tcPr>
          <w:p w14:paraId="4E3CEC99" w14:textId="77777777" w:rsidR="00374CBE" w:rsidRPr="00690428" w:rsidRDefault="00374CBE" w:rsidP="00E55184">
            <w:pPr>
              <w:jc w:val="center"/>
              <w:rPr>
                <w:b/>
                <w:bCs/>
                <w:sz w:val="20"/>
                <w:szCs w:val="20"/>
              </w:rPr>
            </w:pPr>
            <w:r w:rsidRPr="00690428">
              <w:rPr>
                <w:b/>
                <w:bCs/>
                <w:sz w:val="20"/>
                <w:szCs w:val="20"/>
                <w:lang w:eastAsia="en-GB"/>
              </w:rPr>
              <w:t>Component 3: Efficient Transition from Training into Employment</w:t>
            </w:r>
            <w:r w:rsidRPr="00690428">
              <w:rPr>
                <w:b/>
                <w:bCs/>
                <w:sz w:val="20"/>
                <w:szCs w:val="20"/>
              </w:rPr>
              <w:t xml:space="preserve"> (33.3%)</w:t>
            </w:r>
          </w:p>
        </w:tc>
      </w:tr>
      <w:tr w:rsidR="00374CBE" w:rsidRPr="00690428" w14:paraId="2A85BAD5" w14:textId="77777777" w:rsidTr="00E55184">
        <w:trPr>
          <w:jc w:val="center"/>
        </w:trPr>
        <w:tc>
          <w:tcPr>
            <w:tcW w:w="4178" w:type="dxa"/>
          </w:tcPr>
          <w:p w14:paraId="44D3FF98" w14:textId="77777777" w:rsidR="00374CBE" w:rsidRPr="00690428" w:rsidRDefault="00374CBE" w:rsidP="007C295F">
            <w:pPr>
              <w:widowControl w:val="0"/>
              <w:numPr>
                <w:ilvl w:val="0"/>
                <w:numId w:val="8"/>
              </w:numPr>
              <w:autoSpaceDE w:val="0"/>
              <w:autoSpaceDN w:val="0"/>
              <w:jc w:val="left"/>
              <w:rPr>
                <w:i/>
                <w:iCs/>
                <w:sz w:val="20"/>
                <w:szCs w:val="20"/>
              </w:rPr>
            </w:pPr>
            <w:r w:rsidRPr="00690428">
              <w:rPr>
                <w:i/>
                <w:iCs/>
                <w:sz w:val="20"/>
                <w:szCs w:val="20"/>
                <w:lang w:eastAsia="en-GB"/>
              </w:rPr>
              <w:t>Efficient transition from training to employment.</w:t>
            </w:r>
          </w:p>
        </w:tc>
        <w:tc>
          <w:tcPr>
            <w:tcW w:w="1417" w:type="dxa"/>
          </w:tcPr>
          <w:p w14:paraId="14013C1E" w14:textId="77777777" w:rsidR="00374CBE" w:rsidRPr="00690428" w:rsidRDefault="00374CBE" w:rsidP="00E55184">
            <w:pPr>
              <w:jc w:val="center"/>
              <w:rPr>
                <w:sz w:val="20"/>
                <w:szCs w:val="20"/>
              </w:rPr>
            </w:pPr>
            <w:r>
              <w:rPr>
                <w:sz w:val="20"/>
                <w:szCs w:val="20"/>
              </w:rPr>
              <w:t>*non-</w:t>
            </w:r>
            <w:r w:rsidRPr="00690428">
              <w:rPr>
                <w:sz w:val="20"/>
                <w:szCs w:val="20"/>
              </w:rPr>
              <w:t>compliance</w:t>
            </w:r>
          </w:p>
        </w:tc>
        <w:tc>
          <w:tcPr>
            <w:tcW w:w="1134" w:type="dxa"/>
          </w:tcPr>
          <w:p w14:paraId="0E6C12D5" w14:textId="77777777" w:rsidR="00374CBE" w:rsidRPr="00690428" w:rsidRDefault="00374CBE" w:rsidP="00E55184">
            <w:pPr>
              <w:jc w:val="center"/>
              <w:rPr>
                <w:sz w:val="20"/>
                <w:szCs w:val="20"/>
              </w:rPr>
            </w:pPr>
            <w:r w:rsidRPr="00690428">
              <w:rPr>
                <w:sz w:val="20"/>
                <w:szCs w:val="20"/>
              </w:rPr>
              <w:t>1.0</w:t>
            </w:r>
          </w:p>
        </w:tc>
        <w:tc>
          <w:tcPr>
            <w:tcW w:w="851" w:type="dxa"/>
          </w:tcPr>
          <w:p w14:paraId="631B373D" w14:textId="77777777" w:rsidR="00374CBE" w:rsidRPr="00690428" w:rsidRDefault="00374CBE" w:rsidP="00E55184">
            <w:pPr>
              <w:jc w:val="center"/>
              <w:rPr>
                <w:sz w:val="20"/>
                <w:szCs w:val="20"/>
              </w:rPr>
            </w:pPr>
            <w:r>
              <w:rPr>
                <w:sz w:val="20"/>
                <w:szCs w:val="20"/>
              </w:rPr>
              <w:t>nil</w:t>
            </w:r>
          </w:p>
        </w:tc>
        <w:tc>
          <w:tcPr>
            <w:tcW w:w="1356" w:type="dxa"/>
          </w:tcPr>
          <w:p w14:paraId="26231267" w14:textId="77777777" w:rsidR="00374CBE" w:rsidRPr="00690428" w:rsidRDefault="00374CBE" w:rsidP="00E55184">
            <w:pPr>
              <w:jc w:val="center"/>
              <w:rPr>
                <w:sz w:val="20"/>
                <w:szCs w:val="20"/>
              </w:rPr>
            </w:pPr>
            <w:r>
              <w:rPr>
                <w:sz w:val="20"/>
                <w:szCs w:val="20"/>
              </w:rPr>
              <w:t>nil</w:t>
            </w:r>
          </w:p>
        </w:tc>
      </w:tr>
      <w:tr w:rsidR="00374CBE" w:rsidRPr="00690428" w14:paraId="2D1F63A1" w14:textId="77777777" w:rsidTr="00E55184">
        <w:trPr>
          <w:jc w:val="center"/>
        </w:trPr>
        <w:tc>
          <w:tcPr>
            <w:tcW w:w="4178" w:type="dxa"/>
          </w:tcPr>
          <w:p w14:paraId="675D46CE" w14:textId="77777777" w:rsidR="00374CBE" w:rsidRPr="00690428" w:rsidRDefault="00374CBE" w:rsidP="007C295F">
            <w:pPr>
              <w:widowControl w:val="0"/>
              <w:numPr>
                <w:ilvl w:val="0"/>
                <w:numId w:val="8"/>
              </w:numPr>
              <w:autoSpaceDE w:val="0"/>
              <w:autoSpaceDN w:val="0"/>
              <w:jc w:val="left"/>
              <w:rPr>
                <w:i/>
                <w:iCs/>
                <w:sz w:val="20"/>
                <w:szCs w:val="20"/>
              </w:rPr>
            </w:pPr>
            <w:r w:rsidRPr="00690428">
              <w:rPr>
                <w:i/>
                <w:iCs/>
                <w:sz w:val="20"/>
                <w:szCs w:val="20"/>
                <w:lang w:eastAsia="en-GB"/>
              </w:rPr>
              <w:t>Increased awareness of VET amongst potential students and employers.</w:t>
            </w:r>
          </w:p>
        </w:tc>
        <w:tc>
          <w:tcPr>
            <w:tcW w:w="1417" w:type="dxa"/>
          </w:tcPr>
          <w:p w14:paraId="00724D58" w14:textId="77777777" w:rsidR="00374CBE" w:rsidRPr="00690428" w:rsidRDefault="00374CBE" w:rsidP="00E55184">
            <w:pPr>
              <w:jc w:val="center"/>
              <w:rPr>
                <w:sz w:val="20"/>
                <w:szCs w:val="20"/>
              </w:rPr>
            </w:pPr>
            <w:r w:rsidRPr="00690428">
              <w:rPr>
                <w:sz w:val="20"/>
                <w:szCs w:val="20"/>
              </w:rPr>
              <w:t>compliance</w:t>
            </w:r>
          </w:p>
        </w:tc>
        <w:tc>
          <w:tcPr>
            <w:tcW w:w="1134" w:type="dxa"/>
          </w:tcPr>
          <w:p w14:paraId="3C0DC9CA" w14:textId="77777777" w:rsidR="00374CBE" w:rsidRPr="00690428" w:rsidRDefault="00374CBE" w:rsidP="00E55184">
            <w:pPr>
              <w:jc w:val="center"/>
              <w:rPr>
                <w:sz w:val="20"/>
                <w:szCs w:val="20"/>
              </w:rPr>
            </w:pPr>
            <w:r w:rsidRPr="00690428">
              <w:rPr>
                <w:sz w:val="20"/>
                <w:szCs w:val="20"/>
              </w:rPr>
              <w:t>1.0</w:t>
            </w:r>
          </w:p>
        </w:tc>
        <w:tc>
          <w:tcPr>
            <w:tcW w:w="851" w:type="dxa"/>
          </w:tcPr>
          <w:p w14:paraId="78031349" w14:textId="77777777" w:rsidR="00374CBE" w:rsidRPr="00690428" w:rsidRDefault="00374CBE" w:rsidP="00E55184">
            <w:pPr>
              <w:jc w:val="center"/>
              <w:rPr>
                <w:sz w:val="20"/>
                <w:szCs w:val="20"/>
              </w:rPr>
            </w:pPr>
            <w:r w:rsidRPr="00690428">
              <w:rPr>
                <w:sz w:val="20"/>
                <w:szCs w:val="20"/>
              </w:rPr>
              <w:t>1.0</w:t>
            </w:r>
          </w:p>
        </w:tc>
        <w:tc>
          <w:tcPr>
            <w:tcW w:w="1356" w:type="dxa"/>
          </w:tcPr>
          <w:p w14:paraId="2907D913" w14:textId="77777777" w:rsidR="00374CBE" w:rsidRPr="00690428" w:rsidRDefault="00374CBE" w:rsidP="00E55184">
            <w:pPr>
              <w:jc w:val="center"/>
              <w:rPr>
                <w:sz w:val="20"/>
                <w:szCs w:val="20"/>
              </w:rPr>
            </w:pPr>
            <w:r>
              <w:rPr>
                <w:sz w:val="20"/>
                <w:szCs w:val="20"/>
              </w:rPr>
              <w:t>1.</w:t>
            </w:r>
            <w:r w:rsidRPr="00690428">
              <w:rPr>
                <w:sz w:val="20"/>
                <w:szCs w:val="20"/>
              </w:rPr>
              <w:t>0</w:t>
            </w:r>
          </w:p>
        </w:tc>
      </w:tr>
      <w:tr w:rsidR="00374CBE" w:rsidRPr="00690428" w14:paraId="62D8BF39" w14:textId="77777777" w:rsidTr="00E55184">
        <w:trPr>
          <w:jc w:val="center"/>
        </w:trPr>
        <w:tc>
          <w:tcPr>
            <w:tcW w:w="4178" w:type="dxa"/>
          </w:tcPr>
          <w:p w14:paraId="283DD408" w14:textId="77777777" w:rsidR="00374CBE" w:rsidRPr="00690428" w:rsidRDefault="00374CBE" w:rsidP="007C295F">
            <w:pPr>
              <w:widowControl w:val="0"/>
              <w:numPr>
                <w:ilvl w:val="0"/>
                <w:numId w:val="8"/>
              </w:numPr>
              <w:autoSpaceDE w:val="0"/>
              <w:autoSpaceDN w:val="0"/>
              <w:jc w:val="left"/>
              <w:rPr>
                <w:i/>
                <w:iCs/>
                <w:sz w:val="20"/>
                <w:szCs w:val="20"/>
              </w:rPr>
            </w:pPr>
            <w:r w:rsidRPr="00690428">
              <w:rPr>
                <w:i/>
                <w:iCs/>
                <w:sz w:val="20"/>
                <w:szCs w:val="20"/>
                <w:lang w:eastAsia="en-GB"/>
              </w:rPr>
              <w:t>Enhanced social partnership.</w:t>
            </w:r>
          </w:p>
        </w:tc>
        <w:tc>
          <w:tcPr>
            <w:tcW w:w="1417" w:type="dxa"/>
          </w:tcPr>
          <w:p w14:paraId="66FC07C0" w14:textId="77777777" w:rsidR="00374CBE" w:rsidRPr="00690428" w:rsidRDefault="00374CBE" w:rsidP="00E55184">
            <w:pPr>
              <w:jc w:val="center"/>
              <w:rPr>
                <w:sz w:val="20"/>
                <w:szCs w:val="20"/>
              </w:rPr>
            </w:pPr>
            <w:r>
              <w:rPr>
                <w:sz w:val="20"/>
                <w:szCs w:val="20"/>
              </w:rPr>
              <w:t>*non-</w:t>
            </w:r>
            <w:r w:rsidRPr="00690428">
              <w:rPr>
                <w:sz w:val="20"/>
                <w:szCs w:val="20"/>
              </w:rPr>
              <w:t>compliance</w:t>
            </w:r>
          </w:p>
        </w:tc>
        <w:tc>
          <w:tcPr>
            <w:tcW w:w="1134" w:type="dxa"/>
          </w:tcPr>
          <w:p w14:paraId="6DC25093" w14:textId="77777777" w:rsidR="00374CBE" w:rsidRPr="00690428" w:rsidRDefault="00374CBE" w:rsidP="00E55184">
            <w:pPr>
              <w:jc w:val="center"/>
              <w:rPr>
                <w:sz w:val="20"/>
                <w:szCs w:val="20"/>
              </w:rPr>
            </w:pPr>
            <w:r w:rsidRPr="00690428">
              <w:rPr>
                <w:sz w:val="20"/>
                <w:szCs w:val="20"/>
              </w:rPr>
              <w:t>0.5</w:t>
            </w:r>
          </w:p>
        </w:tc>
        <w:tc>
          <w:tcPr>
            <w:tcW w:w="851" w:type="dxa"/>
          </w:tcPr>
          <w:p w14:paraId="529A12F5" w14:textId="77777777" w:rsidR="00374CBE" w:rsidRPr="00690428" w:rsidRDefault="00374CBE" w:rsidP="00E55184">
            <w:pPr>
              <w:jc w:val="center"/>
              <w:rPr>
                <w:sz w:val="20"/>
                <w:szCs w:val="20"/>
              </w:rPr>
            </w:pPr>
            <w:r>
              <w:rPr>
                <w:sz w:val="20"/>
                <w:szCs w:val="20"/>
              </w:rPr>
              <w:t>nil</w:t>
            </w:r>
          </w:p>
        </w:tc>
        <w:tc>
          <w:tcPr>
            <w:tcW w:w="1356" w:type="dxa"/>
          </w:tcPr>
          <w:p w14:paraId="7BD62F12" w14:textId="77777777" w:rsidR="00374CBE" w:rsidRPr="00690428" w:rsidRDefault="00374CBE" w:rsidP="00E55184">
            <w:pPr>
              <w:jc w:val="center"/>
              <w:rPr>
                <w:sz w:val="20"/>
                <w:szCs w:val="20"/>
              </w:rPr>
            </w:pPr>
            <w:r>
              <w:rPr>
                <w:sz w:val="20"/>
                <w:szCs w:val="20"/>
              </w:rPr>
              <w:t>nil</w:t>
            </w:r>
          </w:p>
        </w:tc>
      </w:tr>
      <w:tr w:rsidR="00374CBE" w:rsidRPr="00690428" w14:paraId="43516A5D" w14:textId="77777777" w:rsidTr="00E55184">
        <w:trPr>
          <w:cantSplit/>
          <w:jc w:val="center"/>
        </w:trPr>
        <w:tc>
          <w:tcPr>
            <w:tcW w:w="5595" w:type="dxa"/>
            <w:gridSpan w:val="2"/>
            <w:shd w:val="clear" w:color="auto" w:fill="E0E0E0"/>
          </w:tcPr>
          <w:p w14:paraId="302CC6F3" w14:textId="77777777" w:rsidR="00374CBE" w:rsidRPr="00690428" w:rsidRDefault="00374CBE" w:rsidP="00E55184">
            <w:pPr>
              <w:jc w:val="left"/>
              <w:rPr>
                <w:b/>
                <w:bCs/>
                <w:sz w:val="20"/>
                <w:szCs w:val="20"/>
              </w:rPr>
            </w:pPr>
            <w:r w:rsidRPr="00690428">
              <w:rPr>
                <w:b/>
                <w:bCs/>
                <w:sz w:val="20"/>
                <w:szCs w:val="20"/>
              </w:rPr>
              <w:t>Variable Tranche assessment</w:t>
            </w:r>
          </w:p>
          <w:p w14:paraId="40D91891" w14:textId="77777777" w:rsidR="00374CBE" w:rsidRPr="00690428" w:rsidRDefault="00374CBE" w:rsidP="00E55184">
            <w:pPr>
              <w:jc w:val="left"/>
              <w:rPr>
                <w:sz w:val="20"/>
                <w:szCs w:val="20"/>
              </w:rPr>
            </w:pPr>
            <w:r w:rsidRPr="00690428">
              <w:rPr>
                <w:sz w:val="20"/>
                <w:szCs w:val="20"/>
              </w:rPr>
              <w:t>(assuming full compliance fixed tranche)</w:t>
            </w:r>
          </w:p>
        </w:tc>
        <w:tc>
          <w:tcPr>
            <w:tcW w:w="1134" w:type="dxa"/>
            <w:shd w:val="clear" w:color="auto" w:fill="E0E0E0"/>
          </w:tcPr>
          <w:p w14:paraId="639046AB" w14:textId="77777777" w:rsidR="00374CBE" w:rsidRPr="00690428" w:rsidRDefault="00374CBE" w:rsidP="00E55184">
            <w:pPr>
              <w:jc w:val="center"/>
              <w:rPr>
                <w:b/>
                <w:bCs/>
                <w:sz w:val="20"/>
                <w:szCs w:val="20"/>
              </w:rPr>
            </w:pPr>
            <w:r w:rsidRPr="00690428">
              <w:rPr>
                <w:b/>
                <w:bCs/>
                <w:sz w:val="20"/>
                <w:szCs w:val="20"/>
              </w:rPr>
              <w:t>6.5</w:t>
            </w:r>
          </w:p>
        </w:tc>
        <w:tc>
          <w:tcPr>
            <w:tcW w:w="851" w:type="dxa"/>
            <w:shd w:val="clear" w:color="auto" w:fill="E0E0E0"/>
          </w:tcPr>
          <w:p w14:paraId="30F3FFB7" w14:textId="77777777" w:rsidR="00374CBE" w:rsidRPr="00690428" w:rsidRDefault="00374CBE" w:rsidP="00E55184">
            <w:pPr>
              <w:jc w:val="center"/>
              <w:rPr>
                <w:b/>
                <w:bCs/>
                <w:sz w:val="20"/>
                <w:szCs w:val="20"/>
              </w:rPr>
            </w:pPr>
          </w:p>
        </w:tc>
        <w:tc>
          <w:tcPr>
            <w:tcW w:w="1356" w:type="dxa"/>
            <w:shd w:val="clear" w:color="auto" w:fill="E0E0E0"/>
          </w:tcPr>
          <w:p w14:paraId="1BA5D10C" w14:textId="77777777" w:rsidR="00374CBE" w:rsidRPr="00690428" w:rsidRDefault="00374CBE" w:rsidP="00E55184">
            <w:pPr>
              <w:jc w:val="center"/>
              <w:rPr>
                <w:b/>
                <w:bCs/>
                <w:sz w:val="20"/>
                <w:szCs w:val="20"/>
              </w:rPr>
            </w:pPr>
            <w:r>
              <w:rPr>
                <w:b/>
                <w:bCs/>
                <w:sz w:val="20"/>
                <w:szCs w:val="20"/>
              </w:rPr>
              <w:t>5.0</w:t>
            </w:r>
          </w:p>
        </w:tc>
      </w:tr>
      <w:tr w:rsidR="00374CBE" w:rsidRPr="00690428" w14:paraId="75F31F14" w14:textId="77777777" w:rsidTr="00E55184">
        <w:trPr>
          <w:cantSplit/>
          <w:jc w:val="center"/>
        </w:trPr>
        <w:tc>
          <w:tcPr>
            <w:tcW w:w="5595" w:type="dxa"/>
            <w:gridSpan w:val="2"/>
            <w:shd w:val="clear" w:color="auto" w:fill="E0E0E0"/>
          </w:tcPr>
          <w:p w14:paraId="256A43AF" w14:textId="224F548D" w:rsidR="00374CBE" w:rsidRPr="00690428" w:rsidRDefault="00374CBE" w:rsidP="00027DAC">
            <w:pPr>
              <w:jc w:val="left"/>
              <w:rPr>
                <w:b/>
                <w:bCs/>
                <w:sz w:val="20"/>
                <w:szCs w:val="20"/>
              </w:rPr>
            </w:pPr>
            <w:r w:rsidRPr="00690428">
              <w:rPr>
                <w:b/>
                <w:bCs/>
                <w:sz w:val="20"/>
                <w:szCs w:val="20"/>
              </w:rPr>
              <w:t xml:space="preserve">Total </w:t>
            </w:r>
            <w:r w:rsidR="00027DAC">
              <w:rPr>
                <w:b/>
                <w:bCs/>
                <w:sz w:val="20"/>
                <w:szCs w:val="20"/>
              </w:rPr>
              <w:t>Fourth</w:t>
            </w:r>
            <w:r w:rsidRPr="00690428">
              <w:rPr>
                <w:b/>
                <w:bCs/>
                <w:sz w:val="20"/>
                <w:szCs w:val="20"/>
              </w:rPr>
              <w:t xml:space="preserve"> Instalment Funds for Release </w:t>
            </w:r>
          </w:p>
        </w:tc>
        <w:tc>
          <w:tcPr>
            <w:tcW w:w="1134" w:type="dxa"/>
            <w:shd w:val="clear" w:color="auto" w:fill="E0E0E0"/>
          </w:tcPr>
          <w:p w14:paraId="78B35881" w14:textId="77777777" w:rsidR="00374CBE" w:rsidRPr="00690428" w:rsidRDefault="00374CBE" w:rsidP="00E55184">
            <w:pPr>
              <w:jc w:val="center"/>
              <w:rPr>
                <w:b/>
                <w:bCs/>
                <w:sz w:val="20"/>
                <w:szCs w:val="20"/>
              </w:rPr>
            </w:pPr>
            <w:r w:rsidRPr="00690428">
              <w:rPr>
                <w:b/>
                <w:bCs/>
                <w:sz w:val="20"/>
                <w:szCs w:val="20"/>
              </w:rPr>
              <w:t>7.5</w:t>
            </w:r>
          </w:p>
        </w:tc>
        <w:tc>
          <w:tcPr>
            <w:tcW w:w="851" w:type="dxa"/>
            <w:shd w:val="clear" w:color="auto" w:fill="E0E0E0"/>
          </w:tcPr>
          <w:p w14:paraId="13573517" w14:textId="77777777" w:rsidR="00374CBE" w:rsidRPr="00690428" w:rsidRDefault="00374CBE" w:rsidP="00E55184">
            <w:pPr>
              <w:jc w:val="center"/>
              <w:rPr>
                <w:b/>
                <w:bCs/>
                <w:sz w:val="20"/>
                <w:szCs w:val="20"/>
              </w:rPr>
            </w:pPr>
          </w:p>
        </w:tc>
        <w:tc>
          <w:tcPr>
            <w:tcW w:w="1356" w:type="dxa"/>
            <w:shd w:val="clear" w:color="auto" w:fill="E0E0E0"/>
          </w:tcPr>
          <w:p w14:paraId="139C804F" w14:textId="77777777" w:rsidR="00374CBE" w:rsidRPr="00690428" w:rsidRDefault="00374CBE" w:rsidP="00E55184">
            <w:pPr>
              <w:jc w:val="center"/>
              <w:rPr>
                <w:b/>
                <w:bCs/>
                <w:sz w:val="20"/>
                <w:szCs w:val="20"/>
              </w:rPr>
            </w:pPr>
            <w:r>
              <w:rPr>
                <w:b/>
                <w:bCs/>
                <w:sz w:val="20"/>
                <w:szCs w:val="20"/>
              </w:rPr>
              <w:t>6.0</w:t>
            </w:r>
          </w:p>
        </w:tc>
      </w:tr>
    </w:tbl>
    <w:p w14:paraId="0AFC2DF1" w14:textId="30B729ED" w:rsidR="00374CBE" w:rsidRPr="00D66AA0" w:rsidRDefault="00374CBE" w:rsidP="00374CBE">
      <w:pPr>
        <w:rPr>
          <w:sz w:val="20"/>
          <w:szCs w:val="20"/>
        </w:rPr>
      </w:pPr>
      <w:r w:rsidRPr="00D66AA0">
        <w:rPr>
          <w:sz w:val="20"/>
          <w:szCs w:val="20"/>
        </w:rPr>
        <w:t>Notes: * in both instances of non-compliance, one Indicator is u</w:t>
      </w:r>
      <w:r w:rsidR="00E55184">
        <w:rPr>
          <w:sz w:val="20"/>
          <w:szCs w:val="20"/>
        </w:rPr>
        <w:t>nfu</w:t>
      </w:r>
      <w:r w:rsidRPr="00D66AA0">
        <w:rPr>
          <w:sz w:val="20"/>
          <w:szCs w:val="20"/>
        </w:rPr>
        <w:t>lfilled and one unfulfilled. However, as per the FA, more than half of the Indicators must be met for a conclusion of 'partial compliance'.</w:t>
      </w:r>
    </w:p>
    <w:p w14:paraId="077B2AC8" w14:textId="77777777" w:rsidR="00374CBE" w:rsidRDefault="00374CBE" w:rsidP="00374CBE"/>
    <w:p w14:paraId="1B24DEED" w14:textId="77777777" w:rsidR="00374CBE" w:rsidRPr="00DB29A5" w:rsidRDefault="00374CBE" w:rsidP="00374CBE">
      <w:pPr>
        <w:rPr>
          <w:b/>
        </w:rPr>
      </w:pPr>
      <w:r>
        <w:rPr>
          <w:b/>
        </w:rPr>
        <w:t>ii</w:t>
      </w:r>
      <w:r w:rsidRPr="00DB29A5">
        <w:rPr>
          <w:b/>
        </w:rPr>
        <w:t>)</w:t>
      </w:r>
      <w:r w:rsidRPr="00DB29A5">
        <w:rPr>
          <w:b/>
        </w:rPr>
        <w:tab/>
        <w:t>Outstanding Third Instalment Conditions</w:t>
      </w:r>
    </w:p>
    <w:p w14:paraId="7088DA46" w14:textId="77777777" w:rsidR="00374CBE" w:rsidRDefault="00374CBE" w:rsidP="00374CBE"/>
    <w:p w14:paraId="4D2AA7C4" w14:textId="77777777" w:rsidR="00374CBE" w:rsidRDefault="00374CBE" w:rsidP="00374CBE">
      <w:pPr>
        <w:rPr>
          <w:highlight w:val="green"/>
        </w:rPr>
      </w:pPr>
      <w:r>
        <w:t xml:space="preserve">Table B summarizes the Review's conclusions on the status of Government's compliance with the conditions for release of the Third Instalment where funds were withheld by EU because particular Indicators were considered unfulfilled. Based on this assessment the Final Review has concluded that Government is eligible to receive an additional €0.5mn of the €1.75mn withheld from the Third Instalment. </w:t>
      </w:r>
    </w:p>
    <w:p w14:paraId="7872D940" w14:textId="77777777" w:rsidR="00374CBE" w:rsidRDefault="00374CBE" w:rsidP="00374CBE"/>
    <w:p w14:paraId="69055E4A" w14:textId="77777777" w:rsidR="00374CBE" w:rsidRDefault="00374CBE" w:rsidP="00374CBE">
      <w:pPr>
        <w:jc w:val="center"/>
        <w:rPr>
          <w:b/>
          <w:bCs/>
        </w:rPr>
      </w:pPr>
      <w:r>
        <w:rPr>
          <w:b/>
          <w:bCs/>
        </w:rPr>
        <w:t>Table B: Summary of Outstanding Third Instalment Disbursement Recommendation</w:t>
      </w:r>
    </w:p>
    <w:p w14:paraId="0DFF2869" w14:textId="77777777" w:rsidR="00374CBE" w:rsidRDefault="00374CBE" w:rsidP="00374CBE">
      <w:pPr>
        <w:rPr>
          <w:highlight w:val="green"/>
        </w:rPr>
      </w:pPr>
    </w:p>
    <w:tbl>
      <w:tblPr>
        <w:tblW w:w="8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36"/>
        <w:gridCol w:w="1559"/>
        <w:gridCol w:w="1134"/>
        <w:gridCol w:w="993"/>
        <w:gridCol w:w="1214"/>
      </w:tblGrid>
      <w:tr w:rsidR="00374CBE" w:rsidRPr="00690428" w14:paraId="67D38B6F" w14:textId="77777777" w:rsidTr="00E55184">
        <w:trPr>
          <w:jc w:val="center"/>
        </w:trPr>
        <w:tc>
          <w:tcPr>
            <w:tcW w:w="4036" w:type="dxa"/>
          </w:tcPr>
          <w:p w14:paraId="10BDEA5C" w14:textId="77777777" w:rsidR="00374CBE" w:rsidRPr="00690428" w:rsidRDefault="00374CBE" w:rsidP="00E55184">
            <w:pPr>
              <w:rPr>
                <w:b/>
                <w:bCs/>
                <w:sz w:val="20"/>
                <w:szCs w:val="20"/>
              </w:rPr>
            </w:pPr>
          </w:p>
          <w:p w14:paraId="60D49753" w14:textId="77777777" w:rsidR="00374CBE" w:rsidRPr="00690428" w:rsidRDefault="00374CBE" w:rsidP="00E55184">
            <w:pPr>
              <w:jc w:val="center"/>
              <w:rPr>
                <w:b/>
                <w:bCs/>
                <w:sz w:val="20"/>
                <w:szCs w:val="20"/>
              </w:rPr>
            </w:pPr>
            <w:r w:rsidRPr="00690428">
              <w:rPr>
                <w:b/>
                <w:bCs/>
                <w:sz w:val="20"/>
                <w:szCs w:val="20"/>
              </w:rPr>
              <w:t>Condition</w:t>
            </w:r>
          </w:p>
        </w:tc>
        <w:tc>
          <w:tcPr>
            <w:tcW w:w="1559" w:type="dxa"/>
          </w:tcPr>
          <w:p w14:paraId="56BE2511" w14:textId="77777777" w:rsidR="00374CBE" w:rsidRPr="00690428" w:rsidRDefault="00374CBE" w:rsidP="00E55184">
            <w:pPr>
              <w:jc w:val="center"/>
              <w:rPr>
                <w:b/>
                <w:bCs/>
                <w:sz w:val="20"/>
                <w:szCs w:val="20"/>
              </w:rPr>
            </w:pPr>
            <w:r w:rsidRPr="00690428">
              <w:rPr>
                <w:b/>
                <w:bCs/>
                <w:sz w:val="20"/>
                <w:szCs w:val="20"/>
              </w:rPr>
              <w:t>C</w:t>
            </w:r>
            <w:r>
              <w:rPr>
                <w:b/>
                <w:bCs/>
                <w:sz w:val="20"/>
                <w:szCs w:val="20"/>
              </w:rPr>
              <w:t>urrent c</w:t>
            </w:r>
            <w:r w:rsidRPr="00690428">
              <w:rPr>
                <w:b/>
                <w:bCs/>
                <w:sz w:val="20"/>
                <w:szCs w:val="20"/>
              </w:rPr>
              <w:t>ompliance</w:t>
            </w:r>
          </w:p>
        </w:tc>
        <w:tc>
          <w:tcPr>
            <w:tcW w:w="1134" w:type="dxa"/>
          </w:tcPr>
          <w:p w14:paraId="57A0D5D1" w14:textId="77777777" w:rsidR="00374CBE" w:rsidRPr="00690428" w:rsidRDefault="00374CBE" w:rsidP="00E55184">
            <w:pPr>
              <w:jc w:val="center"/>
              <w:rPr>
                <w:b/>
                <w:bCs/>
                <w:sz w:val="20"/>
                <w:szCs w:val="20"/>
              </w:rPr>
            </w:pPr>
            <w:r>
              <w:rPr>
                <w:b/>
                <w:bCs/>
                <w:sz w:val="20"/>
                <w:szCs w:val="20"/>
              </w:rPr>
              <w:t>Withheld</w:t>
            </w:r>
            <w:r w:rsidRPr="00690428">
              <w:rPr>
                <w:b/>
                <w:bCs/>
                <w:sz w:val="20"/>
                <w:szCs w:val="20"/>
              </w:rPr>
              <w:t xml:space="preserve"> €mn</w:t>
            </w:r>
          </w:p>
        </w:tc>
        <w:tc>
          <w:tcPr>
            <w:tcW w:w="993" w:type="dxa"/>
          </w:tcPr>
          <w:p w14:paraId="50378832" w14:textId="77777777" w:rsidR="00374CBE" w:rsidRPr="00690428" w:rsidRDefault="00374CBE" w:rsidP="00E55184">
            <w:pPr>
              <w:jc w:val="center"/>
              <w:rPr>
                <w:b/>
                <w:bCs/>
                <w:sz w:val="20"/>
                <w:szCs w:val="20"/>
              </w:rPr>
            </w:pPr>
            <w:r>
              <w:rPr>
                <w:b/>
                <w:bCs/>
                <w:sz w:val="20"/>
                <w:szCs w:val="20"/>
              </w:rPr>
              <w:t xml:space="preserve">Current </w:t>
            </w:r>
            <w:r w:rsidRPr="00690428">
              <w:rPr>
                <w:b/>
                <w:bCs/>
                <w:sz w:val="20"/>
                <w:szCs w:val="20"/>
              </w:rPr>
              <w:t>Score</w:t>
            </w:r>
          </w:p>
        </w:tc>
        <w:tc>
          <w:tcPr>
            <w:tcW w:w="1214" w:type="dxa"/>
          </w:tcPr>
          <w:p w14:paraId="7D70B4C3" w14:textId="77777777" w:rsidR="00374CBE" w:rsidRPr="00690428" w:rsidRDefault="00374CBE" w:rsidP="00E55184">
            <w:pPr>
              <w:jc w:val="center"/>
              <w:rPr>
                <w:b/>
                <w:bCs/>
                <w:sz w:val="20"/>
                <w:szCs w:val="20"/>
              </w:rPr>
            </w:pPr>
            <w:r>
              <w:rPr>
                <w:b/>
                <w:bCs/>
                <w:sz w:val="20"/>
                <w:szCs w:val="20"/>
              </w:rPr>
              <w:t>Proposed</w:t>
            </w:r>
            <w:r w:rsidRPr="00690428">
              <w:rPr>
                <w:b/>
                <w:bCs/>
                <w:sz w:val="20"/>
                <w:szCs w:val="20"/>
              </w:rPr>
              <w:t xml:space="preserve"> </w:t>
            </w:r>
            <w:r>
              <w:rPr>
                <w:b/>
                <w:bCs/>
                <w:sz w:val="20"/>
                <w:szCs w:val="20"/>
              </w:rPr>
              <w:t xml:space="preserve">new </w:t>
            </w:r>
            <w:r w:rsidRPr="00690428">
              <w:rPr>
                <w:b/>
                <w:bCs/>
                <w:sz w:val="20"/>
                <w:szCs w:val="20"/>
              </w:rPr>
              <w:t>release €mn</w:t>
            </w:r>
          </w:p>
        </w:tc>
      </w:tr>
      <w:tr w:rsidR="00374CBE" w:rsidRPr="00690428" w14:paraId="1DC0EA06" w14:textId="77777777" w:rsidTr="00E55184">
        <w:trPr>
          <w:jc w:val="center"/>
        </w:trPr>
        <w:tc>
          <w:tcPr>
            <w:tcW w:w="4036" w:type="dxa"/>
            <w:shd w:val="clear" w:color="auto" w:fill="E0E0E0"/>
          </w:tcPr>
          <w:p w14:paraId="3998FF0F" w14:textId="77777777" w:rsidR="00374CBE" w:rsidRPr="00690428" w:rsidRDefault="00374CBE" w:rsidP="00E55184">
            <w:pPr>
              <w:jc w:val="left"/>
              <w:rPr>
                <w:b/>
                <w:bCs/>
                <w:sz w:val="20"/>
                <w:szCs w:val="20"/>
              </w:rPr>
            </w:pPr>
            <w:r w:rsidRPr="00690428">
              <w:rPr>
                <w:b/>
                <w:bCs/>
                <w:sz w:val="20"/>
                <w:szCs w:val="20"/>
              </w:rPr>
              <w:t>A. Fixed Tranche (1</w:t>
            </w:r>
            <w:r>
              <w:rPr>
                <w:b/>
                <w:bCs/>
                <w:sz w:val="20"/>
                <w:szCs w:val="20"/>
              </w:rPr>
              <w:t>8.2</w:t>
            </w:r>
            <w:r w:rsidRPr="00690428">
              <w:rPr>
                <w:b/>
                <w:bCs/>
                <w:sz w:val="20"/>
                <w:szCs w:val="20"/>
              </w:rPr>
              <w:t>%)</w:t>
            </w:r>
          </w:p>
        </w:tc>
        <w:tc>
          <w:tcPr>
            <w:tcW w:w="1559" w:type="dxa"/>
            <w:shd w:val="clear" w:color="auto" w:fill="E0E0E0"/>
          </w:tcPr>
          <w:p w14:paraId="3D7DC535" w14:textId="77777777" w:rsidR="00374CBE" w:rsidRPr="00690428" w:rsidRDefault="00374CBE" w:rsidP="00E55184">
            <w:pPr>
              <w:jc w:val="center"/>
              <w:rPr>
                <w:b/>
                <w:bCs/>
                <w:sz w:val="20"/>
                <w:szCs w:val="20"/>
              </w:rPr>
            </w:pPr>
            <w:r>
              <w:rPr>
                <w:b/>
                <w:bCs/>
                <w:sz w:val="20"/>
                <w:szCs w:val="20"/>
              </w:rPr>
              <w:t>released</w:t>
            </w:r>
          </w:p>
        </w:tc>
        <w:tc>
          <w:tcPr>
            <w:tcW w:w="1134" w:type="dxa"/>
            <w:shd w:val="clear" w:color="auto" w:fill="E0E0E0"/>
          </w:tcPr>
          <w:p w14:paraId="1D03452B" w14:textId="77777777" w:rsidR="00374CBE" w:rsidRPr="00690428" w:rsidRDefault="00374CBE" w:rsidP="00E55184">
            <w:pPr>
              <w:jc w:val="center"/>
              <w:rPr>
                <w:b/>
                <w:bCs/>
                <w:sz w:val="20"/>
                <w:szCs w:val="20"/>
              </w:rPr>
            </w:pPr>
            <w:r>
              <w:rPr>
                <w:b/>
                <w:bCs/>
                <w:sz w:val="20"/>
                <w:szCs w:val="20"/>
              </w:rPr>
              <w:t>nil</w:t>
            </w:r>
          </w:p>
        </w:tc>
        <w:tc>
          <w:tcPr>
            <w:tcW w:w="993" w:type="dxa"/>
            <w:shd w:val="clear" w:color="auto" w:fill="E0E0E0"/>
          </w:tcPr>
          <w:p w14:paraId="21813DF7" w14:textId="77777777" w:rsidR="00374CBE" w:rsidRPr="00690428" w:rsidRDefault="00374CBE" w:rsidP="00E55184">
            <w:pPr>
              <w:jc w:val="center"/>
              <w:rPr>
                <w:b/>
                <w:bCs/>
                <w:sz w:val="20"/>
                <w:szCs w:val="20"/>
              </w:rPr>
            </w:pPr>
          </w:p>
        </w:tc>
        <w:tc>
          <w:tcPr>
            <w:tcW w:w="1214" w:type="dxa"/>
            <w:shd w:val="clear" w:color="auto" w:fill="E0E0E0"/>
          </w:tcPr>
          <w:p w14:paraId="7633012C" w14:textId="77777777" w:rsidR="00374CBE" w:rsidRPr="00690428" w:rsidRDefault="00374CBE" w:rsidP="00E55184">
            <w:pPr>
              <w:jc w:val="center"/>
              <w:rPr>
                <w:b/>
                <w:bCs/>
                <w:sz w:val="20"/>
                <w:szCs w:val="20"/>
              </w:rPr>
            </w:pPr>
            <w:r>
              <w:rPr>
                <w:b/>
                <w:bCs/>
                <w:sz w:val="20"/>
                <w:szCs w:val="20"/>
              </w:rPr>
              <w:t>nil</w:t>
            </w:r>
          </w:p>
        </w:tc>
      </w:tr>
      <w:tr w:rsidR="00374CBE" w:rsidRPr="00690428" w14:paraId="6A8AA8CE" w14:textId="77777777" w:rsidTr="00E55184">
        <w:trPr>
          <w:jc w:val="center"/>
        </w:trPr>
        <w:tc>
          <w:tcPr>
            <w:tcW w:w="4036" w:type="dxa"/>
            <w:shd w:val="clear" w:color="auto" w:fill="E0E0E0"/>
          </w:tcPr>
          <w:p w14:paraId="0CDEB788" w14:textId="77777777" w:rsidR="00374CBE" w:rsidRPr="00690428" w:rsidRDefault="00374CBE" w:rsidP="00E55184">
            <w:pPr>
              <w:jc w:val="left"/>
              <w:rPr>
                <w:b/>
                <w:bCs/>
                <w:sz w:val="20"/>
                <w:szCs w:val="20"/>
              </w:rPr>
            </w:pPr>
            <w:r w:rsidRPr="00690428">
              <w:rPr>
                <w:b/>
                <w:bCs/>
                <w:sz w:val="20"/>
                <w:szCs w:val="20"/>
              </w:rPr>
              <w:t>B. Variable Tranche (8</w:t>
            </w:r>
            <w:r>
              <w:rPr>
                <w:b/>
                <w:bCs/>
                <w:sz w:val="20"/>
                <w:szCs w:val="20"/>
              </w:rPr>
              <w:t>1.8</w:t>
            </w:r>
            <w:r w:rsidRPr="00690428">
              <w:rPr>
                <w:b/>
                <w:bCs/>
                <w:sz w:val="20"/>
                <w:szCs w:val="20"/>
              </w:rPr>
              <w:t>%)</w:t>
            </w:r>
          </w:p>
        </w:tc>
        <w:tc>
          <w:tcPr>
            <w:tcW w:w="1559" w:type="dxa"/>
            <w:shd w:val="clear" w:color="auto" w:fill="E0E0E0"/>
          </w:tcPr>
          <w:p w14:paraId="57339D98" w14:textId="77777777" w:rsidR="00374CBE" w:rsidRPr="00690428" w:rsidRDefault="00374CBE" w:rsidP="00E55184">
            <w:pPr>
              <w:jc w:val="center"/>
              <w:rPr>
                <w:b/>
                <w:bCs/>
                <w:sz w:val="20"/>
                <w:szCs w:val="20"/>
              </w:rPr>
            </w:pPr>
          </w:p>
        </w:tc>
        <w:tc>
          <w:tcPr>
            <w:tcW w:w="1134" w:type="dxa"/>
            <w:shd w:val="clear" w:color="auto" w:fill="E0E0E0"/>
          </w:tcPr>
          <w:p w14:paraId="7231AB1B" w14:textId="77777777" w:rsidR="00374CBE" w:rsidRPr="00690428" w:rsidRDefault="00374CBE" w:rsidP="00E55184">
            <w:pPr>
              <w:jc w:val="center"/>
              <w:rPr>
                <w:b/>
                <w:bCs/>
                <w:sz w:val="20"/>
                <w:szCs w:val="20"/>
              </w:rPr>
            </w:pPr>
          </w:p>
        </w:tc>
        <w:tc>
          <w:tcPr>
            <w:tcW w:w="993" w:type="dxa"/>
            <w:shd w:val="clear" w:color="auto" w:fill="E0E0E0"/>
          </w:tcPr>
          <w:p w14:paraId="767E114F" w14:textId="77777777" w:rsidR="00374CBE" w:rsidRPr="00690428" w:rsidRDefault="00374CBE" w:rsidP="00E55184">
            <w:pPr>
              <w:jc w:val="center"/>
              <w:rPr>
                <w:b/>
                <w:bCs/>
                <w:sz w:val="20"/>
                <w:szCs w:val="20"/>
              </w:rPr>
            </w:pPr>
          </w:p>
        </w:tc>
        <w:tc>
          <w:tcPr>
            <w:tcW w:w="1214" w:type="dxa"/>
            <w:shd w:val="clear" w:color="auto" w:fill="E0E0E0"/>
          </w:tcPr>
          <w:p w14:paraId="5D6AF01E" w14:textId="77777777" w:rsidR="00374CBE" w:rsidRPr="00690428" w:rsidRDefault="00374CBE" w:rsidP="00E55184">
            <w:pPr>
              <w:jc w:val="center"/>
              <w:rPr>
                <w:b/>
                <w:bCs/>
                <w:sz w:val="20"/>
                <w:szCs w:val="20"/>
              </w:rPr>
            </w:pPr>
          </w:p>
        </w:tc>
      </w:tr>
      <w:tr w:rsidR="00374CBE" w:rsidRPr="00690428" w14:paraId="57497B79" w14:textId="77777777" w:rsidTr="00E55184">
        <w:trPr>
          <w:cantSplit/>
          <w:jc w:val="center"/>
        </w:trPr>
        <w:tc>
          <w:tcPr>
            <w:tcW w:w="8936" w:type="dxa"/>
            <w:gridSpan w:val="5"/>
            <w:shd w:val="clear" w:color="auto" w:fill="F3F3F3"/>
          </w:tcPr>
          <w:p w14:paraId="647AD4FB" w14:textId="77777777" w:rsidR="00374CBE" w:rsidRPr="00690428" w:rsidRDefault="00374CBE" w:rsidP="00E55184">
            <w:pPr>
              <w:jc w:val="center"/>
              <w:rPr>
                <w:b/>
                <w:bCs/>
                <w:sz w:val="20"/>
                <w:szCs w:val="20"/>
              </w:rPr>
            </w:pPr>
            <w:r w:rsidRPr="00690428">
              <w:rPr>
                <w:b/>
                <w:bCs/>
                <w:sz w:val="20"/>
                <w:szCs w:val="20"/>
                <w:lang w:eastAsia="en-GB"/>
              </w:rPr>
              <w:t>Component 1: Effective Labour Market Management</w:t>
            </w:r>
            <w:r w:rsidRPr="00690428">
              <w:rPr>
                <w:b/>
                <w:bCs/>
                <w:sz w:val="20"/>
                <w:szCs w:val="20"/>
              </w:rPr>
              <w:t xml:space="preserve"> (</w:t>
            </w:r>
            <w:r>
              <w:rPr>
                <w:b/>
                <w:bCs/>
                <w:sz w:val="20"/>
                <w:szCs w:val="20"/>
              </w:rPr>
              <w:t>18.</w:t>
            </w:r>
            <w:r w:rsidRPr="00690428">
              <w:rPr>
                <w:b/>
                <w:bCs/>
                <w:sz w:val="20"/>
                <w:szCs w:val="20"/>
              </w:rPr>
              <w:t>2%)</w:t>
            </w:r>
          </w:p>
        </w:tc>
      </w:tr>
      <w:tr w:rsidR="00374CBE" w:rsidRPr="00690428" w14:paraId="7A8F6CC1" w14:textId="77777777" w:rsidTr="00E55184">
        <w:trPr>
          <w:jc w:val="center"/>
        </w:trPr>
        <w:tc>
          <w:tcPr>
            <w:tcW w:w="4036" w:type="dxa"/>
          </w:tcPr>
          <w:p w14:paraId="3912A614" w14:textId="77777777" w:rsidR="00374CBE" w:rsidRPr="00690428" w:rsidRDefault="00374CBE" w:rsidP="007C295F">
            <w:pPr>
              <w:widowControl w:val="0"/>
              <w:numPr>
                <w:ilvl w:val="0"/>
                <w:numId w:val="44"/>
              </w:numPr>
              <w:autoSpaceDE w:val="0"/>
              <w:autoSpaceDN w:val="0"/>
              <w:jc w:val="left"/>
              <w:rPr>
                <w:i/>
                <w:iCs/>
                <w:sz w:val="20"/>
                <w:szCs w:val="20"/>
              </w:rPr>
            </w:pPr>
            <w:r w:rsidRPr="00690428">
              <w:rPr>
                <w:i/>
                <w:iCs/>
                <w:sz w:val="20"/>
                <w:szCs w:val="20"/>
                <w:lang w:eastAsia="en-GB"/>
              </w:rPr>
              <w:t>Reliable and sustainable labour market information and forecasting</w:t>
            </w:r>
            <w:r w:rsidRPr="00690428">
              <w:rPr>
                <w:i/>
                <w:iCs/>
                <w:sz w:val="20"/>
                <w:szCs w:val="20"/>
              </w:rPr>
              <w:t>.</w:t>
            </w:r>
          </w:p>
        </w:tc>
        <w:tc>
          <w:tcPr>
            <w:tcW w:w="1559" w:type="dxa"/>
          </w:tcPr>
          <w:p w14:paraId="1B7A0DEE" w14:textId="77777777" w:rsidR="00374CBE" w:rsidRPr="00690428" w:rsidRDefault="00374CBE" w:rsidP="00E55184">
            <w:pPr>
              <w:jc w:val="center"/>
              <w:rPr>
                <w:sz w:val="20"/>
                <w:szCs w:val="20"/>
              </w:rPr>
            </w:pPr>
            <w:r>
              <w:rPr>
                <w:sz w:val="20"/>
                <w:szCs w:val="20"/>
              </w:rPr>
              <w:t>released</w:t>
            </w:r>
          </w:p>
        </w:tc>
        <w:tc>
          <w:tcPr>
            <w:tcW w:w="1134" w:type="dxa"/>
          </w:tcPr>
          <w:p w14:paraId="347533EF" w14:textId="77777777" w:rsidR="00374CBE" w:rsidRPr="00690428" w:rsidRDefault="00374CBE" w:rsidP="00E55184">
            <w:pPr>
              <w:jc w:val="center"/>
              <w:rPr>
                <w:sz w:val="20"/>
                <w:szCs w:val="20"/>
              </w:rPr>
            </w:pPr>
            <w:r>
              <w:rPr>
                <w:sz w:val="20"/>
                <w:szCs w:val="20"/>
              </w:rPr>
              <w:t>nil</w:t>
            </w:r>
          </w:p>
        </w:tc>
        <w:tc>
          <w:tcPr>
            <w:tcW w:w="993" w:type="dxa"/>
          </w:tcPr>
          <w:p w14:paraId="0F5634D0" w14:textId="77777777" w:rsidR="00374CBE" w:rsidRPr="00690428" w:rsidRDefault="00374CBE" w:rsidP="00E55184">
            <w:pPr>
              <w:jc w:val="center"/>
              <w:rPr>
                <w:sz w:val="20"/>
                <w:szCs w:val="20"/>
              </w:rPr>
            </w:pPr>
            <w:r w:rsidRPr="00690428">
              <w:rPr>
                <w:sz w:val="20"/>
                <w:szCs w:val="20"/>
              </w:rPr>
              <w:t>1.0</w:t>
            </w:r>
          </w:p>
        </w:tc>
        <w:tc>
          <w:tcPr>
            <w:tcW w:w="1214" w:type="dxa"/>
          </w:tcPr>
          <w:p w14:paraId="7934D2FF" w14:textId="77777777" w:rsidR="00374CBE" w:rsidRPr="00690428" w:rsidRDefault="00374CBE" w:rsidP="00E55184">
            <w:pPr>
              <w:jc w:val="center"/>
              <w:rPr>
                <w:sz w:val="20"/>
                <w:szCs w:val="20"/>
              </w:rPr>
            </w:pPr>
            <w:r>
              <w:rPr>
                <w:sz w:val="20"/>
                <w:szCs w:val="20"/>
              </w:rPr>
              <w:t>nil</w:t>
            </w:r>
          </w:p>
        </w:tc>
      </w:tr>
      <w:tr w:rsidR="00374CBE" w:rsidRPr="00690428" w14:paraId="78D28E52" w14:textId="77777777" w:rsidTr="00E55184">
        <w:trPr>
          <w:jc w:val="center"/>
        </w:trPr>
        <w:tc>
          <w:tcPr>
            <w:tcW w:w="4036" w:type="dxa"/>
          </w:tcPr>
          <w:p w14:paraId="6B4C2C82" w14:textId="77777777" w:rsidR="00374CBE" w:rsidRPr="00690428" w:rsidRDefault="00374CBE" w:rsidP="007C295F">
            <w:pPr>
              <w:widowControl w:val="0"/>
              <w:numPr>
                <w:ilvl w:val="0"/>
                <w:numId w:val="44"/>
              </w:numPr>
              <w:autoSpaceDE w:val="0"/>
              <w:autoSpaceDN w:val="0"/>
              <w:jc w:val="left"/>
              <w:rPr>
                <w:i/>
                <w:iCs/>
                <w:sz w:val="20"/>
                <w:szCs w:val="20"/>
              </w:rPr>
            </w:pPr>
            <w:r w:rsidRPr="00690428">
              <w:rPr>
                <w:i/>
                <w:iCs/>
                <w:sz w:val="20"/>
                <w:szCs w:val="20"/>
                <w:lang w:eastAsia="en-GB"/>
              </w:rPr>
              <w:t>Improved Quality of Employment Support Services</w:t>
            </w:r>
            <w:r w:rsidRPr="00690428">
              <w:rPr>
                <w:i/>
                <w:iCs/>
                <w:sz w:val="20"/>
                <w:szCs w:val="20"/>
              </w:rPr>
              <w:t>.</w:t>
            </w:r>
          </w:p>
        </w:tc>
        <w:tc>
          <w:tcPr>
            <w:tcW w:w="1559" w:type="dxa"/>
          </w:tcPr>
          <w:p w14:paraId="645475EE" w14:textId="77777777" w:rsidR="00374CBE" w:rsidRPr="00690428" w:rsidRDefault="00374CBE" w:rsidP="00E55184">
            <w:pPr>
              <w:jc w:val="center"/>
              <w:rPr>
                <w:sz w:val="20"/>
                <w:szCs w:val="20"/>
              </w:rPr>
            </w:pPr>
            <w:r>
              <w:rPr>
                <w:sz w:val="20"/>
                <w:szCs w:val="20"/>
              </w:rPr>
              <w:t>released</w:t>
            </w:r>
          </w:p>
        </w:tc>
        <w:tc>
          <w:tcPr>
            <w:tcW w:w="1134" w:type="dxa"/>
          </w:tcPr>
          <w:p w14:paraId="173D0B4C" w14:textId="77777777" w:rsidR="00374CBE" w:rsidRPr="00690428" w:rsidRDefault="00374CBE" w:rsidP="00E55184">
            <w:pPr>
              <w:jc w:val="center"/>
              <w:rPr>
                <w:sz w:val="20"/>
                <w:szCs w:val="20"/>
              </w:rPr>
            </w:pPr>
            <w:r>
              <w:rPr>
                <w:sz w:val="20"/>
                <w:szCs w:val="20"/>
              </w:rPr>
              <w:t>nil</w:t>
            </w:r>
          </w:p>
        </w:tc>
        <w:tc>
          <w:tcPr>
            <w:tcW w:w="993" w:type="dxa"/>
          </w:tcPr>
          <w:p w14:paraId="1BE7224D" w14:textId="77777777" w:rsidR="00374CBE" w:rsidRPr="00690428" w:rsidRDefault="00374CBE" w:rsidP="00E55184">
            <w:pPr>
              <w:jc w:val="center"/>
              <w:rPr>
                <w:sz w:val="20"/>
                <w:szCs w:val="20"/>
              </w:rPr>
            </w:pPr>
            <w:r>
              <w:rPr>
                <w:sz w:val="20"/>
                <w:szCs w:val="20"/>
              </w:rPr>
              <w:t>1.0</w:t>
            </w:r>
          </w:p>
        </w:tc>
        <w:tc>
          <w:tcPr>
            <w:tcW w:w="1214" w:type="dxa"/>
          </w:tcPr>
          <w:p w14:paraId="0D1BA696" w14:textId="77777777" w:rsidR="00374CBE" w:rsidRPr="00690428" w:rsidRDefault="00374CBE" w:rsidP="00E55184">
            <w:pPr>
              <w:jc w:val="center"/>
              <w:rPr>
                <w:sz w:val="20"/>
                <w:szCs w:val="20"/>
              </w:rPr>
            </w:pPr>
            <w:r>
              <w:rPr>
                <w:sz w:val="20"/>
                <w:szCs w:val="20"/>
              </w:rPr>
              <w:t>nil</w:t>
            </w:r>
          </w:p>
        </w:tc>
      </w:tr>
      <w:tr w:rsidR="00374CBE" w:rsidRPr="00690428" w14:paraId="780951E0" w14:textId="77777777" w:rsidTr="00E55184">
        <w:trPr>
          <w:cantSplit/>
          <w:jc w:val="center"/>
        </w:trPr>
        <w:tc>
          <w:tcPr>
            <w:tcW w:w="8936" w:type="dxa"/>
            <w:gridSpan w:val="5"/>
            <w:shd w:val="clear" w:color="auto" w:fill="F3F3F3"/>
          </w:tcPr>
          <w:p w14:paraId="40AAEB15" w14:textId="77777777" w:rsidR="00374CBE" w:rsidRPr="00690428" w:rsidRDefault="00374CBE" w:rsidP="00E55184">
            <w:pPr>
              <w:jc w:val="center"/>
              <w:rPr>
                <w:b/>
                <w:bCs/>
                <w:sz w:val="20"/>
                <w:szCs w:val="20"/>
              </w:rPr>
            </w:pPr>
            <w:r w:rsidRPr="00690428">
              <w:rPr>
                <w:b/>
                <w:bCs/>
                <w:sz w:val="20"/>
                <w:szCs w:val="20"/>
                <w:lang w:eastAsia="en-GB"/>
              </w:rPr>
              <w:t>Component 2: Enhanced Quality and Relevance of VET System</w:t>
            </w:r>
            <w:r w:rsidRPr="00690428">
              <w:rPr>
                <w:b/>
                <w:bCs/>
                <w:sz w:val="20"/>
                <w:szCs w:val="20"/>
              </w:rPr>
              <w:t xml:space="preserve"> (27</w:t>
            </w:r>
            <w:r>
              <w:rPr>
                <w:b/>
                <w:bCs/>
                <w:sz w:val="20"/>
                <w:szCs w:val="20"/>
              </w:rPr>
              <w:t>.3</w:t>
            </w:r>
            <w:r w:rsidRPr="00690428">
              <w:rPr>
                <w:b/>
                <w:bCs/>
                <w:sz w:val="20"/>
                <w:szCs w:val="20"/>
              </w:rPr>
              <w:t>%)</w:t>
            </w:r>
          </w:p>
        </w:tc>
      </w:tr>
      <w:tr w:rsidR="00374CBE" w:rsidRPr="00690428" w14:paraId="5A072A89" w14:textId="77777777" w:rsidTr="00E55184">
        <w:trPr>
          <w:jc w:val="center"/>
        </w:trPr>
        <w:tc>
          <w:tcPr>
            <w:tcW w:w="4036" w:type="dxa"/>
          </w:tcPr>
          <w:p w14:paraId="189708FF" w14:textId="77777777" w:rsidR="00374CBE" w:rsidRPr="00690428" w:rsidRDefault="00374CBE" w:rsidP="007C295F">
            <w:pPr>
              <w:widowControl w:val="0"/>
              <w:numPr>
                <w:ilvl w:val="0"/>
                <w:numId w:val="45"/>
              </w:numPr>
              <w:autoSpaceDE w:val="0"/>
              <w:autoSpaceDN w:val="0"/>
              <w:jc w:val="left"/>
              <w:rPr>
                <w:i/>
                <w:iCs/>
                <w:sz w:val="20"/>
                <w:szCs w:val="20"/>
              </w:rPr>
            </w:pPr>
            <w:r w:rsidRPr="00690428">
              <w:rPr>
                <w:i/>
                <w:iCs/>
                <w:sz w:val="20"/>
                <w:szCs w:val="20"/>
                <w:lang w:eastAsia="en-GB"/>
              </w:rPr>
              <w:t>Enhanced matching of skills provided by the VET system with the needs of the labour market</w:t>
            </w:r>
            <w:r w:rsidRPr="00690428">
              <w:rPr>
                <w:i/>
                <w:iCs/>
                <w:sz w:val="20"/>
                <w:szCs w:val="20"/>
              </w:rPr>
              <w:t>.</w:t>
            </w:r>
          </w:p>
        </w:tc>
        <w:tc>
          <w:tcPr>
            <w:tcW w:w="1559" w:type="dxa"/>
          </w:tcPr>
          <w:p w14:paraId="7540D39C" w14:textId="77777777" w:rsidR="00374CBE" w:rsidRPr="00690428" w:rsidRDefault="00374CBE" w:rsidP="00E55184">
            <w:pPr>
              <w:jc w:val="center"/>
              <w:rPr>
                <w:sz w:val="20"/>
                <w:szCs w:val="20"/>
              </w:rPr>
            </w:pPr>
            <w:r>
              <w:rPr>
                <w:sz w:val="20"/>
                <w:szCs w:val="20"/>
              </w:rPr>
              <w:t>released</w:t>
            </w:r>
          </w:p>
        </w:tc>
        <w:tc>
          <w:tcPr>
            <w:tcW w:w="1134" w:type="dxa"/>
          </w:tcPr>
          <w:p w14:paraId="5302F19F" w14:textId="77777777" w:rsidR="00374CBE" w:rsidRPr="00690428" w:rsidRDefault="00374CBE" w:rsidP="00E55184">
            <w:pPr>
              <w:jc w:val="center"/>
              <w:rPr>
                <w:sz w:val="20"/>
                <w:szCs w:val="20"/>
              </w:rPr>
            </w:pPr>
            <w:r>
              <w:rPr>
                <w:sz w:val="20"/>
                <w:szCs w:val="20"/>
              </w:rPr>
              <w:t>nil</w:t>
            </w:r>
          </w:p>
        </w:tc>
        <w:tc>
          <w:tcPr>
            <w:tcW w:w="993" w:type="dxa"/>
          </w:tcPr>
          <w:p w14:paraId="32FC349C" w14:textId="77777777" w:rsidR="00374CBE" w:rsidRPr="00690428" w:rsidRDefault="00374CBE" w:rsidP="00E55184">
            <w:pPr>
              <w:jc w:val="center"/>
              <w:rPr>
                <w:sz w:val="20"/>
                <w:szCs w:val="20"/>
              </w:rPr>
            </w:pPr>
            <w:r w:rsidRPr="00690428">
              <w:rPr>
                <w:sz w:val="20"/>
                <w:szCs w:val="20"/>
              </w:rPr>
              <w:t>1.0</w:t>
            </w:r>
          </w:p>
        </w:tc>
        <w:tc>
          <w:tcPr>
            <w:tcW w:w="1214" w:type="dxa"/>
          </w:tcPr>
          <w:p w14:paraId="107B01F7" w14:textId="77777777" w:rsidR="00374CBE" w:rsidRPr="00690428" w:rsidRDefault="00374CBE" w:rsidP="00E55184">
            <w:pPr>
              <w:jc w:val="center"/>
              <w:rPr>
                <w:sz w:val="20"/>
                <w:szCs w:val="20"/>
              </w:rPr>
            </w:pPr>
            <w:r>
              <w:rPr>
                <w:sz w:val="20"/>
                <w:szCs w:val="20"/>
              </w:rPr>
              <w:t>nil</w:t>
            </w:r>
          </w:p>
        </w:tc>
      </w:tr>
      <w:tr w:rsidR="00374CBE" w:rsidRPr="00690428" w14:paraId="531BB182" w14:textId="77777777" w:rsidTr="00E55184">
        <w:trPr>
          <w:jc w:val="center"/>
        </w:trPr>
        <w:tc>
          <w:tcPr>
            <w:tcW w:w="4036" w:type="dxa"/>
          </w:tcPr>
          <w:p w14:paraId="5FF7A063" w14:textId="77777777" w:rsidR="00374CBE" w:rsidRDefault="00374CBE" w:rsidP="007C295F">
            <w:pPr>
              <w:widowControl w:val="0"/>
              <w:numPr>
                <w:ilvl w:val="0"/>
                <w:numId w:val="45"/>
              </w:numPr>
              <w:autoSpaceDE w:val="0"/>
              <w:autoSpaceDN w:val="0"/>
              <w:jc w:val="left"/>
              <w:rPr>
                <w:i/>
                <w:iCs/>
                <w:sz w:val="20"/>
                <w:szCs w:val="20"/>
              </w:rPr>
            </w:pPr>
            <w:r w:rsidRPr="00690428">
              <w:rPr>
                <w:i/>
                <w:iCs/>
                <w:sz w:val="20"/>
                <w:szCs w:val="20"/>
                <w:lang w:eastAsia="en-GB"/>
              </w:rPr>
              <w:t>Improved quality of VET qualifications.</w:t>
            </w:r>
          </w:p>
          <w:p w14:paraId="39D0CEE8" w14:textId="77777777" w:rsidR="00374CBE" w:rsidRPr="00690428" w:rsidRDefault="00374CBE" w:rsidP="00E55184">
            <w:pPr>
              <w:widowControl w:val="0"/>
              <w:autoSpaceDE w:val="0"/>
              <w:autoSpaceDN w:val="0"/>
              <w:ind w:left="526"/>
              <w:jc w:val="left"/>
              <w:rPr>
                <w:i/>
                <w:iCs/>
                <w:sz w:val="20"/>
                <w:szCs w:val="20"/>
              </w:rPr>
            </w:pPr>
            <w:r w:rsidRPr="00AD6BA2">
              <w:rPr>
                <w:iCs/>
                <w:sz w:val="20"/>
                <w:szCs w:val="20"/>
              </w:rPr>
              <w:t xml:space="preserve">(outstanding Indicator </w:t>
            </w:r>
            <w:r>
              <w:rPr>
                <w:iCs/>
                <w:sz w:val="20"/>
                <w:szCs w:val="20"/>
              </w:rPr>
              <w:t>2.2</w:t>
            </w:r>
            <w:r w:rsidRPr="00AD6BA2">
              <w:rPr>
                <w:iCs/>
                <w:sz w:val="20"/>
                <w:szCs w:val="20"/>
              </w:rPr>
              <w:t xml:space="preserve">.2 on </w:t>
            </w:r>
            <w:r>
              <w:rPr>
                <w:iCs/>
                <w:sz w:val="20"/>
                <w:szCs w:val="20"/>
              </w:rPr>
              <w:t>revised NQF</w:t>
            </w:r>
            <w:r w:rsidRPr="00AD6BA2">
              <w:rPr>
                <w:iCs/>
                <w:sz w:val="20"/>
                <w:szCs w:val="20"/>
              </w:rPr>
              <w:t>)</w:t>
            </w:r>
          </w:p>
        </w:tc>
        <w:tc>
          <w:tcPr>
            <w:tcW w:w="1559" w:type="dxa"/>
          </w:tcPr>
          <w:p w14:paraId="1A9E6510" w14:textId="77777777" w:rsidR="00374CBE" w:rsidRDefault="00374CBE" w:rsidP="00E55184">
            <w:pPr>
              <w:jc w:val="center"/>
              <w:rPr>
                <w:sz w:val="20"/>
                <w:szCs w:val="20"/>
              </w:rPr>
            </w:pPr>
            <w:r>
              <w:rPr>
                <w:sz w:val="20"/>
                <w:szCs w:val="20"/>
              </w:rPr>
              <w:t>non-</w:t>
            </w:r>
            <w:r w:rsidRPr="00690428">
              <w:rPr>
                <w:sz w:val="20"/>
                <w:szCs w:val="20"/>
              </w:rPr>
              <w:t>compliance</w:t>
            </w:r>
          </w:p>
          <w:p w14:paraId="4997D4EE" w14:textId="77777777" w:rsidR="00374CBE" w:rsidRPr="00690428" w:rsidRDefault="00374CBE" w:rsidP="00E55184">
            <w:pPr>
              <w:jc w:val="center"/>
              <w:rPr>
                <w:sz w:val="20"/>
                <w:szCs w:val="20"/>
              </w:rPr>
            </w:pPr>
            <w:r>
              <w:rPr>
                <w:sz w:val="20"/>
                <w:szCs w:val="20"/>
              </w:rPr>
              <w:t>(Indicator 2.2.2 still unfulfilled)</w:t>
            </w:r>
          </w:p>
        </w:tc>
        <w:tc>
          <w:tcPr>
            <w:tcW w:w="1134" w:type="dxa"/>
          </w:tcPr>
          <w:p w14:paraId="60D07830" w14:textId="77777777" w:rsidR="00374CBE" w:rsidRPr="00690428" w:rsidRDefault="00374CBE" w:rsidP="00E55184">
            <w:pPr>
              <w:jc w:val="center"/>
              <w:rPr>
                <w:sz w:val="20"/>
                <w:szCs w:val="20"/>
              </w:rPr>
            </w:pPr>
            <w:r>
              <w:rPr>
                <w:sz w:val="20"/>
                <w:szCs w:val="20"/>
              </w:rPr>
              <w:t>1.0</w:t>
            </w:r>
          </w:p>
        </w:tc>
        <w:tc>
          <w:tcPr>
            <w:tcW w:w="993" w:type="dxa"/>
          </w:tcPr>
          <w:p w14:paraId="389FBF73" w14:textId="77777777" w:rsidR="00374CBE" w:rsidRPr="00690428" w:rsidRDefault="00374CBE" w:rsidP="00E55184">
            <w:pPr>
              <w:jc w:val="center"/>
              <w:rPr>
                <w:sz w:val="20"/>
                <w:szCs w:val="20"/>
              </w:rPr>
            </w:pPr>
            <w:r>
              <w:rPr>
                <w:sz w:val="20"/>
                <w:szCs w:val="20"/>
              </w:rPr>
              <w:t>0.</w:t>
            </w:r>
            <w:r w:rsidRPr="00690428">
              <w:rPr>
                <w:sz w:val="20"/>
                <w:szCs w:val="20"/>
              </w:rPr>
              <w:t>0</w:t>
            </w:r>
          </w:p>
        </w:tc>
        <w:tc>
          <w:tcPr>
            <w:tcW w:w="1214" w:type="dxa"/>
          </w:tcPr>
          <w:p w14:paraId="63807BD6" w14:textId="77777777" w:rsidR="00374CBE" w:rsidRPr="00690428" w:rsidRDefault="00374CBE" w:rsidP="00E55184">
            <w:pPr>
              <w:jc w:val="center"/>
              <w:rPr>
                <w:sz w:val="20"/>
                <w:szCs w:val="20"/>
              </w:rPr>
            </w:pPr>
            <w:r>
              <w:rPr>
                <w:sz w:val="20"/>
                <w:szCs w:val="20"/>
              </w:rPr>
              <w:t>nil</w:t>
            </w:r>
          </w:p>
        </w:tc>
      </w:tr>
      <w:tr w:rsidR="00374CBE" w:rsidRPr="00690428" w14:paraId="05F67F69" w14:textId="77777777" w:rsidTr="00E55184">
        <w:trPr>
          <w:cantSplit/>
          <w:jc w:val="center"/>
        </w:trPr>
        <w:tc>
          <w:tcPr>
            <w:tcW w:w="8936" w:type="dxa"/>
            <w:gridSpan w:val="5"/>
            <w:shd w:val="clear" w:color="auto" w:fill="F3F3F3"/>
          </w:tcPr>
          <w:p w14:paraId="6875B03A" w14:textId="77777777" w:rsidR="00374CBE" w:rsidRPr="00690428" w:rsidRDefault="00374CBE" w:rsidP="00E55184">
            <w:pPr>
              <w:jc w:val="center"/>
              <w:rPr>
                <w:b/>
                <w:bCs/>
                <w:sz w:val="20"/>
                <w:szCs w:val="20"/>
              </w:rPr>
            </w:pPr>
            <w:r w:rsidRPr="00690428">
              <w:rPr>
                <w:b/>
                <w:bCs/>
                <w:sz w:val="20"/>
                <w:szCs w:val="20"/>
                <w:lang w:eastAsia="en-GB"/>
              </w:rPr>
              <w:t>Component 3: Efficient Transition from Training into Employment</w:t>
            </w:r>
            <w:r w:rsidRPr="00690428">
              <w:rPr>
                <w:b/>
                <w:bCs/>
                <w:sz w:val="20"/>
                <w:szCs w:val="20"/>
              </w:rPr>
              <w:t xml:space="preserve"> (3</w:t>
            </w:r>
            <w:r>
              <w:rPr>
                <w:b/>
                <w:bCs/>
                <w:sz w:val="20"/>
                <w:szCs w:val="20"/>
              </w:rPr>
              <w:t>6</w:t>
            </w:r>
            <w:r w:rsidRPr="00690428">
              <w:rPr>
                <w:b/>
                <w:bCs/>
                <w:sz w:val="20"/>
                <w:szCs w:val="20"/>
              </w:rPr>
              <w:t>.3%)</w:t>
            </w:r>
          </w:p>
        </w:tc>
      </w:tr>
      <w:tr w:rsidR="00374CBE" w:rsidRPr="00690428" w14:paraId="4D8984D4" w14:textId="77777777" w:rsidTr="00E55184">
        <w:trPr>
          <w:jc w:val="center"/>
        </w:trPr>
        <w:tc>
          <w:tcPr>
            <w:tcW w:w="4036" w:type="dxa"/>
          </w:tcPr>
          <w:p w14:paraId="5C82868E" w14:textId="77777777" w:rsidR="00374CBE" w:rsidRPr="00AD6BA2" w:rsidRDefault="00374CBE" w:rsidP="007C295F">
            <w:pPr>
              <w:widowControl w:val="0"/>
              <w:numPr>
                <w:ilvl w:val="0"/>
                <w:numId w:val="46"/>
              </w:numPr>
              <w:autoSpaceDE w:val="0"/>
              <w:autoSpaceDN w:val="0"/>
              <w:jc w:val="left"/>
              <w:rPr>
                <w:iCs/>
                <w:sz w:val="20"/>
                <w:szCs w:val="20"/>
              </w:rPr>
            </w:pPr>
            <w:r w:rsidRPr="00690428">
              <w:rPr>
                <w:i/>
                <w:iCs/>
                <w:sz w:val="20"/>
                <w:szCs w:val="20"/>
                <w:lang w:eastAsia="en-GB"/>
              </w:rPr>
              <w:t>Efficient transition from training to employment.</w:t>
            </w:r>
          </w:p>
          <w:p w14:paraId="1670E442" w14:textId="77777777" w:rsidR="00374CBE" w:rsidRPr="00690428" w:rsidRDefault="00374CBE" w:rsidP="00E55184">
            <w:pPr>
              <w:widowControl w:val="0"/>
              <w:autoSpaceDE w:val="0"/>
              <w:autoSpaceDN w:val="0"/>
              <w:ind w:left="526"/>
              <w:jc w:val="left"/>
              <w:rPr>
                <w:i/>
                <w:iCs/>
                <w:sz w:val="20"/>
                <w:szCs w:val="20"/>
              </w:rPr>
            </w:pPr>
            <w:r w:rsidRPr="00AD6BA2">
              <w:rPr>
                <w:iCs/>
                <w:sz w:val="20"/>
                <w:szCs w:val="20"/>
              </w:rPr>
              <w:t>(outstanding Indicator 3.1.2 on career guidance pilot)</w:t>
            </w:r>
          </w:p>
        </w:tc>
        <w:tc>
          <w:tcPr>
            <w:tcW w:w="1559" w:type="dxa"/>
          </w:tcPr>
          <w:p w14:paraId="03F17652" w14:textId="77777777" w:rsidR="00374CBE" w:rsidRDefault="00374CBE" w:rsidP="00E55184">
            <w:pPr>
              <w:jc w:val="center"/>
              <w:rPr>
                <w:sz w:val="20"/>
                <w:szCs w:val="20"/>
              </w:rPr>
            </w:pPr>
            <w:r w:rsidRPr="00690428">
              <w:rPr>
                <w:sz w:val="20"/>
                <w:szCs w:val="20"/>
              </w:rPr>
              <w:t>compliance</w:t>
            </w:r>
          </w:p>
          <w:p w14:paraId="6154E00F" w14:textId="77777777" w:rsidR="00374CBE" w:rsidRPr="00690428" w:rsidRDefault="00374CBE" w:rsidP="00E55184">
            <w:pPr>
              <w:jc w:val="center"/>
              <w:rPr>
                <w:sz w:val="20"/>
                <w:szCs w:val="20"/>
              </w:rPr>
            </w:pPr>
            <w:r>
              <w:rPr>
                <w:sz w:val="20"/>
                <w:szCs w:val="20"/>
              </w:rPr>
              <w:t>(outstanding Indicator 3.1.2 fulfilled)</w:t>
            </w:r>
          </w:p>
        </w:tc>
        <w:tc>
          <w:tcPr>
            <w:tcW w:w="1134" w:type="dxa"/>
          </w:tcPr>
          <w:p w14:paraId="1024891A" w14:textId="77777777" w:rsidR="00374CBE" w:rsidRPr="00690428" w:rsidRDefault="00374CBE" w:rsidP="00E55184">
            <w:pPr>
              <w:jc w:val="center"/>
              <w:rPr>
                <w:sz w:val="20"/>
                <w:szCs w:val="20"/>
              </w:rPr>
            </w:pPr>
            <w:r>
              <w:rPr>
                <w:sz w:val="20"/>
                <w:szCs w:val="20"/>
              </w:rPr>
              <w:t>0.5</w:t>
            </w:r>
          </w:p>
        </w:tc>
        <w:tc>
          <w:tcPr>
            <w:tcW w:w="993" w:type="dxa"/>
          </w:tcPr>
          <w:p w14:paraId="64AC6244" w14:textId="77777777" w:rsidR="00374CBE" w:rsidRPr="00690428" w:rsidRDefault="00374CBE" w:rsidP="00E55184">
            <w:pPr>
              <w:jc w:val="center"/>
              <w:rPr>
                <w:sz w:val="20"/>
                <w:szCs w:val="20"/>
              </w:rPr>
            </w:pPr>
            <w:r>
              <w:rPr>
                <w:sz w:val="20"/>
                <w:szCs w:val="20"/>
              </w:rPr>
              <w:t>1.0</w:t>
            </w:r>
          </w:p>
        </w:tc>
        <w:tc>
          <w:tcPr>
            <w:tcW w:w="1214" w:type="dxa"/>
          </w:tcPr>
          <w:p w14:paraId="4442B0E8" w14:textId="77777777" w:rsidR="00374CBE" w:rsidRPr="00690428" w:rsidRDefault="00374CBE" w:rsidP="00E55184">
            <w:pPr>
              <w:jc w:val="center"/>
              <w:rPr>
                <w:sz w:val="20"/>
                <w:szCs w:val="20"/>
              </w:rPr>
            </w:pPr>
            <w:r>
              <w:rPr>
                <w:sz w:val="20"/>
                <w:szCs w:val="20"/>
              </w:rPr>
              <w:t>0.5</w:t>
            </w:r>
          </w:p>
        </w:tc>
      </w:tr>
      <w:tr w:rsidR="00374CBE" w:rsidRPr="00690428" w14:paraId="6DC9061E" w14:textId="77777777" w:rsidTr="00E55184">
        <w:trPr>
          <w:jc w:val="center"/>
        </w:trPr>
        <w:tc>
          <w:tcPr>
            <w:tcW w:w="4036" w:type="dxa"/>
          </w:tcPr>
          <w:p w14:paraId="2FB99CF9" w14:textId="77777777" w:rsidR="00374CBE" w:rsidRPr="00690428" w:rsidRDefault="00374CBE" w:rsidP="007C295F">
            <w:pPr>
              <w:widowControl w:val="0"/>
              <w:numPr>
                <w:ilvl w:val="0"/>
                <w:numId w:val="46"/>
              </w:numPr>
              <w:autoSpaceDE w:val="0"/>
              <w:autoSpaceDN w:val="0"/>
              <w:jc w:val="left"/>
              <w:rPr>
                <w:i/>
                <w:iCs/>
                <w:sz w:val="20"/>
                <w:szCs w:val="20"/>
              </w:rPr>
            </w:pPr>
            <w:r w:rsidRPr="00690428">
              <w:rPr>
                <w:i/>
                <w:iCs/>
                <w:sz w:val="20"/>
                <w:szCs w:val="20"/>
                <w:lang w:eastAsia="en-GB"/>
              </w:rPr>
              <w:t>Increased awareness of VET amongst potential students and employers.</w:t>
            </w:r>
          </w:p>
        </w:tc>
        <w:tc>
          <w:tcPr>
            <w:tcW w:w="1559" w:type="dxa"/>
          </w:tcPr>
          <w:p w14:paraId="7EC7BBC5" w14:textId="77777777" w:rsidR="00374CBE" w:rsidRPr="00690428" w:rsidRDefault="00374CBE" w:rsidP="00E55184">
            <w:pPr>
              <w:jc w:val="center"/>
              <w:rPr>
                <w:sz w:val="20"/>
                <w:szCs w:val="20"/>
              </w:rPr>
            </w:pPr>
            <w:r>
              <w:rPr>
                <w:sz w:val="20"/>
                <w:szCs w:val="20"/>
              </w:rPr>
              <w:t>released</w:t>
            </w:r>
          </w:p>
        </w:tc>
        <w:tc>
          <w:tcPr>
            <w:tcW w:w="1134" w:type="dxa"/>
          </w:tcPr>
          <w:p w14:paraId="4F7B6110" w14:textId="77777777" w:rsidR="00374CBE" w:rsidRPr="00690428" w:rsidRDefault="00374CBE" w:rsidP="00E55184">
            <w:pPr>
              <w:jc w:val="center"/>
              <w:rPr>
                <w:sz w:val="20"/>
                <w:szCs w:val="20"/>
              </w:rPr>
            </w:pPr>
            <w:r>
              <w:rPr>
                <w:sz w:val="20"/>
                <w:szCs w:val="20"/>
              </w:rPr>
              <w:t>nil</w:t>
            </w:r>
          </w:p>
        </w:tc>
        <w:tc>
          <w:tcPr>
            <w:tcW w:w="993" w:type="dxa"/>
          </w:tcPr>
          <w:p w14:paraId="4B477D40" w14:textId="77777777" w:rsidR="00374CBE" w:rsidRPr="00690428" w:rsidRDefault="00374CBE" w:rsidP="00E55184">
            <w:pPr>
              <w:jc w:val="center"/>
              <w:rPr>
                <w:sz w:val="20"/>
                <w:szCs w:val="20"/>
              </w:rPr>
            </w:pPr>
            <w:r w:rsidRPr="00690428">
              <w:rPr>
                <w:sz w:val="20"/>
                <w:szCs w:val="20"/>
              </w:rPr>
              <w:t>1.0</w:t>
            </w:r>
          </w:p>
        </w:tc>
        <w:tc>
          <w:tcPr>
            <w:tcW w:w="1214" w:type="dxa"/>
          </w:tcPr>
          <w:p w14:paraId="109CE34F" w14:textId="77777777" w:rsidR="00374CBE" w:rsidRPr="00690428" w:rsidRDefault="00374CBE" w:rsidP="00E55184">
            <w:pPr>
              <w:jc w:val="center"/>
              <w:rPr>
                <w:sz w:val="20"/>
                <w:szCs w:val="20"/>
              </w:rPr>
            </w:pPr>
            <w:r>
              <w:rPr>
                <w:sz w:val="20"/>
                <w:szCs w:val="20"/>
              </w:rPr>
              <w:t>nil</w:t>
            </w:r>
          </w:p>
        </w:tc>
      </w:tr>
      <w:tr w:rsidR="00374CBE" w:rsidRPr="00690428" w14:paraId="3957140D" w14:textId="77777777" w:rsidTr="00E55184">
        <w:trPr>
          <w:jc w:val="center"/>
        </w:trPr>
        <w:tc>
          <w:tcPr>
            <w:tcW w:w="4036" w:type="dxa"/>
          </w:tcPr>
          <w:p w14:paraId="53FCA47C" w14:textId="77777777" w:rsidR="00374CBE" w:rsidRDefault="00374CBE" w:rsidP="007C295F">
            <w:pPr>
              <w:widowControl w:val="0"/>
              <w:numPr>
                <w:ilvl w:val="0"/>
                <w:numId w:val="46"/>
              </w:numPr>
              <w:autoSpaceDE w:val="0"/>
              <w:autoSpaceDN w:val="0"/>
              <w:jc w:val="left"/>
              <w:rPr>
                <w:i/>
                <w:iCs/>
                <w:sz w:val="20"/>
                <w:szCs w:val="20"/>
              </w:rPr>
            </w:pPr>
            <w:r w:rsidRPr="00690428">
              <w:rPr>
                <w:i/>
                <w:iCs/>
                <w:sz w:val="20"/>
                <w:szCs w:val="20"/>
                <w:lang w:eastAsia="en-GB"/>
              </w:rPr>
              <w:t>Enhanced social partnership.</w:t>
            </w:r>
          </w:p>
          <w:p w14:paraId="1E3EFEFE" w14:textId="77777777" w:rsidR="00374CBE" w:rsidRPr="00690428" w:rsidRDefault="00374CBE" w:rsidP="00E55184">
            <w:pPr>
              <w:widowControl w:val="0"/>
              <w:autoSpaceDE w:val="0"/>
              <w:autoSpaceDN w:val="0"/>
              <w:ind w:left="526"/>
              <w:jc w:val="left"/>
              <w:rPr>
                <w:i/>
                <w:iCs/>
                <w:sz w:val="20"/>
                <w:szCs w:val="20"/>
              </w:rPr>
            </w:pPr>
            <w:r w:rsidRPr="00AD6BA2">
              <w:rPr>
                <w:iCs/>
                <w:sz w:val="20"/>
                <w:szCs w:val="20"/>
              </w:rPr>
              <w:t>(outstanding Indicator 3.</w:t>
            </w:r>
            <w:r>
              <w:rPr>
                <w:iCs/>
                <w:sz w:val="20"/>
                <w:szCs w:val="20"/>
              </w:rPr>
              <w:t>3.</w:t>
            </w:r>
            <w:r w:rsidRPr="00AD6BA2">
              <w:rPr>
                <w:iCs/>
                <w:sz w:val="20"/>
                <w:szCs w:val="20"/>
              </w:rPr>
              <w:t xml:space="preserve">1 on </w:t>
            </w:r>
            <w:r>
              <w:rPr>
                <w:iCs/>
                <w:sz w:val="20"/>
                <w:szCs w:val="20"/>
              </w:rPr>
              <w:t>workbased learning concept</w:t>
            </w:r>
            <w:r w:rsidRPr="00AD6BA2">
              <w:rPr>
                <w:iCs/>
                <w:sz w:val="20"/>
                <w:szCs w:val="20"/>
              </w:rPr>
              <w:t>)</w:t>
            </w:r>
          </w:p>
        </w:tc>
        <w:tc>
          <w:tcPr>
            <w:tcW w:w="1559" w:type="dxa"/>
          </w:tcPr>
          <w:p w14:paraId="71C916DC" w14:textId="77777777" w:rsidR="00374CBE" w:rsidRDefault="00374CBE" w:rsidP="00E55184">
            <w:pPr>
              <w:jc w:val="center"/>
              <w:rPr>
                <w:sz w:val="20"/>
                <w:szCs w:val="20"/>
              </w:rPr>
            </w:pPr>
            <w:r>
              <w:rPr>
                <w:sz w:val="20"/>
                <w:szCs w:val="20"/>
              </w:rPr>
              <w:t>***partial-</w:t>
            </w:r>
            <w:r w:rsidRPr="00690428">
              <w:rPr>
                <w:sz w:val="20"/>
                <w:szCs w:val="20"/>
              </w:rPr>
              <w:t>compliance</w:t>
            </w:r>
          </w:p>
          <w:p w14:paraId="4A7EE5CA" w14:textId="77777777" w:rsidR="00374CBE" w:rsidRPr="00690428" w:rsidRDefault="00374CBE" w:rsidP="00E55184">
            <w:pPr>
              <w:jc w:val="center"/>
              <w:rPr>
                <w:sz w:val="20"/>
                <w:szCs w:val="20"/>
              </w:rPr>
            </w:pPr>
            <w:r>
              <w:rPr>
                <w:sz w:val="20"/>
                <w:szCs w:val="20"/>
              </w:rPr>
              <w:t>(not eligible for reassessment)</w:t>
            </w:r>
          </w:p>
        </w:tc>
        <w:tc>
          <w:tcPr>
            <w:tcW w:w="1134" w:type="dxa"/>
          </w:tcPr>
          <w:p w14:paraId="01425792" w14:textId="77777777" w:rsidR="00374CBE" w:rsidRPr="00690428" w:rsidRDefault="00374CBE" w:rsidP="00E55184">
            <w:pPr>
              <w:jc w:val="center"/>
              <w:rPr>
                <w:sz w:val="20"/>
                <w:szCs w:val="20"/>
              </w:rPr>
            </w:pPr>
            <w:r w:rsidRPr="00690428">
              <w:rPr>
                <w:sz w:val="20"/>
                <w:szCs w:val="20"/>
              </w:rPr>
              <w:t>0.</w:t>
            </w:r>
            <w:r>
              <w:rPr>
                <w:sz w:val="20"/>
                <w:szCs w:val="20"/>
              </w:rPr>
              <w:t>2</w:t>
            </w:r>
            <w:r w:rsidRPr="00690428">
              <w:rPr>
                <w:sz w:val="20"/>
                <w:szCs w:val="20"/>
              </w:rPr>
              <w:t>5</w:t>
            </w:r>
          </w:p>
        </w:tc>
        <w:tc>
          <w:tcPr>
            <w:tcW w:w="993" w:type="dxa"/>
          </w:tcPr>
          <w:p w14:paraId="69261FB4" w14:textId="77777777" w:rsidR="00374CBE" w:rsidRPr="00690428" w:rsidRDefault="00374CBE" w:rsidP="00E55184">
            <w:pPr>
              <w:jc w:val="center"/>
              <w:rPr>
                <w:sz w:val="20"/>
                <w:szCs w:val="20"/>
              </w:rPr>
            </w:pPr>
            <w:r>
              <w:rPr>
                <w:sz w:val="20"/>
                <w:szCs w:val="20"/>
              </w:rPr>
              <w:t>nil</w:t>
            </w:r>
          </w:p>
        </w:tc>
        <w:tc>
          <w:tcPr>
            <w:tcW w:w="1214" w:type="dxa"/>
          </w:tcPr>
          <w:p w14:paraId="769B27E9" w14:textId="77777777" w:rsidR="00374CBE" w:rsidRPr="00690428" w:rsidRDefault="00374CBE" w:rsidP="00E55184">
            <w:pPr>
              <w:jc w:val="center"/>
              <w:rPr>
                <w:sz w:val="20"/>
                <w:szCs w:val="20"/>
              </w:rPr>
            </w:pPr>
            <w:r>
              <w:rPr>
                <w:sz w:val="20"/>
                <w:szCs w:val="20"/>
              </w:rPr>
              <w:t>nil</w:t>
            </w:r>
          </w:p>
        </w:tc>
      </w:tr>
      <w:tr w:rsidR="00374CBE" w:rsidRPr="00690428" w14:paraId="0B45B9A4" w14:textId="77777777" w:rsidTr="00E55184">
        <w:trPr>
          <w:cantSplit/>
          <w:jc w:val="center"/>
        </w:trPr>
        <w:tc>
          <w:tcPr>
            <w:tcW w:w="5595" w:type="dxa"/>
            <w:gridSpan w:val="2"/>
            <w:shd w:val="clear" w:color="auto" w:fill="E0E0E0"/>
          </w:tcPr>
          <w:p w14:paraId="5CA8FAAE" w14:textId="77777777" w:rsidR="00374CBE" w:rsidRPr="00690428" w:rsidRDefault="00374CBE" w:rsidP="00E55184">
            <w:pPr>
              <w:jc w:val="left"/>
              <w:rPr>
                <w:b/>
                <w:bCs/>
                <w:sz w:val="20"/>
                <w:szCs w:val="20"/>
              </w:rPr>
            </w:pPr>
            <w:r>
              <w:rPr>
                <w:b/>
                <w:bCs/>
                <w:sz w:val="20"/>
                <w:szCs w:val="20"/>
              </w:rPr>
              <w:t xml:space="preserve">Outstanding </w:t>
            </w:r>
            <w:r w:rsidRPr="00690428">
              <w:rPr>
                <w:b/>
                <w:bCs/>
                <w:sz w:val="20"/>
                <w:szCs w:val="20"/>
              </w:rPr>
              <w:t>Variable Tranche assessment</w:t>
            </w:r>
          </w:p>
          <w:p w14:paraId="59A5DBBF" w14:textId="77777777" w:rsidR="00374CBE" w:rsidRPr="00690428" w:rsidRDefault="00374CBE" w:rsidP="00E55184">
            <w:pPr>
              <w:jc w:val="left"/>
              <w:rPr>
                <w:sz w:val="20"/>
                <w:szCs w:val="20"/>
              </w:rPr>
            </w:pPr>
            <w:r w:rsidRPr="00690428">
              <w:rPr>
                <w:sz w:val="20"/>
                <w:szCs w:val="20"/>
              </w:rPr>
              <w:t>(full compliance fixed tranche</w:t>
            </w:r>
            <w:r>
              <w:rPr>
                <w:sz w:val="20"/>
                <w:szCs w:val="20"/>
              </w:rPr>
              <w:t xml:space="preserve"> agreed previously</w:t>
            </w:r>
            <w:r w:rsidRPr="00690428">
              <w:rPr>
                <w:sz w:val="20"/>
                <w:szCs w:val="20"/>
              </w:rPr>
              <w:t>)</w:t>
            </w:r>
          </w:p>
        </w:tc>
        <w:tc>
          <w:tcPr>
            <w:tcW w:w="1134" w:type="dxa"/>
            <w:shd w:val="clear" w:color="auto" w:fill="E0E0E0"/>
          </w:tcPr>
          <w:p w14:paraId="4AEC15DD" w14:textId="77777777" w:rsidR="00374CBE" w:rsidRPr="00690428" w:rsidRDefault="00374CBE" w:rsidP="00E55184">
            <w:pPr>
              <w:jc w:val="center"/>
              <w:rPr>
                <w:b/>
                <w:bCs/>
                <w:sz w:val="20"/>
                <w:szCs w:val="20"/>
              </w:rPr>
            </w:pPr>
            <w:r>
              <w:rPr>
                <w:b/>
                <w:bCs/>
                <w:sz w:val="20"/>
                <w:szCs w:val="20"/>
              </w:rPr>
              <w:t>1.75</w:t>
            </w:r>
          </w:p>
        </w:tc>
        <w:tc>
          <w:tcPr>
            <w:tcW w:w="993" w:type="dxa"/>
            <w:shd w:val="clear" w:color="auto" w:fill="E0E0E0"/>
          </w:tcPr>
          <w:p w14:paraId="5E0F9334" w14:textId="77777777" w:rsidR="00374CBE" w:rsidRPr="00690428" w:rsidRDefault="00374CBE" w:rsidP="00E55184">
            <w:pPr>
              <w:jc w:val="center"/>
              <w:rPr>
                <w:b/>
                <w:bCs/>
                <w:sz w:val="20"/>
                <w:szCs w:val="20"/>
              </w:rPr>
            </w:pPr>
          </w:p>
        </w:tc>
        <w:tc>
          <w:tcPr>
            <w:tcW w:w="1214" w:type="dxa"/>
            <w:shd w:val="clear" w:color="auto" w:fill="E0E0E0"/>
          </w:tcPr>
          <w:p w14:paraId="168F1C84" w14:textId="77777777" w:rsidR="00374CBE" w:rsidRPr="00690428" w:rsidRDefault="00374CBE" w:rsidP="00E55184">
            <w:pPr>
              <w:jc w:val="center"/>
              <w:rPr>
                <w:b/>
                <w:bCs/>
                <w:sz w:val="20"/>
                <w:szCs w:val="20"/>
              </w:rPr>
            </w:pPr>
            <w:r>
              <w:rPr>
                <w:b/>
                <w:bCs/>
                <w:sz w:val="20"/>
                <w:szCs w:val="20"/>
              </w:rPr>
              <w:t>0.5</w:t>
            </w:r>
          </w:p>
        </w:tc>
      </w:tr>
      <w:tr w:rsidR="00374CBE" w:rsidRPr="00690428" w14:paraId="67A2401B" w14:textId="77777777" w:rsidTr="00E55184">
        <w:trPr>
          <w:cantSplit/>
          <w:jc w:val="center"/>
        </w:trPr>
        <w:tc>
          <w:tcPr>
            <w:tcW w:w="5595" w:type="dxa"/>
            <w:gridSpan w:val="2"/>
            <w:shd w:val="clear" w:color="auto" w:fill="E0E0E0"/>
          </w:tcPr>
          <w:p w14:paraId="0CEF7936" w14:textId="77777777" w:rsidR="00374CBE" w:rsidRPr="00690428" w:rsidRDefault="00374CBE" w:rsidP="00E55184">
            <w:pPr>
              <w:jc w:val="left"/>
              <w:rPr>
                <w:b/>
                <w:bCs/>
                <w:sz w:val="20"/>
                <w:szCs w:val="20"/>
              </w:rPr>
            </w:pPr>
            <w:r w:rsidRPr="00690428">
              <w:rPr>
                <w:b/>
                <w:bCs/>
                <w:sz w:val="20"/>
                <w:szCs w:val="20"/>
              </w:rPr>
              <w:t xml:space="preserve">Total </w:t>
            </w:r>
            <w:r>
              <w:rPr>
                <w:b/>
                <w:bCs/>
                <w:sz w:val="20"/>
                <w:szCs w:val="20"/>
              </w:rPr>
              <w:t xml:space="preserve">Additional </w:t>
            </w:r>
            <w:r w:rsidRPr="00690428">
              <w:rPr>
                <w:b/>
                <w:bCs/>
                <w:sz w:val="20"/>
                <w:szCs w:val="20"/>
              </w:rPr>
              <w:t xml:space="preserve">Third Instalment Funds for Release </w:t>
            </w:r>
          </w:p>
        </w:tc>
        <w:tc>
          <w:tcPr>
            <w:tcW w:w="1134" w:type="dxa"/>
            <w:shd w:val="clear" w:color="auto" w:fill="E0E0E0"/>
          </w:tcPr>
          <w:p w14:paraId="5A09BBAC" w14:textId="77777777" w:rsidR="00374CBE" w:rsidRPr="00690428" w:rsidRDefault="00374CBE" w:rsidP="00E55184">
            <w:pPr>
              <w:jc w:val="center"/>
              <w:rPr>
                <w:b/>
                <w:bCs/>
                <w:sz w:val="20"/>
                <w:szCs w:val="20"/>
              </w:rPr>
            </w:pPr>
            <w:r>
              <w:rPr>
                <w:b/>
                <w:bCs/>
                <w:sz w:val="20"/>
                <w:szCs w:val="20"/>
              </w:rPr>
              <w:t>1.75</w:t>
            </w:r>
          </w:p>
        </w:tc>
        <w:tc>
          <w:tcPr>
            <w:tcW w:w="993" w:type="dxa"/>
            <w:shd w:val="clear" w:color="auto" w:fill="E0E0E0"/>
          </w:tcPr>
          <w:p w14:paraId="42719205" w14:textId="77777777" w:rsidR="00374CBE" w:rsidRPr="00690428" w:rsidRDefault="00374CBE" w:rsidP="00E55184">
            <w:pPr>
              <w:jc w:val="center"/>
              <w:rPr>
                <w:b/>
                <w:bCs/>
                <w:sz w:val="20"/>
                <w:szCs w:val="20"/>
              </w:rPr>
            </w:pPr>
          </w:p>
        </w:tc>
        <w:tc>
          <w:tcPr>
            <w:tcW w:w="1214" w:type="dxa"/>
            <w:shd w:val="clear" w:color="auto" w:fill="E0E0E0"/>
          </w:tcPr>
          <w:p w14:paraId="19FBB02C" w14:textId="77777777" w:rsidR="00374CBE" w:rsidRPr="00690428" w:rsidRDefault="00374CBE" w:rsidP="00E55184">
            <w:pPr>
              <w:jc w:val="center"/>
              <w:rPr>
                <w:b/>
                <w:bCs/>
                <w:sz w:val="20"/>
                <w:szCs w:val="20"/>
              </w:rPr>
            </w:pPr>
            <w:r>
              <w:rPr>
                <w:b/>
                <w:bCs/>
                <w:sz w:val="20"/>
                <w:szCs w:val="20"/>
              </w:rPr>
              <w:t>0.5</w:t>
            </w:r>
          </w:p>
        </w:tc>
      </w:tr>
    </w:tbl>
    <w:p w14:paraId="56822785" w14:textId="77777777" w:rsidR="00374CBE" w:rsidRDefault="00374CBE" w:rsidP="00374CBE">
      <w:pPr>
        <w:rPr>
          <w:sz w:val="20"/>
          <w:szCs w:val="20"/>
        </w:rPr>
      </w:pPr>
      <w:r w:rsidRPr="00F91E2B">
        <w:rPr>
          <w:sz w:val="20"/>
          <w:szCs w:val="20"/>
        </w:rPr>
        <w:t xml:space="preserve">Notes: </w:t>
      </w:r>
    </w:p>
    <w:p w14:paraId="5A32FFBE" w14:textId="77777777" w:rsidR="00374CBE" w:rsidRDefault="00374CBE" w:rsidP="00374CBE">
      <w:pPr>
        <w:ind w:left="1276" w:hanging="709"/>
        <w:rPr>
          <w:sz w:val="20"/>
          <w:szCs w:val="20"/>
        </w:rPr>
      </w:pPr>
      <w:r>
        <w:rPr>
          <w:sz w:val="20"/>
          <w:szCs w:val="20"/>
        </w:rPr>
        <w:t>*    2.2.2 the revised NQF remains in draft pending adoption of the new VET Law.</w:t>
      </w:r>
    </w:p>
    <w:p w14:paraId="718A0179" w14:textId="77777777" w:rsidR="00374CBE" w:rsidRDefault="00374CBE" w:rsidP="00374CBE">
      <w:pPr>
        <w:ind w:left="1276" w:hanging="709"/>
        <w:rPr>
          <w:sz w:val="20"/>
          <w:szCs w:val="20"/>
        </w:rPr>
      </w:pPr>
      <w:r>
        <w:rPr>
          <w:sz w:val="20"/>
          <w:szCs w:val="20"/>
        </w:rPr>
        <w:t>**  3.1.2 the pilot was completed in 2016, and covered the required 'at least public 18 VET institutions and 5 centres of ESS.</w:t>
      </w:r>
    </w:p>
    <w:p w14:paraId="56677CE9" w14:textId="77777777" w:rsidR="00374CBE" w:rsidRPr="00F91E2B" w:rsidRDefault="00374CBE" w:rsidP="00374CBE">
      <w:pPr>
        <w:ind w:left="1276" w:hanging="709"/>
        <w:rPr>
          <w:sz w:val="20"/>
          <w:szCs w:val="20"/>
        </w:rPr>
      </w:pPr>
      <w:r w:rsidRPr="00F91E2B">
        <w:rPr>
          <w:sz w:val="20"/>
          <w:szCs w:val="20"/>
        </w:rPr>
        <w:t>*</w:t>
      </w:r>
      <w:r>
        <w:rPr>
          <w:sz w:val="20"/>
          <w:szCs w:val="20"/>
        </w:rPr>
        <w:t>**</w:t>
      </w:r>
      <w:r w:rsidRPr="00F91E2B">
        <w:rPr>
          <w:sz w:val="20"/>
          <w:szCs w:val="20"/>
        </w:rPr>
        <w:t xml:space="preserve"> </w:t>
      </w:r>
      <w:r>
        <w:rPr>
          <w:sz w:val="20"/>
          <w:szCs w:val="20"/>
        </w:rPr>
        <w:t xml:space="preserve">3.3.1: </w:t>
      </w:r>
      <w:r w:rsidRPr="00F91E2B">
        <w:rPr>
          <w:sz w:val="20"/>
          <w:szCs w:val="20"/>
        </w:rPr>
        <w:t>the Review previously assessed the Government as in compliance with this Specific Condition. EU determined that there was inadequate evidence of a Ministerial decision approving a concept for work-based learning for Indicator 3.3.3. However, the Review considers the Indicator met as the Concept was '</w:t>
      </w:r>
      <w:r w:rsidRPr="00F91E2B">
        <w:rPr>
          <w:i/>
          <w:sz w:val="20"/>
          <w:szCs w:val="20"/>
        </w:rPr>
        <w:t>elaborated, published and discussed with stakeholders</w:t>
      </w:r>
      <w:r w:rsidRPr="00F91E2B">
        <w:rPr>
          <w:sz w:val="20"/>
          <w:szCs w:val="20"/>
        </w:rPr>
        <w:t>' and approved by the NVETC (involving the Ministry and social partners), submission to which by the Ministry is tantamount to Ministerial approval.</w:t>
      </w:r>
    </w:p>
    <w:p w14:paraId="56522037" w14:textId="77777777" w:rsidR="00374CBE" w:rsidRDefault="00374CBE" w:rsidP="00374CBE"/>
    <w:p w14:paraId="27AAC336" w14:textId="77777777" w:rsidR="00374CBE" w:rsidRPr="00DB29A5" w:rsidRDefault="00374CBE" w:rsidP="00374CBE">
      <w:pPr>
        <w:rPr>
          <w:b/>
        </w:rPr>
      </w:pPr>
      <w:r w:rsidRPr="00DB29A5">
        <w:rPr>
          <w:b/>
        </w:rPr>
        <w:t>i</w:t>
      </w:r>
      <w:r>
        <w:rPr>
          <w:b/>
        </w:rPr>
        <w:t>ii</w:t>
      </w:r>
      <w:r w:rsidRPr="00DB29A5">
        <w:rPr>
          <w:b/>
        </w:rPr>
        <w:t>)</w:t>
      </w:r>
      <w:r w:rsidRPr="00DB29A5">
        <w:rPr>
          <w:b/>
        </w:rPr>
        <w:tab/>
      </w:r>
      <w:r>
        <w:rPr>
          <w:b/>
        </w:rPr>
        <w:t>Overall Summary</w:t>
      </w:r>
    </w:p>
    <w:p w14:paraId="5D0FB14D" w14:textId="77777777" w:rsidR="00374CBE" w:rsidRDefault="00374CBE" w:rsidP="00374CBE"/>
    <w:p w14:paraId="4B848186" w14:textId="79D34197" w:rsidR="00374CBE" w:rsidRDefault="00374CBE" w:rsidP="00374CBE">
      <w:r>
        <w:lastRenderedPageBreak/>
        <w:t>With consideration of Fourth Instalment disbursement conditions and the status of outstanding Third Instalment Indicators combined, the Review considers the Government to be eligible to receive €6.5mn (€6.0mn of a potential €7.5mn (80%) for the Fourth Instalment and €0.5mn of an outstanding €1.75mn (28.6%) from the Third Instalment), 72% of the total amount of €9.0mn potentially available (reassessment of Third Instalment Indicator 3.3.1 not being agreed in the EU Third Instalment disbursement decision).</w:t>
      </w:r>
    </w:p>
    <w:p w14:paraId="268CE403" w14:textId="77777777" w:rsidR="009601AE" w:rsidRDefault="009601AE" w:rsidP="009E3730">
      <w:pPr>
        <w:widowControl w:val="0"/>
        <w:suppressAutoHyphens/>
        <w:jc w:val="center"/>
        <w:rPr>
          <w:b/>
          <w:bCs/>
          <w:sz w:val="28"/>
          <w:szCs w:val="28"/>
        </w:rPr>
        <w:sectPr w:rsidR="009601AE">
          <w:headerReference w:type="default" r:id="rId17"/>
          <w:footerReference w:type="default" r:id="rId18"/>
          <w:pgSz w:w="11909" w:h="16834" w:code="9"/>
          <w:pgMar w:top="1411" w:right="1411" w:bottom="1411" w:left="1411" w:header="706" w:footer="706" w:gutter="0"/>
          <w:pgNumType w:fmt="lowerRoman" w:start="1"/>
          <w:cols w:space="709"/>
        </w:sectPr>
      </w:pPr>
    </w:p>
    <w:p w14:paraId="06141266" w14:textId="77777777" w:rsidR="009601AE" w:rsidRDefault="009601AE" w:rsidP="009E3730">
      <w:pPr>
        <w:widowControl w:val="0"/>
        <w:suppressAutoHyphens/>
        <w:jc w:val="center"/>
        <w:rPr>
          <w:b/>
          <w:bCs/>
          <w:sz w:val="28"/>
          <w:szCs w:val="28"/>
        </w:rPr>
      </w:pPr>
      <w:r>
        <w:rPr>
          <w:b/>
          <w:bCs/>
          <w:sz w:val="28"/>
          <w:szCs w:val="28"/>
        </w:rPr>
        <w:lastRenderedPageBreak/>
        <w:t>GEORGIA</w:t>
      </w:r>
    </w:p>
    <w:p w14:paraId="4B127539" w14:textId="77777777" w:rsidR="009601AE" w:rsidRDefault="009601AE" w:rsidP="009E3730">
      <w:pPr>
        <w:widowControl w:val="0"/>
        <w:suppressAutoHyphens/>
        <w:jc w:val="center"/>
        <w:rPr>
          <w:b/>
          <w:bCs/>
          <w:sz w:val="28"/>
          <w:szCs w:val="28"/>
        </w:rPr>
      </w:pPr>
    </w:p>
    <w:p w14:paraId="1E27DEF4" w14:textId="77777777" w:rsidR="009601AE" w:rsidRDefault="009601AE" w:rsidP="009E3730">
      <w:pPr>
        <w:widowControl w:val="0"/>
        <w:suppressAutoHyphens/>
        <w:jc w:val="center"/>
        <w:rPr>
          <w:b/>
          <w:bCs/>
          <w:sz w:val="28"/>
          <w:szCs w:val="28"/>
        </w:rPr>
      </w:pPr>
      <w:r>
        <w:rPr>
          <w:b/>
          <w:bCs/>
          <w:sz w:val="28"/>
          <w:szCs w:val="28"/>
        </w:rPr>
        <w:t>EUROPEAN UNION EUROPEAN NEIGHBOURHOOD POLICY</w:t>
      </w:r>
    </w:p>
    <w:p w14:paraId="7AA108E9" w14:textId="77777777" w:rsidR="009601AE" w:rsidRDefault="009601AE" w:rsidP="009E3730">
      <w:pPr>
        <w:widowControl w:val="0"/>
        <w:suppressAutoHyphens/>
        <w:jc w:val="center"/>
        <w:rPr>
          <w:b/>
          <w:bCs/>
          <w:sz w:val="28"/>
          <w:szCs w:val="28"/>
        </w:rPr>
      </w:pPr>
      <w:r>
        <w:rPr>
          <w:b/>
          <w:bCs/>
          <w:sz w:val="28"/>
          <w:szCs w:val="28"/>
        </w:rPr>
        <w:t>EU-GEORGIA ANNUAL ACTION PROGRAMME 2013</w:t>
      </w:r>
    </w:p>
    <w:p w14:paraId="0EDFBD6C" w14:textId="77777777" w:rsidR="009601AE" w:rsidRDefault="009601AE" w:rsidP="009E3730">
      <w:pPr>
        <w:widowControl w:val="0"/>
        <w:suppressAutoHyphens/>
        <w:jc w:val="center"/>
        <w:rPr>
          <w:b/>
          <w:bCs/>
          <w:sz w:val="28"/>
          <w:szCs w:val="28"/>
        </w:rPr>
      </w:pPr>
      <w:r>
        <w:rPr>
          <w:b/>
          <w:bCs/>
          <w:sz w:val="28"/>
          <w:szCs w:val="28"/>
        </w:rPr>
        <w:t>(including Eastern Partnership Integration and Cooperation Programme 2012 and 2013)</w:t>
      </w:r>
    </w:p>
    <w:p w14:paraId="38728591" w14:textId="77777777" w:rsidR="009601AE" w:rsidRDefault="009601AE" w:rsidP="009E3730">
      <w:pPr>
        <w:widowControl w:val="0"/>
        <w:suppressAutoHyphens/>
        <w:jc w:val="center"/>
        <w:rPr>
          <w:b/>
          <w:bCs/>
          <w:sz w:val="28"/>
          <w:szCs w:val="28"/>
        </w:rPr>
      </w:pPr>
    </w:p>
    <w:p w14:paraId="1C7AE165" w14:textId="77777777" w:rsidR="009601AE" w:rsidRDefault="009601AE" w:rsidP="009E3730">
      <w:pPr>
        <w:widowControl w:val="0"/>
        <w:suppressAutoHyphens/>
        <w:jc w:val="center"/>
        <w:rPr>
          <w:b/>
          <w:bCs/>
          <w:sz w:val="28"/>
          <w:szCs w:val="28"/>
        </w:rPr>
      </w:pPr>
      <w:r>
        <w:rPr>
          <w:b/>
          <w:bCs/>
          <w:sz w:val="28"/>
          <w:szCs w:val="28"/>
        </w:rPr>
        <w:t>Sector Reform Contract: Employment and Vocational Education and Training</w:t>
      </w:r>
    </w:p>
    <w:p w14:paraId="3125B1BD" w14:textId="77777777" w:rsidR="009601AE" w:rsidRDefault="009601AE" w:rsidP="009E3730">
      <w:pPr>
        <w:widowControl w:val="0"/>
        <w:suppressAutoHyphens/>
        <w:jc w:val="center"/>
        <w:rPr>
          <w:b/>
          <w:bCs/>
          <w:sz w:val="28"/>
          <w:szCs w:val="28"/>
        </w:rPr>
      </w:pPr>
    </w:p>
    <w:p w14:paraId="0E207588" w14:textId="77777777" w:rsidR="009601AE" w:rsidRDefault="00C22070" w:rsidP="009E3730">
      <w:pPr>
        <w:widowControl w:val="0"/>
        <w:suppressAutoHyphens/>
        <w:jc w:val="center"/>
        <w:rPr>
          <w:b/>
          <w:bCs/>
          <w:sz w:val="28"/>
          <w:szCs w:val="28"/>
        </w:rPr>
      </w:pPr>
      <w:r>
        <w:rPr>
          <w:b/>
          <w:bCs/>
          <w:sz w:val="28"/>
          <w:szCs w:val="28"/>
        </w:rPr>
        <w:t>FOURTH INSTALMENT FINAL</w:t>
      </w:r>
      <w:r w:rsidR="009601AE">
        <w:rPr>
          <w:b/>
          <w:bCs/>
          <w:sz w:val="28"/>
          <w:szCs w:val="28"/>
        </w:rPr>
        <w:t xml:space="preserve"> REVIEW MISSION</w:t>
      </w:r>
    </w:p>
    <w:p w14:paraId="0E499C08" w14:textId="77777777" w:rsidR="009601AE" w:rsidRDefault="009601AE" w:rsidP="009E3730">
      <w:pPr>
        <w:widowControl w:val="0"/>
        <w:suppressAutoHyphens/>
        <w:jc w:val="center"/>
        <w:rPr>
          <w:b/>
          <w:bCs/>
          <w:sz w:val="28"/>
          <w:szCs w:val="28"/>
        </w:rPr>
      </w:pPr>
    </w:p>
    <w:p w14:paraId="38F3862B" w14:textId="77777777" w:rsidR="009601AE" w:rsidRDefault="00C22070" w:rsidP="009E3730">
      <w:pPr>
        <w:widowControl w:val="0"/>
        <w:suppressAutoHyphens/>
        <w:jc w:val="center"/>
        <w:rPr>
          <w:b/>
          <w:bCs/>
          <w:sz w:val="28"/>
          <w:szCs w:val="28"/>
        </w:rPr>
      </w:pPr>
      <w:r>
        <w:rPr>
          <w:b/>
          <w:bCs/>
          <w:sz w:val="28"/>
          <w:szCs w:val="28"/>
        </w:rPr>
        <w:t>Aide Memoire</w:t>
      </w:r>
    </w:p>
    <w:p w14:paraId="716F005A" w14:textId="77777777" w:rsidR="009601AE" w:rsidRDefault="00C22070" w:rsidP="009E3730">
      <w:pPr>
        <w:widowControl w:val="0"/>
        <w:suppressAutoHyphens/>
        <w:jc w:val="center"/>
        <w:rPr>
          <w:b/>
          <w:bCs/>
          <w:sz w:val="28"/>
          <w:szCs w:val="28"/>
        </w:rPr>
      </w:pPr>
      <w:r>
        <w:rPr>
          <w:b/>
          <w:bCs/>
          <w:sz w:val="28"/>
          <w:szCs w:val="28"/>
        </w:rPr>
        <w:t>April</w:t>
      </w:r>
      <w:r w:rsidR="009601AE">
        <w:rPr>
          <w:b/>
          <w:bCs/>
          <w:sz w:val="28"/>
          <w:szCs w:val="28"/>
        </w:rPr>
        <w:t xml:space="preserve"> 201</w:t>
      </w:r>
      <w:r>
        <w:rPr>
          <w:b/>
          <w:bCs/>
          <w:sz w:val="28"/>
          <w:szCs w:val="28"/>
        </w:rPr>
        <w:t>7</w:t>
      </w:r>
    </w:p>
    <w:p w14:paraId="4A6D69A4" w14:textId="77777777" w:rsidR="009601AE" w:rsidRDefault="009601AE" w:rsidP="009E3730">
      <w:pPr>
        <w:widowControl w:val="0"/>
        <w:suppressAutoHyphens/>
        <w:jc w:val="center"/>
        <w:rPr>
          <w:b/>
          <w:bCs/>
          <w:sz w:val="28"/>
          <w:szCs w:val="28"/>
        </w:rPr>
      </w:pPr>
    </w:p>
    <w:p w14:paraId="627A969D" w14:textId="77777777" w:rsidR="009601AE" w:rsidRDefault="009601AE" w:rsidP="009E3730">
      <w:pPr>
        <w:pStyle w:val="Heading1"/>
        <w:widowControl w:val="0"/>
        <w:suppressAutoHyphens/>
      </w:pPr>
      <w:bookmarkStart w:id="10" w:name="_Toc486837747"/>
      <w:r>
        <w:t>Contents</w:t>
      </w:r>
      <w:bookmarkEnd w:id="10"/>
    </w:p>
    <w:p w14:paraId="13F0DD4E" w14:textId="77777777" w:rsidR="009601AE" w:rsidRDefault="009601AE" w:rsidP="009E3730">
      <w:pPr>
        <w:widowControl w:val="0"/>
        <w:suppressAutoHyphens/>
      </w:pPr>
    </w:p>
    <w:p w14:paraId="342D6AB7" w14:textId="77777777" w:rsidR="008B79DD" w:rsidRDefault="008B79DD">
      <w:pPr>
        <w:pStyle w:val="TOC1"/>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486837738" w:history="1">
        <w:r w:rsidRPr="00D74794">
          <w:rPr>
            <w:rStyle w:val="Hyperlink"/>
            <w:noProof/>
          </w:rPr>
          <w:t>Summary</w:t>
        </w:r>
        <w:r>
          <w:rPr>
            <w:noProof/>
            <w:webHidden/>
          </w:rPr>
          <w:tab/>
        </w:r>
        <w:r>
          <w:rPr>
            <w:noProof/>
            <w:webHidden/>
          </w:rPr>
          <w:fldChar w:fldCharType="begin"/>
        </w:r>
        <w:r>
          <w:rPr>
            <w:noProof/>
            <w:webHidden/>
          </w:rPr>
          <w:instrText xml:space="preserve"> PAGEREF _Toc486837738 \h </w:instrText>
        </w:r>
        <w:r>
          <w:rPr>
            <w:noProof/>
            <w:webHidden/>
          </w:rPr>
        </w:r>
        <w:r>
          <w:rPr>
            <w:noProof/>
            <w:webHidden/>
          </w:rPr>
          <w:fldChar w:fldCharType="separate"/>
        </w:r>
        <w:r>
          <w:rPr>
            <w:noProof/>
            <w:webHidden/>
          </w:rPr>
          <w:t>i</w:t>
        </w:r>
        <w:r>
          <w:rPr>
            <w:noProof/>
            <w:webHidden/>
          </w:rPr>
          <w:fldChar w:fldCharType="end"/>
        </w:r>
      </w:hyperlink>
    </w:p>
    <w:p w14:paraId="4D63B164" w14:textId="77777777" w:rsidR="008B79DD" w:rsidRDefault="006D7B13">
      <w:pPr>
        <w:pStyle w:val="TOC2"/>
        <w:tabs>
          <w:tab w:val="left" w:pos="660"/>
          <w:tab w:val="right" w:leader="dot" w:pos="9077"/>
        </w:tabs>
        <w:rPr>
          <w:rFonts w:asciiTheme="minorHAnsi" w:hAnsiTheme="minorHAnsi"/>
          <w:noProof/>
          <w:lang w:eastAsia="en-GB"/>
        </w:rPr>
      </w:pPr>
      <w:hyperlink w:anchor="_Toc486837739" w:history="1">
        <w:r w:rsidR="008B79DD" w:rsidRPr="00D74794">
          <w:rPr>
            <w:rStyle w:val="Hyperlink"/>
            <w:noProof/>
          </w:rPr>
          <w:t>a)</w:t>
        </w:r>
        <w:r w:rsidR="008B79DD">
          <w:rPr>
            <w:rFonts w:asciiTheme="minorHAnsi" w:hAnsiTheme="minorHAnsi"/>
            <w:noProof/>
            <w:lang w:eastAsia="en-GB"/>
          </w:rPr>
          <w:tab/>
        </w:r>
        <w:r w:rsidR="008B79DD" w:rsidRPr="00D74794">
          <w:rPr>
            <w:rStyle w:val="Hyperlink"/>
            <w:noProof/>
          </w:rPr>
          <w:t>Introduction</w:t>
        </w:r>
        <w:r w:rsidR="008B79DD">
          <w:rPr>
            <w:noProof/>
            <w:webHidden/>
          </w:rPr>
          <w:tab/>
        </w:r>
        <w:r w:rsidR="008B79DD">
          <w:rPr>
            <w:noProof/>
            <w:webHidden/>
          </w:rPr>
          <w:fldChar w:fldCharType="begin"/>
        </w:r>
        <w:r w:rsidR="008B79DD">
          <w:rPr>
            <w:noProof/>
            <w:webHidden/>
          </w:rPr>
          <w:instrText xml:space="preserve"> PAGEREF _Toc486837739 \h </w:instrText>
        </w:r>
        <w:r w:rsidR="008B79DD">
          <w:rPr>
            <w:noProof/>
            <w:webHidden/>
          </w:rPr>
        </w:r>
        <w:r w:rsidR="008B79DD">
          <w:rPr>
            <w:noProof/>
            <w:webHidden/>
          </w:rPr>
          <w:fldChar w:fldCharType="separate"/>
        </w:r>
        <w:r w:rsidR="008B79DD">
          <w:rPr>
            <w:noProof/>
            <w:webHidden/>
          </w:rPr>
          <w:t>i</w:t>
        </w:r>
        <w:r w:rsidR="008B79DD">
          <w:rPr>
            <w:noProof/>
            <w:webHidden/>
          </w:rPr>
          <w:fldChar w:fldCharType="end"/>
        </w:r>
      </w:hyperlink>
    </w:p>
    <w:p w14:paraId="04992B0A" w14:textId="77777777" w:rsidR="008B79DD" w:rsidRDefault="006D7B13">
      <w:pPr>
        <w:pStyle w:val="TOC2"/>
        <w:tabs>
          <w:tab w:val="left" w:pos="660"/>
          <w:tab w:val="right" w:leader="dot" w:pos="9077"/>
        </w:tabs>
        <w:rPr>
          <w:rFonts w:asciiTheme="minorHAnsi" w:hAnsiTheme="minorHAnsi"/>
          <w:noProof/>
          <w:lang w:eastAsia="en-GB"/>
        </w:rPr>
      </w:pPr>
      <w:hyperlink w:anchor="_Toc486837740" w:history="1">
        <w:r w:rsidR="008B79DD" w:rsidRPr="00D74794">
          <w:rPr>
            <w:rStyle w:val="Hyperlink"/>
            <w:noProof/>
          </w:rPr>
          <w:t>b)</w:t>
        </w:r>
        <w:r w:rsidR="008B79DD">
          <w:rPr>
            <w:rFonts w:asciiTheme="minorHAnsi" w:hAnsiTheme="minorHAnsi"/>
            <w:noProof/>
            <w:lang w:eastAsia="en-GB"/>
          </w:rPr>
          <w:tab/>
        </w:r>
        <w:r w:rsidR="008B79DD" w:rsidRPr="00D74794">
          <w:rPr>
            <w:rStyle w:val="Hyperlink"/>
            <w:noProof/>
          </w:rPr>
          <w:t>ENP AAP2013 SRC: Employment and VET</w:t>
        </w:r>
        <w:r w:rsidR="008B79DD">
          <w:rPr>
            <w:noProof/>
            <w:webHidden/>
          </w:rPr>
          <w:tab/>
        </w:r>
        <w:r w:rsidR="008B79DD">
          <w:rPr>
            <w:noProof/>
            <w:webHidden/>
          </w:rPr>
          <w:fldChar w:fldCharType="begin"/>
        </w:r>
        <w:r w:rsidR="008B79DD">
          <w:rPr>
            <w:noProof/>
            <w:webHidden/>
          </w:rPr>
          <w:instrText xml:space="preserve"> PAGEREF _Toc486837740 \h </w:instrText>
        </w:r>
        <w:r w:rsidR="008B79DD">
          <w:rPr>
            <w:noProof/>
            <w:webHidden/>
          </w:rPr>
        </w:r>
        <w:r w:rsidR="008B79DD">
          <w:rPr>
            <w:noProof/>
            <w:webHidden/>
          </w:rPr>
          <w:fldChar w:fldCharType="separate"/>
        </w:r>
        <w:r w:rsidR="008B79DD">
          <w:rPr>
            <w:noProof/>
            <w:webHidden/>
          </w:rPr>
          <w:t>i</w:t>
        </w:r>
        <w:r w:rsidR="008B79DD">
          <w:rPr>
            <w:noProof/>
            <w:webHidden/>
          </w:rPr>
          <w:fldChar w:fldCharType="end"/>
        </w:r>
      </w:hyperlink>
    </w:p>
    <w:p w14:paraId="0314CCB8" w14:textId="77777777" w:rsidR="008B79DD" w:rsidRDefault="006D7B13">
      <w:pPr>
        <w:pStyle w:val="TOC2"/>
        <w:tabs>
          <w:tab w:val="left" w:pos="660"/>
          <w:tab w:val="right" w:leader="dot" w:pos="9077"/>
        </w:tabs>
        <w:rPr>
          <w:rFonts w:asciiTheme="minorHAnsi" w:hAnsiTheme="minorHAnsi"/>
          <w:noProof/>
          <w:lang w:eastAsia="en-GB"/>
        </w:rPr>
      </w:pPr>
      <w:hyperlink w:anchor="_Toc486837741" w:history="1">
        <w:r w:rsidR="008B79DD" w:rsidRPr="00D74794">
          <w:rPr>
            <w:rStyle w:val="Hyperlink"/>
            <w:noProof/>
          </w:rPr>
          <w:t>c)</w:t>
        </w:r>
        <w:r w:rsidR="008B79DD">
          <w:rPr>
            <w:rFonts w:asciiTheme="minorHAnsi" w:hAnsiTheme="minorHAnsi"/>
            <w:noProof/>
            <w:lang w:eastAsia="en-GB"/>
          </w:rPr>
          <w:tab/>
        </w:r>
        <w:r w:rsidR="008B79DD" w:rsidRPr="00D74794">
          <w:rPr>
            <w:rStyle w:val="Hyperlink"/>
            <w:noProof/>
          </w:rPr>
          <w:t>Compliance with the General Conditions</w:t>
        </w:r>
        <w:r w:rsidR="008B79DD">
          <w:rPr>
            <w:noProof/>
            <w:webHidden/>
          </w:rPr>
          <w:tab/>
        </w:r>
        <w:r w:rsidR="008B79DD">
          <w:rPr>
            <w:noProof/>
            <w:webHidden/>
          </w:rPr>
          <w:fldChar w:fldCharType="begin"/>
        </w:r>
        <w:r w:rsidR="008B79DD">
          <w:rPr>
            <w:noProof/>
            <w:webHidden/>
          </w:rPr>
          <w:instrText xml:space="preserve"> PAGEREF _Toc486837741 \h </w:instrText>
        </w:r>
        <w:r w:rsidR="008B79DD">
          <w:rPr>
            <w:noProof/>
            <w:webHidden/>
          </w:rPr>
        </w:r>
        <w:r w:rsidR="008B79DD">
          <w:rPr>
            <w:noProof/>
            <w:webHidden/>
          </w:rPr>
          <w:fldChar w:fldCharType="separate"/>
        </w:r>
        <w:r w:rsidR="008B79DD">
          <w:rPr>
            <w:noProof/>
            <w:webHidden/>
          </w:rPr>
          <w:t>ii</w:t>
        </w:r>
        <w:r w:rsidR="008B79DD">
          <w:rPr>
            <w:noProof/>
            <w:webHidden/>
          </w:rPr>
          <w:fldChar w:fldCharType="end"/>
        </w:r>
      </w:hyperlink>
    </w:p>
    <w:p w14:paraId="4FFE5728" w14:textId="77777777" w:rsidR="008B79DD" w:rsidRDefault="006D7B13">
      <w:pPr>
        <w:pStyle w:val="TOC2"/>
        <w:tabs>
          <w:tab w:val="left" w:pos="660"/>
          <w:tab w:val="right" w:leader="dot" w:pos="9077"/>
        </w:tabs>
        <w:rPr>
          <w:rFonts w:asciiTheme="minorHAnsi" w:hAnsiTheme="minorHAnsi"/>
          <w:noProof/>
          <w:lang w:eastAsia="en-GB"/>
        </w:rPr>
      </w:pPr>
      <w:hyperlink w:anchor="_Toc486837742" w:history="1">
        <w:r w:rsidR="008B79DD" w:rsidRPr="00D74794">
          <w:rPr>
            <w:rStyle w:val="Hyperlink"/>
            <w:noProof/>
          </w:rPr>
          <w:t>d)</w:t>
        </w:r>
        <w:r w:rsidR="008B79DD">
          <w:rPr>
            <w:rFonts w:asciiTheme="minorHAnsi" w:hAnsiTheme="minorHAnsi"/>
            <w:noProof/>
            <w:lang w:eastAsia="en-GB"/>
          </w:rPr>
          <w:tab/>
        </w:r>
        <w:r w:rsidR="008B79DD" w:rsidRPr="00D74794">
          <w:rPr>
            <w:rStyle w:val="Hyperlink"/>
            <w:noProof/>
          </w:rPr>
          <w:t>Compliance with the Specific Conditions</w:t>
        </w:r>
        <w:r w:rsidR="008B79DD">
          <w:rPr>
            <w:noProof/>
            <w:webHidden/>
          </w:rPr>
          <w:tab/>
        </w:r>
        <w:r w:rsidR="008B79DD">
          <w:rPr>
            <w:noProof/>
            <w:webHidden/>
          </w:rPr>
          <w:fldChar w:fldCharType="begin"/>
        </w:r>
        <w:r w:rsidR="008B79DD">
          <w:rPr>
            <w:noProof/>
            <w:webHidden/>
          </w:rPr>
          <w:instrText xml:space="preserve"> PAGEREF _Toc486837742 \h </w:instrText>
        </w:r>
        <w:r w:rsidR="008B79DD">
          <w:rPr>
            <w:noProof/>
            <w:webHidden/>
          </w:rPr>
        </w:r>
        <w:r w:rsidR="008B79DD">
          <w:rPr>
            <w:noProof/>
            <w:webHidden/>
          </w:rPr>
          <w:fldChar w:fldCharType="separate"/>
        </w:r>
        <w:r w:rsidR="008B79DD">
          <w:rPr>
            <w:noProof/>
            <w:webHidden/>
          </w:rPr>
          <w:t>iii</w:t>
        </w:r>
        <w:r w:rsidR="008B79DD">
          <w:rPr>
            <w:noProof/>
            <w:webHidden/>
          </w:rPr>
          <w:fldChar w:fldCharType="end"/>
        </w:r>
      </w:hyperlink>
    </w:p>
    <w:p w14:paraId="6B6268BB" w14:textId="77777777" w:rsidR="008B79DD" w:rsidRDefault="006D7B13">
      <w:pPr>
        <w:pStyle w:val="TOC3"/>
        <w:rPr>
          <w:rFonts w:asciiTheme="minorHAnsi" w:hAnsiTheme="minorHAnsi"/>
          <w:noProof/>
          <w:lang w:eastAsia="en-GB"/>
        </w:rPr>
      </w:pPr>
      <w:hyperlink w:anchor="_Toc486837743" w:history="1">
        <w:r w:rsidR="008B79DD" w:rsidRPr="00D74794">
          <w:rPr>
            <w:rStyle w:val="Hyperlink"/>
            <w:noProof/>
          </w:rPr>
          <w:t>i)</w:t>
        </w:r>
        <w:r w:rsidR="008B79DD">
          <w:rPr>
            <w:rFonts w:asciiTheme="minorHAnsi" w:hAnsiTheme="minorHAnsi"/>
            <w:noProof/>
            <w:lang w:eastAsia="en-GB"/>
          </w:rPr>
          <w:tab/>
        </w:r>
        <w:r w:rsidR="008B79DD" w:rsidRPr="00D74794">
          <w:rPr>
            <w:rStyle w:val="Hyperlink"/>
            <w:noProof/>
          </w:rPr>
          <w:t>Component 1: Effective Labour Market Management.</w:t>
        </w:r>
        <w:r w:rsidR="008B79DD">
          <w:rPr>
            <w:noProof/>
            <w:webHidden/>
          </w:rPr>
          <w:tab/>
        </w:r>
        <w:r w:rsidR="008B79DD">
          <w:rPr>
            <w:noProof/>
            <w:webHidden/>
          </w:rPr>
          <w:fldChar w:fldCharType="begin"/>
        </w:r>
        <w:r w:rsidR="008B79DD">
          <w:rPr>
            <w:noProof/>
            <w:webHidden/>
          </w:rPr>
          <w:instrText xml:space="preserve"> PAGEREF _Toc486837743 \h </w:instrText>
        </w:r>
        <w:r w:rsidR="008B79DD">
          <w:rPr>
            <w:noProof/>
            <w:webHidden/>
          </w:rPr>
        </w:r>
        <w:r w:rsidR="008B79DD">
          <w:rPr>
            <w:noProof/>
            <w:webHidden/>
          </w:rPr>
          <w:fldChar w:fldCharType="separate"/>
        </w:r>
        <w:r w:rsidR="008B79DD">
          <w:rPr>
            <w:noProof/>
            <w:webHidden/>
          </w:rPr>
          <w:t>iii</w:t>
        </w:r>
        <w:r w:rsidR="008B79DD">
          <w:rPr>
            <w:noProof/>
            <w:webHidden/>
          </w:rPr>
          <w:fldChar w:fldCharType="end"/>
        </w:r>
      </w:hyperlink>
    </w:p>
    <w:p w14:paraId="3958BE8D" w14:textId="77777777" w:rsidR="008B79DD" w:rsidRDefault="006D7B13">
      <w:pPr>
        <w:pStyle w:val="TOC3"/>
        <w:rPr>
          <w:rFonts w:asciiTheme="minorHAnsi" w:hAnsiTheme="minorHAnsi"/>
          <w:noProof/>
          <w:lang w:eastAsia="en-GB"/>
        </w:rPr>
      </w:pPr>
      <w:hyperlink w:anchor="_Toc486837744" w:history="1">
        <w:r w:rsidR="008B79DD" w:rsidRPr="00D74794">
          <w:rPr>
            <w:rStyle w:val="Hyperlink"/>
            <w:noProof/>
          </w:rPr>
          <w:t>ii)</w:t>
        </w:r>
        <w:r w:rsidR="008B79DD">
          <w:rPr>
            <w:rFonts w:asciiTheme="minorHAnsi" w:hAnsiTheme="minorHAnsi"/>
            <w:noProof/>
            <w:lang w:eastAsia="en-GB"/>
          </w:rPr>
          <w:tab/>
        </w:r>
        <w:r w:rsidR="008B79DD" w:rsidRPr="00D74794">
          <w:rPr>
            <w:rStyle w:val="Hyperlink"/>
            <w:noProof/>
          </w:rPr>
          <w:t xml:space="preserve">Component 2: </w:t>
        </w:r>
        <w:r w:rsidR="008B79DD" w:rsidRPr="00D74794">
          <w:rPr>
            <w:rStyle w:val="Hyperlink"/>
            <w:noProof/>
            <w:lang w:eastAsia="en-GB"/>
          </w:rPr>
          <w:t>Enhanced Quality and Relevance of VET System</w:t>
        </w:r>
        <w:r w:rsidR="008B79DD" w:rsidRPr="00D74794">
          <w:rPr>
            <w:rStyle w:val="Hyperlink"/>
            <w:noProof/>
          </w:rPr>
          <w:t>.</w:t>
        </w:r>
        <w:r w:rsidR="008B79DD">
          <w:rPr>
            <w:noProof/>
            <w:webHidden/>
          </w:rPr>
          <w:tab/>
        </w:r>
        <w:r w:rsidR="008B79DD">
          <w:rPr>
            <w:noProof/>
            <w:webHidden/>
          </w:rPr>
          <w:fldChar w:fldCharType="begin"/>
        </w:r>
        <w:r w:rsidR="008B79DD">
          <w:rPr>
            <w:noProof/>
            <w:webHidden/>
          </w:rPr>
          <w:instrText xml:space="preserve"> PAGEREF _Toc486837744 \h </w:instrText>
        </w:r>
        <w:r w:rsidR="008B79DD">
          <w:rPr>
            <w:noProof/>
            <w:webHidden/>
          </w:rPr>
        </w:r>
        <w:r w:rsidR="008B79DD">
          <w:rPr>
            <w:noProof/>
            <w:webHidden/>
          </w:rPr>
          <w:fldChar w:fldCharType="separate"/>
        </w:r>
        <w:r w:rsidR="008B79DD">
          <w:rPr>
            <w:noProof/>
            <w:webHidden/>
          </w:rPr>
          <w:t>v</w:t>
        </w:r>
        <w:r w:rsidR="008B79DD">
          <w:rPr>
            <w:noProof/>
            <w:webHidden/>
          </w:rPr>
          <w:fldChar w:fldCharType="end"/>
        </w:r>
      </w:hyperlink>
    </w:p>
    <w:p w14:paraId="1C93015D" w14:textId="77777777" w:rsidR="008B79DD" w:rsidRDefault="006D7B13">
      <w:pPr>
        <w:pStyle w:val="TOC3"/>
        <w:rPr>
          <w:rFonts w:asciiTheme="minorHAnsi" w:hAnsiTheme="minorHAnsi"/>
          <w:noProof/>
          <w:lang w:eastAsia="en-GB"/>
        </w:rPr>
      </w:pPr>
      <w:hyperlink w:anchor="_Toc486837745" w:history="1">
        <w:r w:rsidR="008B79DD" w:rsidRPr="00D74794">
          <w:rPr>
            <w:rStyle w:val="Hyperlink"/>
            <w:noProof/>
          </w:rPr>
          <w:t>iii)</w:t>
        </w:r>
        <w:r w:rsidR="008B79DD">
          <w:rPr>
            <w:rFonts w:asciiTheme="minorHAnsi" w:hAnsiTheme="minorHAnsi"/>
            <w:noProof/>
            <w:lang w:eastAsia="en-GB"/>
          </w:rPr>
          <w:tab/>
        </w:r>
        <w:r w:rsidR="008B79DD" w:rsidRPr="00D74794">
          <w:rPr>
            <w:rStyle w:val="Hyperlink"/>
            <w:noProof/>
          </w:rPr>
          <w:t xml:space="preserve">Component 3: </w:t>
        </w:r>
        <w:r w:rsidR="008B79DD" w:rsidRPr="00D74794">
          <w:rPr>
            <w:rStyle w:val="Hyperlink"/>
            <w:noProof/>
            <w:lang w:eastAsia="en-GB"/>
          </w:rPr>
          <w:t>Efficient Transition from Training into Employment</w:t>
        </w:r>
        <w:r w:rsidR="008B79DD" w:rsidRPr="00D74794">
          <w:rPr>
            <w:rStyle w:val="Hyperlink"/>
            <w:noProof/>
          </w:rPr>
          <w:t>.</w:t>
        </w:r>
        <w:r w:rsidR="008B79DD">
          <w:rPr>
            <w:noProof/>
            <w:webHidden/>
          </w:rPr>
          <w:tab/>
        </w:r>
        <w:r w:rsidR="008B79DD">
          <w:rPr>
            <w:noProof/>
            <w:webHidden/>
          </w:rPr>
          <w:fldChar w:fldCharType="begin"/>
        </w:r>
        <w:r w:rsidR="008B79DD">
          <w:rPr>
            <w:noProof/>
            <w:webHidden/>
          </w:rPr>
          <w:instrText xml:space="preserve"> PAGEREF _Toc486837745 \h </w:instrText>
        </w:r>
        <w:r w:rsidR="008B79DD">
          <w:rPr>
            <w:noProof/>
            <w:webHidden/>
          </w:rPr>
        </w:r>
        <w:r w:rsidR="008B79DD">
          <w:rPr>
            <w:noProof/>
            <w:webHidden/>
          </w:rPr>
          <w:fldChar w:fldCharType="separate"/>
        </w:r>
        <w:r w:rsidR="008B79DD">
          <w:rPr>
            <w:noProof/>
            <w:webHidden/>
          </w:rPr>
          <w:t>viii</w:t>
        </w:r>
        <w:r w:rsidR="008B79DD">
          <w:rPr>
            <w:noProof/>
            <w:webHidden/>
          </w:rPr>
          <w:fldChar w:fldCharType="end"/>
        </w:r>
      </w:hyperlink>
    </w:p>
    <w:p w14:paraId="4EA813F7" w14:textId="77777777" w:rsidR="008B79DD" w:rsidRDefault="006D7B13">
      <w:pPr>
        <w:pStyle w:val="TOC2"/>
        <w:tabs>
          <w:tab w:val="left" w:pos="660"/>
          <w:tab w:val="right" w:leader="dot" w:pos="9077"/>
        </w:tabs>
        <w:rPr>
          <w:rFonts w:asciiTheme="minorHAnsi" w:hAnsiTheme="minorHAnsi"/>
          <w:noProof/>
          <w:lang w:eastAsia="en-GB"/>
        </w:rPr>
      </w:pPr>
      <w:hyperlink w:anchor="_Toc486837746" w:history="1">
        <w:r w:rsidR="008B79DD" w:rsidRPr="00D74794">
          <w:rPr>
            <w:rStyle w:val="Hyperlink"/>
            <w:noProof/>
          </w:rPr>
          <w:t>f)</w:t>
        </w:r>
        <w:r w:rsidR="008B79DD">
          <w:rPr>
            <w:rFonts w:asciiTheme="minorHAnsi" w:hAnsiTheme="minorHAnsi"/>
            <w:noProof/>
            <w:lang w:eastAsia="en-GB"/>
          </w:rPr>
          <w:tab/>
        </w:r>
        <w:r w:rsidR="008B79DD" w:rsidRPr="00D74794">
          <w:rPr>
            <w:rStyle w:val="Hyperlink"/>
            <w:noProof/>
          </w:rPr>
          <w:t>Conclusions for Disbursement</w:t>
        </w:r>
        <w:r w:rsidR="008B79DD">
          <w:rPr>
            <w:noProof/>
            <w:webHidden/>
          </w:rPr>
          <w:tab/>
        </w:r>
        <w:r w:rsidR="008B79DD">
          <w:rPr>
            <w:noProof/>
            <w:webHidden/>
          </w:rPr>
          <w:fldChar w:fldCharType="begin"/>
        </w:r>
        <w:r w:rsidR="008B79DD">
          <w:rPr>
            <w:noProof/>
            <w:webHidden/>
          </w:rPr>
          <w:instrText xml:space="preserve"> PAGEREF _Toc486837746 \h </w:instrText>
        </w:r>
        <w:r w:rsidR="008B79DD">
          <w:rPr>
            <w:noProof/>
            <w:webHidden/>
          </w:rPr>
        </w:r>
        <w:r w:rsidR="008B79DD">
          <w:rPr>
            <w:noProof/>
            <w:webHidden/>
          </w:rPr>
          <w:fldChar w:fldCharType="separate"/>
        </w:r>
        <w:r w:rsidR="008B79DD">
          <w:rPr>
            <w:noProof/>
            <w:webHidden/>
          </w:rPr>
          <w:t>xiv</w:t>
        </w:r>
        <w:r w:rsidR="008B79DD">
          <w:rPr>
            <w:noProof/>
            <w:webHidden/>
          </w:rPr>
          <w:fldChar w:fldCharType="end"/>
        </w:r>
      </w:hyperlink>
    </w:p>
    <w:p w14:paraId="2112DA00" w14:textId="77777777" w:rsidR="008B79DD" w:rsidRDefault="006D7B13">
      <w:pPr>
        <w:pStyle w:val="TOC1"/>
        <w:rPr>
          <w:rFonts w:asciiTheme="minorHAnsi" w:eastAsiaTheme="minorEastAsia" w:hAnsiTheme="minorHAnsi" w:cstheme="minorBidi"/>
          <w:noProof/>
          <w:lang w:eastAsia="en-GB"/>
        </w:rPr>
      </w:pPr>
      <w:hyperlink w:anchor="_Toc486837747" w:history="1">
        <w:r w:rsidR="008B79DD" w:rsidRPr="00D74794">
          <w:rPr>
            <w:rStyle w:val="Hyperlink"/>
            <w:noProof/>
          </w:rPr>
          <w:t>Contents</w:t>
        </w:r>
        <w:r w:rsidR="008B79DD">
          <w:rPr>
            <w:noProof/>
            <w:webHidden/>
          </w:rPr>
          <w:tab/>
        </w:r>
        <w:r w:rsidR="008B79DD">
          <w:rPr>
            <w:noProof/>
            <w:webHidden/>
          </w:rPr>
          <w:fldChar w:fldCharType="begin"/>
        </w:r>
        <w:r w:rsidR="008B79DD">
          <w:rPr>
            <w:noProof/>
            <w:webHidden/>
          </w:rPr>
          <w:instrText xml:space="preserve"> PAGEREF _Toc486837747 \h </w:instrText>
        </w:r>
        <w:r w:rsidR="008B79DD">
          <w:rPr>
            <w:noProof/>
            <w:webHidden/>
          </w:rPr>
        </w:r>
        <w:r w:rsidR="008B79DD">
          <w:rPr>
            <w:noProof/>
            <w:webHidden/>
          </w:rPr>
          <w:fldChar w:fldCharType="separate"/>
        </w:r>
        <w:r w:rsidR="008B79DD">
          <w:rPr>
            <w:noProof/>
            <w:webHidden/>
          </w:rPr>
          <w:t>i</w:t>
        </w:r>
        <w:r w:rsidR="008B79DD">
          <w:rPr>
            <w:noProof/>
            <w:webHidden/>
          </w:rPr>
          <w:fldChar w:fldCharType="end"/>
        </w:r>
      </w:hyperlink>
    </w:p>
    <w:p w14:paraId="6B4201B9" w14:textId="77777777" w:rsidR="008B79DD" w:rsidRDefault="006D7B13">
      <w:pPr>
        <w:pStyle w:val="TOC1"/>
        <w:rPr>
          <w:rFonts w:asciiTheme="minorHAnsi" w:eastAsiaTheme="minorEastAsia" w:hAnsiTheme="minorHAnsi" w:cstheme="minorBidi"/>
          <w:noProof/>
          <w:lang w:eastAsia="en-GB"/>
        </w:rPr>
      </w:pPr>
      <w:hyperlink w:anchor="_Toc486837748" w:history="1">
        <w:r w:rsidR="008B79DD" w:rsidRPr="00D74794">
          <w:rPr>
            <w:rStyle w:val="Hyperlink"/>
            <w:noProof/>
          </w:rPr>
          <w:t>List of Acronyms and Abbreviations</w:t>
        </w:r>
        <w:r w:rsidR="008B79DD">
          <w:rPr>
            <w:noProof/>
            <w:webHidden/>
          </w:rPr>
          <w:tab/>
        </w:r>
        <w:r w:rsidR="008B79DD">
          <w:rPr>
            <w:noProof/>
            <w:webHidden/>
          </w:rPr>
          <w:fldChar w:fldCharType="begin"/>
        </w:r>
        <w:r w:rsidR="008B79DD">
          <w:rPr>
            <w:noProof/>
            <w:webHidden/>
          </w:rPr>
          <w:instrText xml:space="preserve"> PAGEREF _Toc486837748 \h </w:instrText>
        </w:r>
        <w:r w:rsidR="008B79DD">
          <w:rPr>
            <w:noProof/>
            <w:webHidden/>
          </w:rPr>
        </w:r>
        <w:r w:rsidR="008B79DD">
          <w:rPr>
            <w:noProof/>
            <w:webHidden/>
          </w:rPr>
          <w:fldChar w:fldCharType="separate"/>
        </w:r>
        <w:r w:rsidR="008B79DD">
          <w:rPr>
            <w:noProof/>
            <w:webHidden/>
          </w:rPr>
          <w:t>iii</w:t>
        </w:r>
        <w:r w:rsidR="008B79DD">
          <w:rPr>
            <w:noProof/>
            <w:webHidden/>
          </w:rPr>
          <w:fldChar w:fldCharType="end"/>
        </w:r>
      </w:hyperlink>
    </w:p>
    <w:p w14:paraId="5E48FA3C" w14:textId="77777777" w:rsidR="008B79DD" w:rsidRDefault="006D7B13">
      <w:pPr>
        <w:pStyle w:val="TOC1"/>
        <w:rPr>
          <w:rFonts w:asciiTheme="minorHAnsi" w:eastAsiaTheme="minorEastAsia" w:hAnsiTheme="minorHAnsi" w:cstheme="minorBidi"/>
          <w:noProof/>
          <w:lang w:eastAsia="en-GB"/>
        </w:rPr>
      </w:pPr>
      <w:hyperlink w:anchor="_Toc486837749" w:history="1">
        <w:r w:rsidR="008B79DD" w:rsidRPr="00D74794">
          <w:rPr>
            <w:rStyle w:val="Hyperlink"/>
            <w:noProof/>
          </w:rPr>
          <w:t>1.</w:t>
        </w:r>
        <w:r w:rsidR="008B79DD">
          <w:rPr>
            <w:rFonts w:asciiTheme="minorHAnsi" w:eastAsiaTheme="minorEastAsia" w:hAnsiTheme="minorHAnsi" w:cstheme="minorBidi"/>
            <w:noProof/>
            <w:lang w:eastAsia="en-GB"/>
          </w:rPr>
          <w:tab/>
        </w:r>
        <w:r w:rsidR="008B79DD" w:rsidRPr="00D74794">
          <w:rPr>
            <w:rStyle w:val="Hyperlink"/>
            <w:noProof/>
          </w:rPr>
          <w:t>Introduction</w:t>
        </w:r>
        <w:r w:rsidR="008B79DD">
          <w:rPr>
            <w:noProof/>
            <w:webHidden/>
          </w:rPr>
          <w:tab/>
        </w:r>
        <w:r w:rsidR="008B79DD">
          <w:rPr>
            <w:noProof/>
            <w:webHidden/>
          </w:rPr>
          <w:fldChar w:fldCharType="begin"/>
        </w:r>
        <w:r w:rsidR="008B79DD">
          <w:rPr>
            <w:noProof/>
            <w:webHidden/>
          </w:rPr>
          <w:instrText xml:space="preserve"> PAGEREF _Toc486837749 \h </w:instrText>
        </w:r>
        <w:r w:rsidR="008B79DD">
          <w:rPr>
            <w:noProof/>
            <w:webHidden/>
          </w:rPr>
        </w:r>
        <w:r w:rsidR="008B79DD">
          <w:rPr>
            <w:noProof/>
            <w:webHidden/>
          </w:rPr>
          <w:fldChar w:fldCharType="separate"/>
        </w:r>
        <w:r w:rsidR="008B79DD">
          <w:rPr>
            <w:noProof/>
            <w:webHidden/>
          </w:rPr>
          <w:t>1</w:t>
        </w:r>
        <w:r w:rsidR="008B79DD">
          <w:rPr>
            <w:noProof/>
            <w:webHidden/>
          </w:rPr>
          <w:fldChar w:fldCharType="end"/>
        </w:r>
      </w:hyperlink>
    </w:p>
    <w:p w14:paraId="30B4BC85" w14:textId="77777777" w:rsidR="008B79DD" w:rsidRDefault="006D7B13">
      <w:pPr>
        <w:pStyle w:val="TOC1"/>
        <w:rPr>
          <w:rFonts w:asciiTheme="minorHAnsi" w:eastAsiaTheme="minorEastAsia" w:hAnsiTheme="minorHAnsi" w:cstheme="minorBidi"/>
          <w:noProof/>
          <w:lang w:eastAsia="en-GB"/>
        </w:rPr>
      </w:pPr>
      <w:hyperlink w:anchor="_Toc486837750" w:history="1">
        <w:r w:rsidR="008B79DD" w:rsidRPr="00D74794">
          <w:rPr>
            <w:rStyle w:val="Hyperlink"/>
            <w:noProof/>
          </w:rPr>
          <w:t>2.</w:t>
        </w:r>
        <w:r w:rsidR="008B79DD">
          <w:rPr>
            <w:rFonts w:asciiTheme="minorHAnsi" w:eastAsiaTheme="minorEastAsia" w:hAnsiTheme="minorHAnsi" w:cstheme="minorBidi"/>
            <w:noProof/>
            <w:lang w:eastAsia="en-GB"/>
          </w:rPr>
          <w:tab/>
        </w:r>
        <w:r w:rsidR="008B79DD" w:rsidRPr="00D74794">
          <w:rPr>
            <w:rStyle w:val="Hyperlink"/>
            <w:noProof/>
          </w:rPr>
          <w:t>ENP AAP2013 SPSP: Employment and VET</w:t>
        </w:r>
        <w:r w:rsidR="008B79DD">
          <w:rPr>
            <w:noProof/>
            <w:webHidden/>
          </w:rPr>
          <w:tab/>
        </w:r>
        <w:r w:rsidR="008B79DD">
          <w:rPr>
            <w:noProof/>
            <w:webHidden/>
          </w:rPr>
          <w:fldChar w:fldCharType="begin"/>
        </w:r>
        <w:r w:rsidR="008B79DD">
          <w:rPr>
            <w:noProof/>
            <w:webHidden/>
          </w:rPr>
          <w:instrText xml:space="preserve"> PAGEREF _Toc486837750 \h </w:instrText>
        </w:r>
        <w:r w:rsidR="008B79DD">
          <w:rPr>
            <w:noProof/>
            <w:webHidden/>
          </w:rPr>
        </w:r>
        <w:r w:rsidR="008B79DD">
          <w:rPr>
            <w:noProof/>
            <w:webHidden/>
          </w:rPr>
          <w:fldChar w:fldCharType="separate"/>
        </w:r>
        <w:r w:rsidR="008B79DD">
          <w:rPr>
            <w:noProof/>
            <w:webHidden/>
          </w:rPr>
          <w:t>2</w:t>
        </w:r>
        <w:r w:rsidR="008B79DD">
          <w:rPr>
            <w:noProof/>
            <w:webHidden/>
          </w:rPr>
          <w:fldChar w:fldCharType="end"/>
        </w:r>
      </w:hyperlink>
    </w:p>
    <w:p w14:paraId="20B1034C" w14:textId="77777777" w:rsidR="008B79DD" w:rsidRDefault="006D7B13">
      <w:pPr>
        <w:pStyle w:val="TOC1"/>
        <w:rPr>
          <w:rFonts w:asciiTheme="minorHAnsi" w:eastAsiaTheme="minorEastAsia" w:hAnsiTheme="minorHAnsi" w:cstheme="minorBidi"/>
          <w:noProof/>
          <w:lang w:eastAsia="en-GB"/>
        </w:rPr>
      </w:pPr>
      <w:hyperlink w:anchor="_Toc486837751" w:history="1">
        <w:r w:rsidR="008B79DD" w:rsidRPr="00D74794">
          <w:rPr>
            <w:rStyle w:val="Hyperlink"/>
            <w:noProof/>
          </w:rPr>
          <w:t>3.</w:t>
        </w:r>
        <w:r w:rsidR="008B79DD">
          <w:rPr>
            <w:rFonts w:asciiTheme="minorHAnsi" w:eastAsiaTheme="minorEastAsia" w:hAnsiTheme="minorHAnsi" w:cstheme="minorBidi"/>
            <w:noProof/>
            <w:lang w:eastAsia="en-GB"/>
          </w:rPr>
          <w:tab/>
        </w:r>
        <w:r w:rsidR="008B79DD" w:rsidRPr="00D74794">
          <w:rPr>
            <w:rStyle w:val="Hyperlink"/>
            <w:noProof/>
          </w:rPr>
          <w:t>Conditions for Release of the Fourth Instalment</w:t>
        </w:r>
        <w:r w:rsidR="008B79DD">
          <w:rPr>
            <w:noProof/>
            <w:webHidden/>
          </w:rPr>
          <w:tab/>
        </w:r>
        <w:r w:rsidR="008B79DD">
          <w:rPr>
            <w:noProof/>
            <w:webHidden/>
          </w:rPr>
          <w:fldChar w:fldCharType="begin"/>
        </w:r>
        <w:r w:rsidR="008B79DD">
          <w:rPr>
            <w:noProof/>
            <w:webHidden/>
          </w:rPr>
          <w:instrText xml:space="preserve"> PAGEREF _Toc486837751 \h </w:instrText>
        </w:r>
        <w:r w:rsidR="008B79DD">
          <w:rPr>
            <w:noProof/>
            <w:webHidden/>
          </w:rPr>
        </w:r>
        <w:r w:rsidR="008B79DD">
          <w:rPr>
            <w:noProof/>
            <w:webHidden/>
          </w:rPr>
          <w:fldChar w:fldCharType="separate"/>
        </w:r>
        <w:r w:rsidR="008B79DD">
          <w:rPr>
            <w:noProof/>
            <w:webHidden/>
          </w:rPr>
          <w:t>3</w:t>
        </w:r>
        <w:r w:rsidR="008B79DD">
          <w:rPr>
            <w:noProof/>
            <w:webHidden/>
          </w:rPr>
          <w:fldChar w:fldCharType="end"/>
        </w:r>
      </w:hyperlink>
    </w:p>
    <w:p w14:paraId="41D8514D" w14:textId="77777777" w:rsidR="008B79DD" w:rsidRDefault="006D7B13">
      <w:pPr>
        <w:pStyle w:val="TOC1"/>
        <w:rPr>
          <w:rFonts w:asciiTheme="minorHAnsi" w:eastAsiaTheme="minorEastAsia" w:hAnsiTheme="minorHAnsi" w:cstheme="minorBidi"/>
          <w:noProof/>
          <w:lang w:eastAsia="en-GB"/>
        </w:rPr>
      </w:pPr>
      <w:hyperlink w:anchor="_Toc486837752" w:history="1">
        <w:r w:rsidR="008B79DD" w:rsidRPr="00D74794">
          <w:rPr>
            <w:rStyle w:val="Hyperlink"/>
            <w:noProof/>
          </w:rPr>
          <w:t>4.</w:t>
        </w:r>
        <w:r w:rsidR="008B79DD">
          <w:rPr>
            <w:rFonts w:asciiTheme="minorHAnsi" w:eastAsiaTheme="minorEastAsia" w:hAnsiTheme="minorHAnsi" w:cstheme="minorBidi"/>
            <w:noProof/>
            <w:lang w:eastAsia="en-GB"/>
          </w:rPr>
          <w:tab/>
        </w:r>
        <w:r w:rsidR="008B79DD" w:rsidRPr="00D74794">
          <w:rPr>
            <w:rStyle w:val="Hyperlink"/>
            <w:noProof/>
          </w:rPr>
          <w:t>Compliance with the General Conditions</w:t>
        </w:r>
        <w:r w:rsidR="008B79DD">
          <w:rPr>
            <w:noProof/>
            <w:webHidden/>
          </w:rPr>
          <w:tab/>
        </w:r>
        <w:r w:rsidR="008B79DD">
          <w:rPr>
            <w:noProof/>
            <w:webHidden/>
          </w:rPr>
          <w:fldChar w:fldCharType="begin"/>
        </w:r>
        <w:r w:rsidR="008B79DD">
          <w:rPr>
            <w:noProof/>
            <w:webHidden/>
          </w:rPr>
          <w:instrText xml:space="preserve"> PAGEREF _Toc486837752 \h </w:instrText>
        </w:r>
        <w:r w:rsidR="008B79DD">
          <w:rPr>
            <w:noProof/>
            <w:webHidden/>
          </w:rPr>
        </w:r>
        <w:r w:rsidR="008B79DD">
          <w:rPr>
            <w:noProof/>
            <w:webHidden/>
          </w:rPr>
          <w:fldChar w:fldCharType="separate"/>
        </w:r>
        <w:r w:rsidR="008B79DD">
          <w:rPr>
            <w:noProof/>
            <w:webHidden/>
          </w:rPr>
          <w:t>4</w:t>
        </w:r>
        <w:r w:rsidR="008B79DD">
          <w:rPr>
            <w:noProof/>
            <w:webHidden/>
          </w:rPr>
          <w:fldChar w:fldCharType="end"/>
        </w:r>
      </w:hyperlink>
    </w:p>
    <w:p w14:paraId="22B3D6E2" w14:textId="77777777" w:rsidR="008B79DD" w:rsidRDefault="006D7B13">
      <w:pPr>
        <w:pStyle w:val="TOC2"/>
        <w:tabs>
          <w:tab w:val="left" w:pos="660"/>
          <w:tab w:val="right" w:leader="dot" w:pos="9077"/>
        </w:tabs>
        <w:rPr>
          <w:rFonts w:asciiTheme="minorHAnsi" w:hAnsiTheme="minorHAnsi"/>
          <w:noProof/>
          <w:lang w:eastAsia="en-GB"/>
        </w:rPr>
      </w:pPr>
      <w:hyperlink w:anchor="_Toc486837753" w:history="1">
        <w:r w:rsidR="008B79DD" w:rsidRPr="00D74794">
          <w:rPr>
            <w:rStyle w:val="Hyperlink"/>
            <w:noProof/>
          </w:rPr>
          <w:t>a)</w:t>
        </w:r>
        <w:r w:rsidR="008B79DD">
          <w:rPr>
            <w:rFonts w:asciiTheme="minorHAnsi" w:hAnsiTheme="minorHAnsi"/>
            <w:noProof/>
            <w:lang w:eastAsia="en-GB"/>
          </w:rPr>
          <w:tab/>
        </w:r>
        <w:r w:rsidR="008B79DD" w:rsidRPr="00D74794">
          <w:rPr>
            <w:rStyle w:val="Hyperlink"/>
            <w:noProof/>
          </w:rPr>
          <w:t>Employment and VET Policy</w:t>
        </w:r>
        <w:r w:rsidR="008B79DD">
          <w:rPr>
            <w:noProof/>
            <w:webHidden/>
          </w:rPr>
          <w:tab/>
        </w:r>
        <w:r w:rsidR="008B79DD">
          <w:rPr>
            <w:noProof/>
            <w:webHidden/>
          </w:rPr>
          <w:fldChar w:fldCharType="begin"/>
        </w:r>
        <w:r w:rsidR="008B79DD">
          <w:rPr>
            <w:noProof/>
            <w:webHidden/>
          </w:rPr>
          <w:instrText xml:space="preserve"> PAGEREF _Toc486837753 \h </w:instrText>
        </w:r>
        <w:r w:rsidR="008B79DD">
          <w:rPr>
            <w:noProof/>
            <w:webHidden/>
          </w:rPr>
        </w:r>
        <w:r w:rsidR="008B79DD">
          <w:rPr>
            <w:noProof/>
            <w:webHidden/>
          </w:rPr>
          <w:fldChar w:fldCharType="separate"/>
        </w:r>
        <w:r w:rsidR="008B79DD">
          <w:rPr>
            <w:noProof/>
            <w:webHidden/>
          </w:rPr>
          <w:t>5</w:t>
        </w:r>
        <w:r w:rsidR="008B79DD">
          <w:rPr>
            <w:noProof/>
            <w:webHidden/>
          </w:rPr>
          <w:fldChar w:fldCharType="end"/>
        </w:r>
      </w:hyperlink>
    </w:p>
    <w:p w14:paraId="684762C2" w14:textId="77777777" w:rsidR="008B79DD" w:rsidRDefault="006D7B13">
      <w:pPr>
        <w:pStyle w:val="TOC3"/>
        <w:rPr>
          <w:rFonts w:asciiTheme="minorHAnsi" w:hAnsiTheme="minorHAnsi"/>
          <w:noProof/>
          <w:lang w:eastAsia="en-GB"/>
        </w:rPr>
      </w:pPr>
      <w:hyperlink w:anchor="_Toc486837754" w:history="1">
        <w:r w:rsidR="008B79DD" w:rsidRPr="00D74794">
          <w:rPr>
            <w:rStyle w:val="Hyperlink"/>
            <w:noProof/>
          </w:rPr>
          <w:t>i)</w:t>
        </w:r>
        <w:r w:rsidR="008B79DD">
          <w:rPr>
            <w:rFonts w:asciiTheme="minorHAnsi" w:hAnsiTheme="minorHAnsi"/>
            <w:noProof/>
            <w:lang w:eastAsia="en-GB"/>
          </w:rPr>
          <w:tab/>
        </w:r>
        <w:r w:rsidR="008B79DD" w:rsidRPr="00D74794">
          <w:rPr>
            <w:rStyle w:val="Hyperlink"/>
            <w:noProof/>
          </w:rPr>
          <w:t>Labour Market/Employment Policy</w:t>
        </w:r>
        <w:r w:rsidR="008B79DD">
          <w:rPr>
            <w:noProof/>
            <w:webHidden/>
          </w:rPr>
          <w:tab/>
        </w:r>
        <w:r w:rsidR="008B79DD">
          <w:rPr>
            <w:noProof/>
            <w:webHidden/>
          </w:rPr>
          <w:fldChar w:fldCharType="begin"/>
        </w:r>
        <w:r w:rsidR="008B79DD">
          <w:rPr>
            <w:noProof/>
            <w:webHidden/>
          </w:rPr>
          <w:instrText xml:space="preserve"> PAGEREF _Toc486837754 \h </w:instrText>
        </w:r>
        <w:r w:rsidR="008B79DD">
          <w:rPr>
            <w:noProof/>
            <w:webHidden/>
          </w:rPr>
        </w:r>
        <w:r w:rsidR="008B79DD">
          <w:rPr>
            <w:noProof/>
            <w:webHidden/>
          </w:rPr>
          <w:fldChar w:fldCharType="separate"/>
        </w:r>
        <w:r w:rsidR="008B79DD">
          <w:rPr>
            <w:noProof/>
            <w:webHidden/>
          </w:rPr>
          <w:t>5</w:t>
        </w:r>
        <w:r w:rsidR="008B79DD">
          <w:rPr>
            <w:noProof/>
            <w:webHidden/>
          </w:rPr>
          <w:fldChar w:fldCharType="end"/>
        </w:r>
      </w:hyperlink>
    </w:p>
    <w:p w14:paraId="15A49155" w14:textId="77777777" w:rsidR="008B79DD" w:rsidRDefault="006D7B13">
      <w:pPr>
        <w:pStyle w:val="TOC3"/>
        <w:rPr>
          <w:rFonts w:asciiTheme="minorHAnsi" w:hAnsiTheme="minorHAnsi"/>
          <w:noProof/>
          <w:lang w:eastAsia="en-GB"/>
        </w:rPr>
      </w:pPr>
      <w:hyperlink w:anchor="_Toc486837755" w:history="1">
        <w:r w:rsidR="008B79DD" w:rsidRPr="00D74794">
          <w:rPr>
            <w:rStyle w:val="Hyperlink"/>
            <w:noProof/>
          </w:rPr>
          <w:t>ii)</w:t>
        </w:r>
        <w:r w:rsidR="008B79DD">
          <w:rPr>
            <w:rFonts w:asciiTheme="minorHAnsi" w:hAnsiTheme="minorHAnsi"/>
            <w:noProof/>
            <w:lang w:eastAsia="en-GB"/>
          </w:rPr>
          <w:tab/>
        </w:r>
        <w:r w:rsidR="008B79DD" w:rsidRPr="00D74794">
          <w:rPr>
            <w:rStyle w:val="Hyperlink"/>
            <w:noProof/>
          </w:rPr>
          <w:t>Vocational Education and Training (VET) Policy</w:t>
        </w:r>
        <w:r w:rsidR="008B79DD">
          <w:rPr>
            <w:noProof/>
            <w:webHidden/>
          </w:rPr>
          <w:tab/>
        </w:r>
        <w:r w:rsidR="008B79DD">
          <w:rPr>
            <w:noProof/>
            <w:webHidden/>
          </w:rPr>
          <w:fldChar w:fldCharType="begin"/>
        </w:r>
        <w:r w:rsidR="008B79DD">
          <w:rPr>
            <w:noProof/>
            <w:webHidden/>
          </w:rPr>
          <w:instrText xml:space="preserve"> PAGEREF _Toc486837755 \h </w:instrText>
        </w:r>
        <w:r w:rsidR="008B79DD">
          <w:rPr>
            <w:noProof/>
            <w:webHidden/>
          </w:rPr>
        </w:r>
        <w:r w:rsidR="008B79DD">
          <w:rPr>
            <w:noProof/>
            <w:webHidden/>
          </w:rPr>
          <w:fldChar w:fldCharType="separate"/>
        </w:r>
        <w:r w:rsidR="008B79DD">
          <w:rPr>
            <w:noProof/>
            <w:webHidden/>
          </w:rPr>
          <w:t>8</w:t>
        </w:r>
        <w:r w:rsidR="008B79DD">
          <w:rPr>
            <w:noProof/>
            <w:webHidden/>
          </w:rPr>
          <w:fldChar w:fldCharType="end"/>
        </w:r>
      </w:hyperlink>
    </w:p>
    <w:p w14:paraId="65683016" w14:textId="77777777" w:rsidR="008B79DD" w:rsidRDefault="006D7B13">
      <w:pPr>
        <w:pStyle w:val="TOC3"/>
        <w:rPr>
          <w:rFonts w:asciiTheme="minorHAnsi" w:hAnsiTheme="minorHAnsi"/>
          <w:noProof/>
          <w:lang w:eastAsia="en-GB"/>
        </w:rPr>
      </w:pPr>
      <w:hyperlink w:anchor="_Toc486837756" w:history="1">
        <w:r w:rsidR="008B79DD" w:rsidRPr="00D74794">
          <w:rPr>
            <w:rStyle w:val="Hyperlink"/>
            <w:noProof/>
          </w:rPr>
          <w:t>iii)</w:t>
        </w:r>
        <w:r w:rsidR="008B79DD">
          <w:rPr>
            <w:rFonts w:asciiTheme="minorHAnsi" w:hAnsiTheme="minorHAnsi"/>
            <w:noProof/>
            <w:lang w:eastAsia="en-GB"/>
          </w:rPr>
          <w:tab/>
        </w:r>
        <w:r w:rsidR="008B79DD" w:rsidRPr="00D74794">
          <w:rPr>
            <w:rStyle w:val="Hyperlink"/>
            <w:noProof/>
          </w:rPr>
          <w:t>EVET Council</w:t>
        </w:r>
        <w:r w:rsidR="008B79DD">
          <w:rPr>
            <w:noProof/>
            <w:webHidden/>
          </w:rPr>
          <w:tab/>
        </w:r>
        <w:r w:rsidR="008B79DD">
          <w:rPr>
            <w:noProof/>
            <w:webHidden/>
          </w:rPr>
          <w:fldChar w:fldCharType="begin"/>
        </w:r>
        <w:r w:rsidR="008B79DD">
          <w:rPr>
            <w:noProof/>
            <w:webHidden/>
          </w:rPr>
          <w:instrText xml:space="preserve"> PAGEREF _Toc486837756 \h </w:instrText>
        </w:r>
        <w:r w:rsidR="008B79DD">
          <w:rPr>
            <w:noProof/>
            <w:webHidden/>
          </w:rPr>
        </w:r>
        <w:r w:rsidR="008B79DD">
          <w:rPr>
            <w:noProof/>
            <w:webHidden/>
          </w:rPr>
          <w:fldChar w:fldCharType="separate"/>
        </w:r>
        <w:r w:rsidR="008B79DD">
          <w:rPr>
            <w:noProof/>
            <w:webHidden/>
          </w:rPr>
          <w:t>14</w:t>
        </w:r>
        <w:r w:rsidR="008B79DD">
          <w:rPr>
            <w:noProof/>
            <w:webHidden/>
          </w:rPr>
          <w:fldChar w:fldCharType="end"/>
        </w:r>
      </w:hyperlink>
    </w:p>
    <w:p w14:paraId="69099D66" w14:textId="77777777" w:rsidR="008B79DD" w:rsidRDefault="006D7B13">
      <w:pPr>
        <w:pStyle w:val="TOC2"/>
        <w:tabs>
          <w:tab w:val="left" w:pos="660"/>
          <w:tab w:val="right" w:leader="dot" w:pos="9077"/>
        </w:tabs>
        <w:rPr>
          <w:rFonts w:asciiTheme="minorHAnsi" w:hAnsiTheme="minorHAnsi"/>
          <w:noProof/>
          <w:lang w:eastAsia="en-GB"/>
        </w:rPr>
      </w:pPr>
      <w:hyperlink w:anchor="_Toc486837757" w:history="1">
        <w:r w:rsidR="008B79DD" w:rsidRPr="00D74794">
          <w:rPr>
            <w:rStyle w:val="Hyperlink"/>
            <w:noProof/>
          </w:rPr>
          <w:t>b)</w:t>
        </w:r>
        <w:r w:rsidR="008B79DD">
          <w:rPr>
            <w:rFonts w:asciiTheme="minorHAnsi" w:hAnsiTheme="minorHAnsi"/>
            <w:noProof/>
            <w:lang w:eastAsia="en-GB"/>
          </w:rPr>
          <w:tab/>
        </w:r>
        <w:r w:rsidR="008B79DD" w:rsidRPr="00D74794">
          <w:rPr>
            <w:rStyle w:val="Hyperlink"/>
            <w:noProof/>
          </w:rPr>
          <w:t>Macroeconomic Stability</w:t>
        </w:r>
        <w:r w:rsidR="008B79DD">
          <w:rPr>
            <w:noProof/>
            <w:webHidden/>
          </w:rPr>
          <w:tab/>
        </w:r>
        <w:r w:rsidR="008B79DD">
          <w:rPr>
            <w:noProof/>
            <w:webHidden/>
          </w:rPr>
          <w:fldChar w:fldCharType="begin"/>
        </w:r>
        <w:r w:rsidR="008B79DD">
          <w:rPr>
            <w:noProof/>
            <w:webHidden/>
          </w:rPr>
          <w:instrText xml:space="preserve"> PAGEREF _Toc486837757 \h </w:instrText>
        </w:r>
        <w:r w:rsidR="008B79DD">
          <w:rPr>
            <w:noProof/>
            <w:webHidden/>
          </w:rPr>
        </w:r>
        <w:r w:rsidR="008B79DD">
          <w:rPr>
            <w:noProof/>
            <w:webHidden/>
          </w:rPr>
          <w:fldChar w:fldCharType="separate"/>
        </w:r>
        <w:r w:rsidR="008B79DD">
          <w:rPr>
            <w:noProof/>
            <w:webHidden/>
          </w:rPr>
          <w:t>16</w:t>
        </w:r>
        <w:r w:rsidR="008B79DD">
          <w:rPr>
            <w:noProof/>
            <w:webHidden/>
          </w:rPr>
          <w:fldChar w:fldCharType="end"/>
        </w:r>
      </w:hyperlink>
    </w:p>
    <w:p w14:paraId="30E830FD" w14:textId="77777777" w:rsidR="008B79DD" w:rsidRDefault="006D7B13">
      <w:pPr>
        <w:pStyle w:val="TOC2"/>
        <w:tabs>
          <w:tab w:val="left" w:pos="660"/>
          <w:tab w:val="right" w:leader="dot" w:pos="9077"/>
        </w:tabs>
        <w:rPr>
          <w:rFonts w:asciiTheme="minorHAnsi" w:hAnsiTheme="minorHAnsi"/>
          <w:noProof/>
          <w:lang w:eastAsia="en-GB"/>
        </w:rPr>
      </w:pPr>
      <w:hyperlink w:anchor="_Toc486837758" w:history="1">
        <w:r w:rsidR="008B79DD" w:rsidRPr="00D74794">
          <w:rPr>
            <w:rStyle w:val="Hyperlink"/>
            <w:noProof/>
          </w:rPr>
          <w:t>c)</w:t>
        </w:r>
        <w:r w:rsidR="008B79DD">
          <w:rPr>
            <w:rFonts w:asciiTheme="minorHAnsi" w:hAnsiTheme="minorHAnsi"/>
            <w:noProof/>
            <w:lang w:eastAsia="en-GB"/>
          </w:rPr>
          <w:tab/>
        </w:r>
        <w:r w:rsidR="008B79DD" w:rsidRPr="00D74794">
          <w:rPr>
            <w:rStyle w:val="Hyperlink"/>
            <w:noProof/>
          </w:rPr>
          <w:t>Public Finance Management</w:t>
        </w:r>
        <w:r w:rsidR="008B79DD">
          <w:rPr>
            <w:noProof/>
            <w:webHidden/>
          </w:rPr>
          <w:tab/>
        </w:r>
        <w:r w:rsidR="008B79DD">
          <w:rPr>
            <w:noProof/>
            <w:webHidden/>
          </w:rPr>
          <w:fldChar w:fldCharType="begin"/>
        </w:r>
        <w:r w:rsidR="008B79DD">
          <w:rPr>
            <w:noProof/>
            <w:webHidden/>
          </w:rPr>
          <w:instrText xml:space="preserve"> PAGEREF _Toc486837758 \h </w:instrText>
        </w:r>
        <w:r w:rsidR="008B79DD">
          <w:rPr>
            <w:noProof/>
            <w:webHidden/>
          </w:rPr>
        </w:r>
        <w:r w:rsidR="008B79DD">
          <w:rPr>
            <w:noProof/>
            <w:webHidden/>
          </w:rPr>
          <w:fldChar w:fldCharType="separate"/>
        </w:r>
        <w:r w:rsidR="008B79DD">
          <w:rPr>
            <w:noProof/>
            <w:webHidden/>
          </w:rPr>
          <w:t>17</w:t>
        </w:r>
        <w:r w:rsidR="008B79DD">
          <w:rPr>
            <w:noProof/>
            <w:webHidden/>
          </w:rPr>
          <w:fldChar w:fldCharType="end"/>
        </w:r>
      </w:hyperlink>
    </w:p>
    <w:p w14:paraId="56AC3911" w14:textId="77777777" w:rsidR="008B79DD" w:rsidRDefault="006D7B13">
      <w:pPr>
        <w:pStyle w:val="TOC2"/>
        <w:tabs>
          <w:tab w:val="left" w:pos="660"/>
          <w:tab w:val="right" w:leader="dot" w:pos="9077"/>
        </w:tabs>
        <w:rPr>
          <w:rFonts w:asciiTheme="minorHAnsi" w:hAnsiTheme="minorHAnsi"/>
          <w:noProof/>
          <w:lang w:eastAsia="en-GB"/>
        </w:rPr>
      </w:pPr>
      <w:hyperlink w:anchor="_Toc486837759" w:history="1">
        <w:r w:rsidR="008B79DD" w:rsidRPr="00D74794">
          <w:rPr>
            <w:rStyle w:val="Hyperlink"/>
            <w:noProof/>
          </w:rPr>
          <w:t>d)</w:t>
        </w:r>
        <w:r w:rsidR="008B79DD">
          <w:rPr>
            <w:rFonts w:asciiTheme="minorHAnsi" w:hAnsiTheme="minorHAnsi"/>
            <w:noProof/>
            <w:lang w:eastAsia="en-GB"/>
          </w:rPr>
          <w:tab/>
        </w:r>
        <w:r w:rsidR="008B79DD" w:rsidRPr="00D74794">
          <w:rPr>
            <w:rStyle w:val="Hyperlink"/>
            <w:noProof/>
          </w:rPr>
          <w:t>Transparency and Oversight of Budget</w:t>
        </w:r>
        <w:r w:rsidR="008B79DD">
          <w:rPr>
            <w:noProof/>
            <w:webHidden/>
          </w:rPr>
          <w:tab/>
        </w:r>
        <w:r w:rsidR="008B79DD">
          <w:rPr>
            <w:noProof/>
            <w:webHidden/>
          </w:rPr>
          <w:fldChar w:fldCharType="begin"/>
        </w:r>
        <w:r w:rsidR="008B79DD">
          <w:rPr>
            <w:noProof/>
            <w:webHidden/>
          </w:rPr>
          <w:instrText xml:space="preserve"> PAGEREF _Toc486837759 \h </w:instrText>
        </w:r>
        <w:r w:rsidR="008B79DD">
          <w:rPr>
            <w:noProof/>
            <w:webHidden/>
          </w:rPr>
        </w:r>
        <w:r w:rsidR="008B79DD">
          <w:rPr>
            <w:noProof/>
            <w:webHidden/>
          </w:rPr>
          <w:fldChar w:fldCharType="separate"/>
        </w:r>
        <w:r w:rsidR="008B79DD">
          <w:rPr>
            <w:noProof/>
            <w:webHidden/>
          </w:rPr>
          <w:t>20</w:t>
        </w:r>
        <w:r w:rsidR="008B79DD">
          <w:rPr>
            <w:noProof/>
            <w:webHidden/>
          </w:rPr>
          <w:fldChar w:fldCharType="end"/>
        </w:r>
      </w:hyperlink>
    </w:p>
    <w:p w14:paraId="2816353E" w14:textId="77777777" w:rsidR="008B79DD" w:rsidRDefault="006D7B13">
      <w:pPr>
        <w:pStyle w:val="TOC1"/>
        <w:rPr>
          <w:rFonts w:asciiTheme="minorHAnsi" w:eastAsiaTheme="minorEastAsia" w:hAnsiTheme="minorHAnsi" w:cstheme="minorBidi"/>
          <w:noProof/>
          <w:lang w:eastAsia="en-GB"/>
        </w:rPr>
      </w:pPr>
      <w:hyperlink w:anchor="_Toc486837760" w:history="1">
        <w:r w:rsidR="008B79DD" w:rsidRPr="00D74794">
          <w:rPr>
            <w:rStyle w:val="Hyperlink"/>
            <w:noProof/>
          </w:rPr>
          <w:t>5.</w:t>
        </w:r>
        <w:r w:rsidR="008B79DD">
          <w:rPr>
            <w:rFonts w:asciiTheme="minorHAnsi" w:eastAsiaTheme="minorEastAsia" w:hAnsiTheme="minorHAnsi" w:cstheme="minorBidi"/>
            <w:noProof/>
            <w:lang w:eastAsia="en-GB"/>
          </w:rPr>
          <w:tab/>
        </w:r>
        <w:r w:rsidR="008B79DD" w:rsidRPr="00D74794">
          <w:rPr>
            <w:rStyle w:val="Hyperlink"/>
            <w:noProof/>
          </w:rPr>
          <w:t>Compliance with the Fourth Instalment Specific Conditions</w:t>
        </w:r>
        <w:r w:rsidR="008B79DD">
          <w:rPr>
            <w:noProof/>
            <w:webHidden/>
          </w:rPr>
          <w:tab/>
        </w:r>
        <w:r w:rsidR="008B79DD">
          <w:rPr>
            <w:noProof/>
            <w:webHidden/>
          </w:rPr>
          <w:fldChar w:fldCharType="begin"/>
        </w:r>
        <w:r w:rsidR="008B79DD">
          <w:rPr>
            <w:noProof/>
            <w:webHidden/>
          </w:rPr>
          <w:instrText xml:space="preserve"> PAGEREF _Toc486837760 \h </w:instrText>
        </w:r>
        <w:r w:rsidR="008B79DD">
          <w:rPr>
            <w:noProof/>
            <w:webHidden/>
          </w:rPr>
        </w:r>
        <w:r w:rsidR="008B79DD">
          <w:rPr>
            <w:noProof/>
            <w:webHidden/>
          </w:rPr>
          <w:fldChar w:fldCharType="separate"/>
        </w:r>
        <w:r w:rsidR="008B79DD">
          <w:rPr>
            <w:noProof/>
            <w:webHidden/>
          </w:rPr>
          <w:t>23</w:t>
        </w:r>
        <w:r w:rsidR="008B79DD">
          <w:rPr>
            <w:noProof/>
            <w:webHidden/>
          </w:rPr>
          <w:fldChar w:fldCharType="end"/>
        </w:r>
      </w:hyperlink>
    </w:p>
    <w:p w14:paraId="77054CDC" w14:textId="77777777" w:rsidR="008B79DD" w:rsidRDefault="006D7B13">
      <w:pPr>
        <w:pStyle w:val="TOC2"/>
        <w:tabs>
          <w:tab w:val="left" w:pos="660"/>
          <w:tab w:val="right" w:leader="dot" w:pos="9077"/>
        </w:tabs>
        <w:rPr>
          <w:rFonts w:asciiTheme="minorHAnsi" w:hAnsiTheme="minorHAnsi"/>
          <w:noProof/>
          <w:lang w:eastAsia="en-GB"/>
        </w:rPr>
      </w:pPr>
      <w:hyperlink w:anchor="_Toc486837761" w:history="1">
        <w:r w:rsidR="008B79DD" w:rsidRPr="00D74794">
          <w:rPr>
            <w:rStyle w:val="Hyperlink"/>
            <w:noProof/>
          </w:rPr>
          <w:t>a)</w:t>
        </w:r>
        <w:r w:rsidR="008B79DD">
          <w:rPr>
            <w:rFonts w:asciiTheme="minorHAnsi" w:hAnsiTheme="minorHAnsi"/>
            <w:noProof/>
            <w:lang w:eastAsia="en-GB"/>
          </w:rPr>
          <w:tab/>
        </w:r>
        <w:r w:rsidR="008B79DD" w:rsidRPr="00D74794">
          <w:rPr>
            <w:rStyle w:val="Hyperlink"/>
            <w:noProof/>
          </w:rPr>
          <w:t>Component 1: Effective Labour Market Management.</w:t>
        </w:r>
        <w:r w:rsidR="008B79DD">
          <w:rPr>
            <w:noProof/>
            <w:webHidden/>
          </w:rPr>
          <w:tab/>
        </w:r>
        <w:r w:rsidR="008B79DD">
          <w:rPr>
            <w:noProof/>
            <w:webHidden/>
          </w:rPr>
          <w:fldChar w:fldCharType="begin"/>
        </w:r>
        <w:r w:rsidR="008B79DD">
          <w:rPr>
            <w:noProof/>
            <w:webHidden/>
          </w:rPr>
          <w:instrText xml:space="preserve"> PAGEREF _Toc486837761 \h </w:instrText>
        </w:r>
        <w:r w:rsidR="008B79DD">
          <w:rPr>
            <w:noProof/>
            <w:webHidden/>
          </w:rPr>
        </w:r>
        <w:r w:rsidR="008B79DD">
          <w:rPr>
            <w:noProof/>
            <w:webHidden/>
          </w:rPr>
          <w:fldChar w:fldCharType="separate"/>
        </w:r>
        <w:r w:rsidR="008B79DD">
          <w:rPr>
            <w:noProof/>
            <w:webHidden/>
          </w:rPr>
          <w:t>23</w:t>
        </w:r>
        <w:r w:rsidR="008B79DD">
          <w:rPr>
            <w:noProof/>
            <w:webHidden/>
          </w:rPr>
          <w:fldChar w:fldCharType="end"/>
        </w:r>
      </w:hyperlink>
    </w:p>
    <w:p w14:paraId="21627CC0" w14:textId="77777777" w:rsidR="008B79DD" w:rsidRDefault="006D7B13">
      <w:pPr>
        <w:pStyle w:val="TOC3"/>
        <w:rPr>
          <w:rFonts w:asciiTheme="minorHAnsi" w:hAnsiTheme="minorHAnsi"/>
          <w:noProof/>
          <w:lang w:eastAsia="en-GB"/>
        </w:rPr>
      </w:pPr>
      <w:hyperlink w:anchor="_Toc486837762" w:history="1">
        <w:r w:rsidR="008B79DD" w:rsidRPr="00D74794">
          <w:rPr>
            <w:rStyle w:val="Hyperlink"/>
            <w:noProof/>
          </w:rPr>
          <w:t>i)</w:t>
        </w:r>
        <w:r w:rsidR="008B79DD">
          <w:rPr>
            <w:rFonts w:asciiTheme="minorHAnsi" w:hAnsiTheme="minorHAnsi"/>
            <w:noProof/>
            <w:lang w:eastAsia="en-GB"/>
          </w:rPr>
          <w:tab/>
        </w:r>
        <w:r w:rsidR="008B79DD" w:rsidRPr="00D74794">
          <w:rPr>
            <w:rStyle w:val="Hyperlink"/>
            <w:noProof/>
          </w:rPr>
          <w:t>Specific Condition 1.1:</w:t>
        </w:r>
        <w:r w:rsidR="008B79DD" w:rsidRPr="00D74794">
          <w:rPr>
            <w:rStyle w:val="Hyperlink"/>
            <w:noProof/>
            <w:lang w:eastAsia="en-GB"/>
          </w:rPr>
          <w:t xml:space="preserve"> Reliable and sustainable labour market information and forecasting.</w:t>
        </w:r>
        <w:r w:rsidR="008B79DD">
          <w:rPr>
            <w:noProof/>
            <w:webHidden/>
          </w:rPr>
          <w:tab/>
        </w:r>
        <w:r w:rsidR="008B79DD">
          <w:rPr>
            <w:noProof/>
            <w:webHidden/>
          </w:rPr>
          <w:fldChar w:fldCharType="begin"/>
        </w:r>
        <w:r w:rsidR="008B79DD">
          <w:rPr>
            <w:noProof/>
            <w:webHidden/>
          </w:rPr>
          <w:instrText xml:space="preserve"> PAGEREF _Toc486837762 \h </w:instrText>
        </w:r>
        <w:r w:rsidR="008B79DD">
          <w:rPr>
            <w:noProof/>
            <w:webHidden/>
          </w:rPr>
        </w:r>
        <w:r w:rsidR="008B79DD">
          <w:rPr>
            <w:noProof/>
            <w:webHidden/>
          </w:rPr>
          <w:fldChar w:fldCharType="separate"/>
        </w:r>
        <w:r w:rsidR="008B79DD">
          <w:rPr>
            <w:noProof/>
            <w:webHidden/>
          </w:rPr>
          <w:t>23</w:t>
        </w:r>
        <w:r w:rsidR="008B79DD">
          <w:rPr>
            <w:noProof/>
            <w:webHidden/>
          </w:rPr>
          <w:fldChar w:fldCharType="end"/>
        </w:r>
      </w:hyperlink>
    </w:p>
    <w:p w14:paraId="5A5889B8" w14:textId="77777777" w:rsidR="008B79DD" w:rsidRDefault="006D7B13">
      <w:pPr>
        <w:pStyle w:val="TOC3"/>
        <w:rPr>
          <w:rFonts w:asciiTheme="minorHAnsi" w:hAnsiTheme="minorHAnsi"/>
          <w:noProof/>
          <w:lang w:eastAsia="en-GB"/>
        </w:rPr>
      </w:pPr>
      <w:hyperlink w:anchor="_Toc486837763" w:history="1">
        <w:r w:rsidR="008B79DD" w:rsidRPr="00D74794">
          <w:rPr>
            <w:rStyle w:val="Hyperlink"/>
            <w:noProof/>
          </w:rPr>
          <w:t>ii)</w:t>
        </w:r>
        <w:r w:rsidR="008B79DD">
          <w:rPr>
            <w:rFonts w:asciiTheme="minorHAnsi" w:hAnsiTheme="minorHAnsi"/>
            <w:noProof/>
            <w:lang w:eastAsia="en-GB"/>
          </w:rPr>
          <w:tab/>
        </w:r>
        <w:r w:rsidR="008B79DD" w:rsidRPr="00D74794">
          <w:rPr>
            <w:rStyle w:val="Hyperlink"/>
            <w:noProof/>
          </w:rPr>
          <w:t>Specific Condition 1.2:</w:t>
        </w:r>
        <w:r w:rsidR="008B79DD" w:rsidRPr="00D74794">
          <w:rPr>
            <w:rStyle w:val="Hyperlink"/>
            <w:noProof/>
            <w:lang w:eastAsia="en-GB"/>
          </w:rPr>
          <w:t xml:space="preserve"> Improved Quality of Employment Support Services.</w:t>
        </w:r>
        <w:r w:rsidR="008B79DD">
          <w:rPr>
            <w:noProof/>
            <w:webHidden/>
          </w:rPr>
          <w:tab/>
        </w:r>
        <w:r w:rsidR="008B79DD">
          <w:rPr>
            <w:noProof/>
            <w:webHidden/>
          </w:rPr>
          <w:fldChar w:fldCharType="begin"/>
        </w:r>
        <w:r w:rsidR="008B79DD">
          <w:rPr>
            <w:noProof/>
            <w:webHidden/>
          </w:rPr>
          <w:instrText xml:space="preserve"> PAGEREF _Toc486837763 \h </w:instrText>
        </w:r>
        <w:r w:rsidR="008B79DD">
          <w:rPr>
            <w:noProof/>
            <w:webHidden/>
          </w:rPr>
        </w:r>
        <w:r w:rsidR="008B79DD">
          <w:rPr>
            <w:noProof/>
            <w:webHidden/>
          </w:rPr>
          <w:fldChar w:fldCharType="separate"/>
        </w:r>
        <w:r w:rsidR="008B79DD">
          <w:rPr>
            <w:noProof/>
            <w:webHidden/>
          </w:rPr>
          <w:t>30</w:t>
        </w:r>
        <w:r w:rsidR="008B79DD">
          <w:rPr>
            <w:noProof/>
            <w:webHidden/>
          </w:rPr>
          <w:fldChar w:fldCharType="end"/>
        </w:r>
      </w:hyperlink>
    </w:p>
    <w:p w14:paraId="11A84BFC" w14:textId="77777777" w:rsidR="008B79DD" w:rsidRDefault="006D7B13">
      <w:pPr>
        <w:pStyle w:val="TOC2"/>
        <w:tabs>
          <w:tab w:val="left" w:pos="660"/>
          <w:tab w:val="right" w:leader="dot" w:pos="9077"/>
        </w:tabs>
        <w:rPr>
          <w:rFonts w:asciiTheme="minorHAnsi" w:hAnsiTheme="minorHAnsi"/>
          <w:noProof/>
          <w:lang w:eastAsia="en-GB"/>
        </w:rPr>
      </w:pPr>
      <w:hyperlink w:anchor="_Toc486837764" w:history="1">
        <w:r w:rsidR="008B79DD" w:rsidRPr="00D74794">
          <w:rPr>
            <w:rStyle w:val="Hyperlink"/>
            <w:noProof/>
          </w:rPr>
          <w:t>b)</w:t>
        </w:r>
        <w:r w:rsidR="008B79DD">
          <w:rPr>
            <w:rFonts w:asciiTheme="minorHAnsi" w:hAnsiTheme="minorHAnsi"/>
            <w:noProof/>
            <w:lang w:eastAsia="en-GB"/>
          </w:rPr>
          <w:tab/>
        </w:r>
        <w:r w:rsidR="008B79DD" w:rsidRPr="00D74794">
          <w:rPr>
            <w:rStyle w:val="Hyperlink"/>
            <w:noProof/>
          </w:rPr>
          <w:t xml:space="preserve">Component 2: </w:t>
        </w:r>
        <w:r w:rsidR="008B79DD" w:rsidRPr="00D74794">
          <w:rPr>
            <w:rStyle w:val="Hyperlink"/>
            <w:noProof/>
            <w:lang w:eastAsia="en-GB"/>
          </w:rPr>
          <w:t>Enhanced Quality and Relevance of VET System</w:t>
        </w:r>
        <w:r w:rsidR="008B79DD" w:rsidRPr="00D74794">
          <w:rPr>
            <w:rStyle w:val="Hyperlink"/>
            <w:noProof/>
          </w:rPr>
          <w:t>.</w:t>
        </w:r>
        <w:r w:rsidR="008B79DD">
          <w:rPr>
            <w:noProof/>
            <w:webHidden/>
          </w:rPr>
          <w:tab/>
        </w:r>
        <w:r w:rsidR="008B79DD">
          <w:rPr>
            <w:noProof/>
            <w:webHidden/>
          </w:rPr>
          <w:fldChar w:fldCharType="begin"/>
        </w:r>
        <w:r w:rsidR="008B79DD">
          <w:rPr>
            <w:noProof/>
            <w:webHidden/>
          </w:rPr>
          <w:instrText xml:space="preserve"> PAGEREF _Toc486837764 \h </w:instrText>
        </w:r>
        <w:r w:rsidR="008B79DD">
          <w:rPr>
            <w:noProof/>
            <w:webHidden/>
          </w:rPr>
        </w:r>
        <w:r w:rsidR="008B79DD">
          <w:rPr>
            <w:noProof/>
            <w:webHidden/>
          </w:rPr>
          <w:fldChar w:fldCharType="separate"/>
        </w:r>
        <w:r w:rsidR="008B79DD">
          <w:rPr>
            <w:noProof/>
            <w:webHidden/>
          </w:rPr>
          <w:t>33</w:t>
        </w:r>
        <w:r w:rsidR="008B79DD">
          <w:rPr>
            <w:noProof/>
            <w:webHidden/>
          </w:rPr>
          <w:fldChar w:fldCharType="end"/>
        </w:r>
      </w:hyperlink>
    </w:p>
    <w:p w14:paraId="0077CADB" w14:textId="77777777" w:rsidR="008B79DD" w:rsidRDefault="006D7B13">
      <w:pPr>
        <w:pStyle w:val="TOC3"/>
        <w:rPr>
          <w:rFonts w:asciiTheme="minorHAnsi" w:hAnsiTheme="minorHAnsi"/>
          <w:noProof/>
          <w:lang w:eastAsia="en-GB"/>
        </w:rPr>
      </w:pPr>
      <w:hyperlink w:anchor="_Toc486837765" w:history="1">
        <w:r w:rsidR="008B79DD" w:rsidRPr="00D74794">
          <w:rPr>
            <w:rStyle w:val="Hyperlink"/>
            <w:noProof/>
          </w:rPr>
          <w:t>i)</w:t>
        </w:r>
        <w:r w:rsidR="008B79DD">
          <w:rPr>
            <w:rFonts w:asciiTheme="minorHAnsi" w:hAnsiTheme="minorHAnsi"/>
            <w:noProof/>
            <w:lang w:eastAsia="en-GB"/>
          </w:rPr>
          <w:tab/>
        </w:r>
        <w:r w:rsidR="008B79DD" w:rsidRPr="00D74794">
          <w:rPr>
            <w:rStyle w:val="Hyperlink"/>
            <w:noProof/>
          </w:rPr>
          <w:t>Specific Condition 2.1:</w:t>
        </w:r>
        <w:r w:rsidR="008B79DD" w:rsidRPr="00D74794">
          <w:rPr>
            <w:rStyle w:val="Hyperlink"/>
            <w:noProof/>
            <w:lang w:eastAsia="en-GB"/>
          </w:rPr>
          <w:t xml:space="preserve"> Enhanced matching of skills provided by the VET system with the needs of the labour market.</w:t>
        </w:r>
        <w:r w:rsidR="008B79DD">
          <w:rPr>
            <w:noProof/>
            <w:webHidden/>
          </w:rPr>
          <w:tab/>
        </w:r>
        <w:r w:rsidR="008B79DD">
          <w:rPr>
            <w:noProof/>
            <w:webHidden/>
          </w:rPr>
          <w:fldChar w:fldCharType="begin"/>
        </w:r>
        <w:r w:rsidR="008B79DD">
          <w:rPr>
            <w:noProof/>
            <w:webHidden/>
          </w:rPr>
          <w:instrText xml:space="preserve"> PAGEREF _Toc486837765 \h </w:instrText>
        </w:r>
        <w:r w:rsidR="008B79DD">
          <w:rPr>
            <w:noProof/>
            <w:webHidden/>
          </w:rPr>
        </w:r>
        <w:r w:rsidR="008B79DD">
          <w:rPr>
            <w:noProof/>
            <w:webHidden/>
          </w:rPr>
          <w:fldChar w:fldCharType="separate"/>
        </w:r>
        <w:r w:rsidR="008B79DD">
          <w:rPr>
            <w:noProof/>
            <w:webHidden/>
          </w:rPr>
          <w:t>33</w:t>
        </w:r>
        <w:r w:rsidR="008B79DD">
          <w:rPr>
            <w:noProof/>
            <w:webHidden/>
          </w:rPr>
          <w:fldChar w:fldCharType="end"/>
        </w:r>
      </w:hyperlink>
    </w:p>
    <w:p w14:paraId="0EADF1E7" w14:textId="77777777" w:rsidR="008B79DD" w:rsidRDefault="006D7B13">
      <w:pPr>
        <w:pStyle w:val="TOC3"/>
        <w:rPr>
          <w:rFonts w:asciiTheme="minorHAnsi" w:hAnsiTheme="minorHAnsi"/>
          <w:noProof/>
          <w:lang w:eastAsia="en-GB"/>
        </w:rPr>
      </w:pPr>
      <w:hyperlink w:anchor="_Toc486837766" w:history="1">
        <w:r w:rsidR="008B79DD" w:rsidRPr="00D74794">
          <w:rPr>
            <w:rStyle w:val="Hyperlink"/>
            <w:noProof/>
          </w:rPr>
          <w:t>ii)</w:t>
        </w:r>
        <w:r w:rsidR="008B79DD">
          <w:rPr>
            <w:rFonts w:asciiTheme="minorHAnsi" w:hAnsiTheme="minorHAnsi"/>
            <w:noProof/>
            <w:lang w:eastAsia="en-GB"/>
          </w:rPr>
          <w:tab/>
        </w:r>
        <w:r w:rsidR="008B79DD" w:rsidRPr="00D74794">
          <w:rPr>
            <w:rStyle w:val="Hyperlink"/>
            <w:noProof/>
          </w:rPr>
          <w:t>Specific Condition 2.2:</w:t>
        </w:r>
        <w:r w:rsidR="008B79DD" w:rsidRPr="00D74794">
          <w:rPr>
            <w:rStyle w:val="Hyperlink"/>
            <w:noProof/>
            <w:lang w:eastAsia="en-GB"/>
          </w:rPr>
          <w:t xml:space="preserve"> Improved quality of VET qualifications.</w:t>
        </w:r>
        <w:r w:rsidR="008B79DD">
          <w:rPr>
            <w:noProof/>
            <w:webHidden/>
          </w:rPr>
          <w:tab/>
        </w:r>
        <w:r w:rsidR="008B79DD">
          <w:rPr>
            <w:noProof/>
            <w:webHidden/>
          </w:rPr>
          <w:fldChar w:fldCharType="begin"/>
        </w:r>
        <w:r w:rsidR="008B79DD">
          <w:rPr>
            <w:noProof/>
            <w:webHidden/>
          </w:rPr>
          <w:instrText xml:space="preserve"> PAGEREF _Toc486837766 \h </w:instrText>
        </w:r>
        <w:r w:rsidR="008B79DD">
          <w:rPr>
            <w:noProof/>
            <w:webHidden/>
          </w:rPr>
        </w:r>
        <w:r w:rsidR="008B79DD">
          <w:rPr>
            <w:noProof/>
            <w:webHidden/>
          </w:rPr>
          <w:fldChar w:fldCharType="separate"/>
        </w:r>
        <w:r w:rsidR="008B79DD">
          <w:rPr>
            <w:noProof/>
            <w:webHidden/>
          </w:rPr>
          <w:t>38</w:t>
        </w:r>
        <w:r w:rsidR="008B79DD">
          <w:rPr>
            <w:noProof/>
            <w:webHidden/>
          </w:rPr>
          <w:fldChar w:fldCharType="end"/>
        </w:r>
      </w:hyperlink>
    </w:p>
    <w:p w14:paraId="4225E331" w14:textId="77777777" w:rsidR="008B79DD" w:rsidRDefault="006D7B13">
      <w:pPr>
        <w:pStyle w:val="TOC2"/>
        <w:tabs>
          <w:tab w:val="left" w:pos="660"/>
          <w:tab w:val="right" w:leader="dot" w:pos="9077"/>
        </w:tabs>
        <w:rPr>
          <w:rFonts w:asciiTheme="minorHAnsi" w:hAnsiTheme="minorHAnsi"/>
          <w:noProof/>
          <w:lang w:eastAsia="en-GB"/>
        </w:rPr>
      </w:pPr>
      <w:hyperlink w:anchor="_Toc486837767" w:history="1">
        <w:r w:rsidR="008B79DD" w:rsidRPr="00D74794">
          <w:rPr>
            <w:rStyle w:val="Hyperlink"/>
            <w:noProof/>
          </w:rPr>
          <w:t>c)</w:t>
        </w:r>
        <w:r w:rsidR="008B79DD">
          <w:rPr>
            <w:rFonts w:asciiTheme="minorHAnsi" w:hAnsiTheme="minorHAnsi"/>
            <w:noProof/>
            <w:lang w:eastAsia="en-GB"/>
          </w:rPr>
          <w:tab/>
        </w:r>
        <w:r w:rsidR="008B79DD" w:rsidRPr="00D74794">
          <w:rPr>
            <w:rStyle w:val="Hyperlink"/>
            <w:noProof/>
          </w:rPr>
          <w:t xml:space="preserve">Component 3: </w:t>
        </w:r>
        <w:r w:rsidR="008B79DD" w:rsidRPr="00D74794">
          <w:rPr>
            <w:rStyle w:val="Hyperlink"/>
            <w:noProof/>
            <w:lang w:eastAsia="en-GB"/>
          </w:rPr>
          <w:t>Efficient Transition from Training into Employment</w:t>
        </w:r>
        <w:r w:rsidR="008B79DD" w:rsidRPr="00D74794">
          <w:rPr>
            <w:rStyle w:val="Hyperlink"/>
            <w:noProof/>
          </w:rPr>
          <w:t>.</w:t>
        </w:r>
        <w:r w:rsidR="008B79DD">
          <w:rPr>
            <w:noProof/>
            <w:webHidden/>
          </w:rPr>
          <w:tab/>
        </w:r>
        <w:r w:rsidR="008B79DD">
          <w:rPr>
            <w:noProof/>
            <w:webHidden/>
          </w:rPr>
          <w:fldChar w:fldCharType="begin"/>
        </w:r>
        <w:r w:rsidR="008B79DD">
          <w:rPr>
            <w:noProof/>
            <w:webHidden/>
          </w:rPr>
          <w:instrText xml:space="preserve"> PAGEREF _Toc486837767 \h </w:instrText>
        </w:r>
        <w:r w:rsidR="008B79DD">
          <w:rPr>
            <w:noProof/>
            <w:webHidden/>
          </w:rPr>
        </w:r>
        <w:r w:rsidR="008B79DD">
          <w:rPr>
            <w:noProof/>
            <w:webHidden/>
          </w:rPr>
          <w:fldChar w:fldCharType="separate"/>
        </w:r>
        <w:r w:rsidR="008B79DD">
          <w:rPr>
            <w:noProof/>
            <w:webHidden/>
          </w:rPr>
          <w:t>44</w:t>
        </w:r>
        <w:r w:rsidR="008B79DD">
          <w:rPr>
            <w:noProof/>
            <w:webHidden/>
          </w:rPr>
          <w:fldChar w:fldCharType="end"/>
        </w:r>
      </w:hyperlink>
    </w:p>
    <w:p w14:paraId="42899D97" w14:textId="77777777" w:rsidR="008B79DD" w:rsidRDefault="006D7B13">
      <w:pPr>
        <w:pStyle w:val="TOC3"/>
        <w:rPr>
          <w:rFonts w:asciiTheme="minorHAnsi" w:hAnsiTheme="minorHAnsi"/>
          <w:noProof/>
          <w:lang w:eastAsia="en-GB"/>
        </w:rPr>
      </w:pPr>
      <w:hyperlink w:anchor="_Toc486837768" w:history="1">
        <w:r w:rsidR="008B79DD" w:rsidRPr="00D74794">
          <w:rPr>
            <w:rStyle w:val="Hyperlink"/>
            <w:noProof/>
          </w:rPr>
          <w:t>i)</w:t>
        </w:r>
        <w:r w:rsidR="008B79DD">
          <w:rPr>
            <w:rFonts w:asciiTheme="minorHAnsi" w:hAnsiTheme="minorHAnsi"/>
            <w:noProof/>
            <w:lang w:eastAsia="en-GB"/>
          </w:rPr>
          <w:tab/>
        </w:r>
        <w:r w:rsidR="008B79DD" w:rsidRPr="00D74794">
          <w:rPr>
            <w:rStyle w:val="Hyperlink"/>
            <w:noProof/>
          </w:rPr>
          <w:t>Specific Condition 3.1:</w:t>
        </w:r>
        <w:r w:rsidR="008B79DD" w:rsidRPr="00D74794">
          <w:rPr>
            <w:rStyle w:val="Hyperlink"/>
            <w:noProof/>
            <w:lang w:eastAsia="en-GB"/>
          </w:rPr>
          <w:t xml:space="preserve"> Efficient transition from training to employment.</w:t>
        </w:r>
        <w:r w:rsidR="008B79DD">
          <w:rPr>
            <w:noProof/>
            <w:webHidden/>
          </w:rPr>
          <w:tab/>
        </w:r>
        <w:r w:rsidR="008B79DD">
          <w:rPr>
            <w:noProof/>
            <w:webHidden/>
          </w:rPr>
          <w:fldChar w:fldCharType="begin"/>
        </w:r>
        <w:r w:rsidR="008B79DD">
          <w:rPr>
            <w:noProof/>
            <w:webHidden/>
          </w:rPr>
          <w:instrText xml:space="preserve"> PAGEREF _Toc486837768 \h </w:instrText>
        </w:r>
        <w:r w:rsidR="008B79DD">
          <w:rPr>
            <w:noProof/>
            <w:webHidden/>
          </w:rPr>
        </w:r>
        <w:r w:rsidR="008B79DD">
          <w:rPr>
            <w:noProof/>
            <w:webHidden/>
          </w:rPr>
          <w:fldChar w:fldCharType="separate"/>
        </w:r>
        <w:r w:rsidR="008B79DD">
          <w:rPr>
            <w:noProof/>
            <w:webHidden/>
          </w:rPr>
          <w:t>44</w:t>
        </w:r>
        <w:r w:rsidR="008B79DD">
          <w:rPr>
            <w:noProof/>
            <w:webHidden/>
          </w:rPr>
          <w:fldChar w:fldCharType="end"/>
        </w:r>
      </w:hyperlink>
    </w:p>
    <w:p w14:paraId="346F704A" w14:textId="77777777" w:rsidR="008B79DD" w:rsidRDefault="006D7B13">
      <w:pPr>
        <w:pStyle w:val="TOC3"/>
        <w:rPr>
          <w:rFonts w:asciiTheme="minorHAnsi" w:hAnsiTheme="minorHAnsi"/>
          <w:noProof/>
          <w:lang w:eastAsia="en-GB"/>
        </w:rPr>
      </w:pPr>
      <w:hyperlink w:anchor="_Toc486837769" w:history="1">
        <w:r w:rsidR="008B79DD" w:rsidRPr="00D74794">
          <w:rPr>
            <w:rStyle w:val="Hyperlink"/>
            <w:noProof/>
          </w:rPr>
          <w:t>ii)</w:t>
        </w:r>
        <w:r w:rsidR="008B79DD">
          <w:rPr>
            <w:rFonts w:asciiTheme="minorHAnsi" w:hAnsiTheme="minorHAnsi"/>
            <w:noProof/>
            <w:lang w:eastAsia="en-GB"/>
          </w:rPr>
          <w:tab/>
        </w:r>
        <w:r w:rsidR="008B79DD" w:rsidRPr="00D74794">
          <w:rPr>
            <w:rStyle w:val="Hyperlink"/>
            <w:noProof/>
          </w:rPr>
          <w:t>Specific Condition 3.2:</w:t>
        </w:r>
        <w:r w:rsidR="008B79DD" w:rsidRPr="00D74794">
          <w:rPr>
            <w:rStyle w:val="Hyperlink"/>
            <w:noProof/>
            <w:lang w:eastAsia="en-GB"/>
          </w:rPr>
          <w:t xml:space="preserve"> Increased awareness of VET amongst potential students and employers.</w:t>
        </w:r>
        <w:r w:rsidR="008B79DD">
          <w:rPr>
            <w:noProof/>
            <w:webHidden/>
          </w:rPr>
          <w:tab/>
        </w:r>
        <w:r w:rsidR="008B79DD">
          <w:rPr>
            <w:noProof/>
            <w:webHidden/>
          </w:rPr>
          <w:fldChar w:fldCharType="begin"/>
        </w:r>
        <w:r w:rsidR="008B79DD">
          <w:rPr>
            <w:noProof/>
            <w:webHidden/>
          </w:rPr>
          <w:instrText xml:space="preserve"> PAGEREF _Toc486837769 \h </w:instrText>
        </w:r>
        <w:r w:rsidR="008B79DD">
          <w:rPr>
            <w:noProof/>
            <w:webHidden/>
          </w:rPr>
        </w:r>
        <w:r w:rsidR="008B79DD">
          <w:rPr>
            <w:noProof/>
            <w:webHidden/>
          </w:rPr>
          <w:fldChar w:fldCharType="separate"/>
        </w:r>
        <w:r w:rsidR="008B79DD">
          <w:rPr>
            <w:noProof/>
            <w:webHidden/>
          </w:rPr>
          <w:t>49</w:t>
        </w:r>
        <w:r w:rsidR="008B79DD">
          <w:rPr>
            <w:noProof/>
            <w:webHidden/>
          </w:rPr>
          <w:fldChar w:fldCharType="end"/>
        </w:r>
      </w:hyperlink>
    </w:p>
    <w:p w14:paraId="323396D5" w14:textId="77777777" w:rsidR="008B79DD" w:rsidRDefault="006D7B13">
      <w:pPr>
        <w:pStyle w:val="TOC3"/>
        <w:rPr>
          <w:rFonts w:asciiTheme="minorHAnsi" w:hAnsiTheme="minorHAnsi"/>
          <w:noProof/>
          <w:lang w:eastAsia="en-GB"/>
        </w:rPr>
      </w:pPr>
      <w:hyperlink w:anchor="_Toc486837770" w:history="1">
        <w:r w:rsidR="008B79DD" w:rsidRPr="00D74794">
          <w:rPr>
            <w:rStyle w:val="Hyperlink"/>
            <w:noProof/>
          </w:rPr>
          <w:t>iii)</w:t>
        </w:r>
        <w:r w:rsidR="008B79DD">
          <w:rPr>
            <w:rFonts w:asciiTheme="minorHAnsi" w:hAnsiTheme="minorHAnsi"/>
            <w:noProof/>
            <w:lang w:eastAsia="en-GB"/>
          </w:rPr>
          <w:tab/>
        </w:r>
        <w:r w:rsidR="008B79DD" w:rsidRPr="00D74794">
          <w:rPr>
            <w:rStyle w:val="Hyperlink"/>
            <w:noProof/>
          </w:rPr>
          <w:t>Specific Condition 3.3:</w:t>
        </w:r>
        <w:r w:rsidR="008B79DD" w:rsidRPr="00D74794">
          <w:rPr>
            <w:rStyle w:val="Hyperlink"/>
            <w:noProof/>
            <w:lang w:eastAsia="en-GB"/>
          </w:rPr>
          <w:t xml:space="preserve"> Enhanced social partnership.</w:t>
        </w:r>
        <w:r w:rsidR="008B79DD">
          <w:rPr>
            <w:noProof/>
            <w:webHidden/>
          </w:rPr>
          <w:tab/>
        </w:r>
        <w:r w:rsidR="008B79DD">
          <w:rPr>
            <w:noProof/>
            <w:webHidden/>
          </w:rPr>
          <w:fldChar w:fldCharType="begin"/>
        </w:r>
        <w:r w:rsidR="008B79DD">
          <w:rPr>
            <w:noProof/>
            <w:webHidden/>
          </w:rPr>
          <w:instrText xml:space="preserve"> PAGEREF _Toc486837770 \h </w:instrText>
        </w:r>
        <w:r w:rsidR="008B79DD">
          <w:rPr>
            <w:noProof/>
            <w:webHidden/>
          </w:rPr>
        </w:r>
        <w:r w:rsidR="008B79DD">
          <w:rPr>
            <w:noProof/>
            <w:webHidden/>
          </w:rPr>
          <w:fldChar w:fldCharType="separate"/>
        </w:r>
        <w:r w:rsidR="008B79DD">
          <w:rPr>
            <w:noProof/>
            <w:webHidden/>
          </w:rPr>
          <w:t>53</w:t>
        </w:r>
        <w:r w:rsidR="008B79DD">
          <w:rPr>
            <w:noProof/>
            <w:webHidden/>
          </w:rPr>
          <w:fldChar w:fldCharType="end"/>
        </w:r>
      </w:hyperlink>
    </w:p>
    <w:p w14:paraId="002E3BF4" w14:textId="77777777" w:rsidR="008B79DD" w:rsidRDefault="006D7B13">
      <w:pPr>
        <w:pStyle w:val="TOC1"/>
        <w:rPr>
          <w:rFonts w:asciiTheme="minorHAnsi" w:eastAsiaTheme="minorEastAsia" w:hAnsiTheme="minorHAnsi" w:cstheme="minorBidi"/>
          <w:noProof/>
          <w:lang w:eastAsia="en-GB"/>
        </w:rPr>
      </w:pPr>
      <w:hyperlink w:anchor="_Toc486837771" w:history="1">
        <w:r w:rsidR="008B79DD" w:rsidRPr="00D74794">
          <w:rPr>
            <w:rStyle w:val="Hyperlink"/>
            <w:noProof/>
          </w:rPr>
          <w:t>6.</w:t>
        </w:r>
        <w:r w:rsidR="008B79DD">
          <w:rPr>
            <w:rFonts w:asciiTheme="minorHAnsi" w:eastAsiaTheme="minorEastAsia" w:hAnsiTheme="minorHAnsi" w:cstheme="minorBidi"/>
            <w:noProof/>
            <w:lang w:eastAsia="en-GB"/>
          </w:rPr>
          <w:tab/>
        </w:r>
        <w:r w:rsidR="008B79DD" w:rsidRPr="00D74794">
          <w:rPr>
            <w:rStyle w:val="Hyperlink"/>
            <w:noProof/>
          </w:rPr>
          <w:t>Compliance with Outstanding Third Instalment Indicators</w:t>
        </w:r>
        <w:r w:rsidR="008B79DD">
          <w:rPr>
            <w:noProof/>
            <w:webHidden/>
          </w:rPr>
          <w:tab/>
        </w:r>
        <w:r w:rsidR="008B79DD">
          <w:rPr>
            <w:noProof/>
            <w:webHidden/>
          </w:rPr>
          <w:fldChar w:fldCharType="begin"/>
        </w:r>
        <w:r w:rsidR="008B79DD">
          <w:rPr>
            <w:noProof/>
            <w:webHidden/>
          </w:rPr>
          <w:instrText xml:space="preserve"> PAGEREF _Toc486837771 \h </w:instrText>
        </w:r>
        <w:r w:rsidR="008B79DD">
          <w:rPr>
            <w:noProof/>
            <w:webHidden/>
          </w:rPr>
        </w:r>
        <w:r w:rsidR="008B79DD">
          <w:rPr>
            <w:noProof/>
            <w:webHidden/>
          </w:rPr>
          <w:fldChar w:fldCharType="separate"/>
        </w:r>
        <w:r w:rsidR="008B79DD">
          <w:rPr>
            <w:noProof/>
            <w:webHidden/>
          </w:rPr>
          <w:t>60</w:t>
        </w:r>
        <w:r w:rsidR="008B79DD">
          <w:rPr>
            <w:noProof/>
            <w:webHidden/>
          </w:rPr>
          <w:fldChar w:fldCharType="end"/>
        </w:r>
      </w:hyperlink>
    </w:p>
    <w:p w14:paraId="08BEB990" w14:textId="77777777" w:rsidR="008B79DD" w:rsidRDefault="006D7B13">
      <w:pPr>
        <w:pStyle w:val="TOC3"/>
        <w:rPr>
          <w:rFonts w:asciiTheme="minorHAnsi" w:hAnsiTheme="minorHAnsi"/>
          <w:noProof/>
          <w:lang w:eastAsia="en-GB"/>
        </w:rPr>
      </w:pPr>
      <w:hyperlink w:anchor="_Toc486837772" w:history="1">
        <w:r w:rsidR="008B79DD" w:rsidRPr="00D74794">
          <w:rPr>
            <w:rStyle w:val="Hyperlink"/>
            <w:noProof/>
          </w:rPr>
          <w:t>iii)</w:t>
        </w:r>
        <w:r w:rsidR="008B79DD">
          <w:rPr>
            <w:rFonts w:asciiTheme="minorHAnsi" w:hAnsiTheme="minorHAnsi"/>
            <w:noProof/>
            <w:lang w:eastAsia="en-GB"/>
          </w:rPr>
          <w:tab/>
        </w:r>
        <w:r w:rsidR="008B79DD" w:rsidRPr="00D74794">
          <w:rPr>
            <w:rStyle w:val="Hyperlink"/>
            <w:noProof/>
          </w:rPr>
          <w:t>Specific Condition 3.3:</w:t>
        </w:r>
        <w:r w:rsidR="008B79DD" w:rsidRPr="00D74794">
          <w:rPr>
            <w:rStyle w:val="Hyperlink"/>
            <w:noProof/>
            <w:lang w:eastAsia="en-GB"/>
          </w:rPr>
          <w:t xml:space="preserve"> Enhanced social partnership.</w:t>
        </w:r>
        <w:r w:rsidR="008B79DD">
          <w:rPr>
            <w:noProof/>
            <w:webHidden/>
          </w:rPr>
          <w:tab/>
        </w:r>
        <w:r w:rsidR="008B79DD">
          <w:rPr>
            <w:noProof/>
            <w:webHidden/>
          </w:rPr>
          <w:fldChar w:fldCharType="begin"/>
        </w:r>
        <w:r w:rsidR="008B79DD">
          <w:rPr>
            <w:noProof/>
            <w:webHidden/>
          </w:rPr>
          <w:instrText xml:space="preserve"> PAGEREF _Toc486837772 \h </w:instrText>
        </w:r>
        <w:r w:rsidR="008B79DD">
          <w:rPr>
            <w:noProof/>
            <w:webHidden/>
          </w:rPr>
        </w:r>
        <w:r w:rsidR="008B79DD">
          <w:rPr>
            <w:noProof/>
            <w:webHidden/>
          </w:rPr>
          <w:fldChar w:fldCharType="separate"/>
        </w:r>
        <w:r w:rsidR="008B79DD">
          <w:rPr>
            <w:noProof/>
            <w:webHidden/>
          </w:rPr>
          <w:t>62</w:t>
        </w:r>
        <w:r w:rsidR="008B79DD">
          <w:rPr>
            <w:noProof/>
            <w:webHidden/>
          </w:rPr>
          <w:fldChar w:fldCharType="end"/>
        </w:r>
      </w:hyperlink>
    </w:p>
    <w:p w14:paraId="17E18C74" w14:textId="77777777" w:rsidR="008B79DD" w:rsidRDefault="006D7B13">
      <w:pPr>
        <w:pStyle w:val="TOC1"/>
        <w:rPr>
          <w:rFonts w:asciiTheme="minorHAnsi" w:eastAsiaTheme="minorEastAsia" w:hAnsiTheme="minorHAnsi" w:cstheme="minorBidi"/>
          <w:noProof/>
          <w:lang w:eastAsia="en-GB"/>
        </w:rPr>
      </w:pPr>
      <w:hyperlink w:anchor="_Toc486837773" w:history="1">
        <w:r w:rsidR="008B79DD" w:rsidRPr="00D74794">
          <w:rPr>
            <w:rStyle w:val="Hyperlink"/>
            <w:noProof/>
          </w:rPr>
          <w:t>7.</w:t>
        </w:r>
        <w:r w:rsidR="008B79DD">
          <w:rPr>
            <w:rFonts w:asciiTheme="minorHAnsi" w:eastAsiaTheme="minorEastAsia" w:hAnsiTheme="minorHAnsi" w:cstheme="minorBidi"/>
            <w:noProof/>
            <w:lang w:eastAsia="en-GB"/>
          </w:rPr>
          <w:tab/>
        </w:r>
        <w:r w:rsidR="008B79DD" w:rsidRPr="00D74794">
          <w:rPr>
            <w:rStyle w:val="Hyperlink"/>
            <w:noProof/>
          </w:rPr>
          <w:t>Conclusions for Disbursement</w:t>
        </w:r>
        <w:r w:rsidR="008B79DD">
          <w:rPr>
            <w:noProof/>
            <w:webHidden/>
          </w:rPr>
          <w:tab/>
        </w:r>
        <w:r w:rsidR="008B79DD">
          <w:rPr>
            <w:noProof/>
            <w:webHidden/>
          </w:rPr>
          <w:fldChar w:fldCharType="begin"/>
        </w:r>
        <w:r w:rsidR="008B79DD">
          <w:rPr>
            <w:noProof/>
            <w:webHidden/>
          </w:rPr>
          <w:instrText xml:space="preserve"> PAGEREF _Toc486837773 \h </w:instrText>
        </w:r>
        <w:r w:rsidR="008B79DD">
          <w:rPr>
            <w:noProof/>
            <w:webHidden/>
          </w:rPr>
        </w:r>
        <w:r w:rsidR="008B79DD">
          <w:rPr>
            <w:noProof/>
            <w:webHidden/>
          </w:rPr>
          <w:fldChar w:fldCharType="separate"/>
        </w:r>
        <w:r w:rsidR="008B79DD">
          <w:rPr>
            <w:noProof/>
            <w:webHidden/>
          </w:rPr>
          <w:t>63</w:t>
        </w:r>
        <w:r w:rsidR="008B79DD">
          <w:rPr>
            <w:noProof/>
            <w:webHidden/>
          </w:rPr>
          <w:fldChar w:fldCharType="end"/>
        </w:r>
      </w:hyperlink>
    </w:p>
    <w:p w14:paraId="42D5F667" w14:textId="77777777" w:rsidR="008B79DD" w:rsidRDefault="006D7B13">
      <w:pPr>
        <w:pStyle w:val="TOC1"/>
        <w:rPr>
          <w:rFonts w:asciiTheme="minorHAnsi" w:eastAsiaTheme="minorEastAsia" w:hAnsiTheme="minorHAnsi" w:cstheme="minorBidi"/>
          <w:noProof/>
          <w:lang w:eastAsia="en-GB"/>
        </w:rPr>
      </w:pPr>
      <w:hyperlink w:anchor="_Toc486837774" w:history="1">
        <w:r w:rsidR="008B79DD" w:rsidRPr="00D74794">
          <w:rPr>
            <w:rStyle w:val="Hyperlink"/>
            <w:noProof/>
          </w:rPr>
          <w:t>Appendix 1: Persons Contacted (November 2016/April 2017)</w:t>
        </w:r>
        <w:r w:rsidR="008B79DD">
          <w:rPr>
            <w:noProof/>
            <w:webHidden/>
          </w:rPr>
          <w:tab/>
        </w:r>
        <w:r w:rsidR="008B79DD">
          <w:rPr>
            <w:noProof/>
            <w:webHidden/>
          </w:rPr>
          <w:fldChar w:fldCharType="begin"/>
        </w:r>
        <w:r w:rsidR="008B79DD">
          <w:rPr>
            <w:noProof/>
            <w:webHidden/>
          </w:rPr>
          <w:instrText xml:space="preserve"> PAGEREF _Toc486837774 \h </w:instrText>
        </w:r>
        <w:r w:rsidR="008B79DD">
          <w:rPr>
            <w:noProof/>
            <w:webHidden/>
          </w:rPr>
        </w:r>
        <w:r w:rsidR="008B79DD">
          <w:rPr>
            <w:noProof/>
            <w:webHidden/>
          </w:rPr>
          <w:fldChar w:fldCharType="separate"/>
        </w:r>
        <w:r w:rsidR="008B79DD">
          <w:rPr>
            <w:noProof/>
            <w:webHidden/>
          </w:rPr>
          <w:t>66</w:t>
        </w:r>
        <w:r w:rsidR="008B79DD">
          <w:rPr>
            <w:noProof/>
            <w:webHidden/>
          </w:rPr>
          <w:fldChar w:fldCharType="end"/>
        </w:r>
      </w:hyperlink>
    </w:p>
    <w:p w14:paraId="255AA7D2" w14:textId="77777777" w:rsidR="008B79DD" w:rsidRDefault="006D7B13">
      <w:pPr>
        <w:pStyle w:val="TOC1"/>
        <w:rPr>
          <w:rFonts w:asciiTheme="minorHAnsi" w:eastAsiaTheme="minorEastAsia" w:hAnsiTheme="minorHAnsi" w:cstheme="minorBidi"/>
          <w:noProof/>
          <w:lang w:eastAsia="en-GB"/>
        </w:rPr>
      </w:pPr>
      <w:hyperlink w:anchor="_Toc486837775" w:history="1">
        <w:r w:rsidR="008B79DD" w:rsidRPr="00D74794">
          <w:rPr>
            <w:rStyle w:val="Hyperlink"/>
            <w:noProof/>
          </w:rPr>
          <w:t>Appendix 2: Conditions for Instalment Release</w:t>
        </w:r>
        <w:r w:rsidR="008B79DD">
          <w:rPr>
            <w:noProof/>
            <w:webHidden/>
          </w:rPr>
          <w:tab/>
        </w:r>
        <w:r w:rsidR="008B79DD">
          <w:rPr>
            <w:noProof/>
            <w:webHidden/>
          </w:rPr>
          <w:fldChar w:fldCharType="begin"/>
        </w:r>
        <w:r w:rsidR="008B79DD">
          <w:rPr>
            <w:noProof/>
            <w:webHidden/>
          </w:rPr>
          <w:instrText xml:space="preserve"> PAGEREF _Toc486837775 \h </w:instrText>
        </w:r>
        <w:r w:rsidR="008B79DD">
          <w:rPr>
            <w:noProof/>
            <w:webHidden/>
          </w:rPr>
        </w:r>
        <w:r w:rsidR="008B79DD">
          <w:rPr>
            <w:noProof/>
            <w:webHidden/>
          </w:rPr>
          <w:fldChar w:fldCharType="separate"/>
        </w:r>
        <w:r w:rsidR="008B79DD">
          <w:rPr>
            <w:noProof/>
            <w:webHidden/>
          </w:rPr>
          <w:t>68</w:t>
        </w:r>
        <w:r w:rsidR="008B79DD">
          <w:rPr>
            <w:noProof/>
            <w:webHidden/>
          </w:rPr>
          <w:fldChar w:fldCharType="end"/>
        </w:r>
      </w:hyperlink>
    </w:p>
    <w:p w14:paraId="21E4EFB8" w14:textId="77777777" w:rsidR="008B79DD" w:rsidRDefault="006D7B13">
      <w:pPr>
        <w:pStyle w:val="TOC1"/>
        <w:rPr>
          <w:rFonts w:asciiTheme="minorHAnsi" w:eastAsiaTheme="minorEastAsia" w:hAnsiTheme="minorHAnsi" w:cstheme="minorBidi"/>
          <w:noProof/>
          <w:lang w:eastAsia="en-GB"/>
        </w:rPr>
      </w:pPr>
      <w:hyperlink w:anchor="_Toc486837776" w:history="1">
        <w:r w:rsidR="008B79DD" w:rsidRPr="00D74794">
          <w:rPr>
            <w:rStyle w:val="Hyperlink"/>
            <w:noProof/>
          </w:rPr>
          <w:t>Appendix 3: EC-SPSP VET - Expected Results</w:t>
        </w:r>
        <w:r w:rsidR="008B79DD">
          <w:rPr>
            <w:noProof/>
            <w:webHidden/>
          </w:rPr>
          <w:tab/>
        </w:r>
        <w:r w:rsidR="008B79DD">
          <w:rPr>
            <w:noProof/>
            <w:webHidden/>
          </w:rPr>
          <w:fldChar w:fldCharType="begin"/>
        </w:r>
        <w:r w:rsidR="008B79DD">
          <w:rPr>
            <w:noProof/>
            <w:webHidden/>
          </w:rPr>
          <w:instrText xml:space="preserve"> PAGEREF _Toc486837776 \h </w:instrText>
        </w:r>
        <w:r w:rsidR="008B79DD">
          <w:rPr>
            <w:noProof/>
            <w:webHidden/>
          </w:rPr>
        </w:r>
        <w:r w:rsidR="008B79DD">
          <w:rPr>
            <w:noProof/>
            <w:webHidden/>
          </w:rPr>
          <w:fldChar w:fldCharType="separate"/>
        </w:r>
        <w:r w:rsidR="008B79DD">
          <w:rPr>
            <w:noProof/>
            <w:webHidden/>
          </w:rPr>
          <w:t>81</w:t>
        </w:r>
        <w:r w:rsidR="008B79DD">
          <w:rPr>
            <w:noProof/>
            <w:webHidden/>
          </w:rPr>
          <w:fldChar w:fldCharType="end"/>
        </w:r>
      </w:hyperlink>
    </w:p>
    <w:p w14:paraId="66CD23CF" w14:textId="77777777" w:rsidR="008B79DD" w:rsidRDefault="006D7B13">
      <w:pPr>
        <w:pStyle w:val="TOC1"/>
        <w:rPr>
          <w:rFonts w:asciiTheme="minorHAnsi" w:eastAsiaTheme="minorEastAsia" w:hAnsiTheme="minorHAnsi" w:cstheme="minorBidi"/>
          <w:noProof/>
          <w:lang w:eastAsia="en-GB"/>
        </w:rPr>
      </w:pPr>
      <w:hyperlink w:anchor="_Toc486837777" w:history="1">
        <w:r w:rsidR="008B79DD" w:rsidRPr="00D74794">
          <w:rPr>
            <w:rStyle w:val="Hyperlink"/>
            <w:noProof/>
          </w:rPr>
          <w:t>Appendix 4: List of Evidence Documents in Support of Compliance</w:t>
        </w:r>
        <w:r w:rsidR="008B79DD">
          <w:rPr>
            <w:noProof/>
            <w:webHidden/>
          </w:rPr>
          <w:tab/>
        </w:r>
        <w:r w:rsidR="008B79DD">
          <w:rPr>
            <w:noProof/>
            <w:webHidden/>
          </w:rPr>
          <w:fldChar w:fldCharType="begin"/>
        </w:r>
        <w:r w:rsidR="008B79DD">
          <w:rPr>
            <w:noProof/>
            <w:webHidden/>
          </w:rPr>
          <w:instrText xml:space="preserve"> PAGEREF _Toc486837777 \h </w:instrText>
        </w:r>
        <w:r w:rsidR="008B79DD">
          <w:rPr>
            <w:noProof/>
            <w:webHidden/>
          </w:rPr>
        </w:r>
        <w:r w:rsidR="008B79DD">
          <w:rPr>
            <w:noProof/>
            <w:webHidden/>
          </w:rPr>
          <w:fldChar w:fldCharType="separate"/>
        </w:r>
        <w:r w:rsidR="008B79DD">
          <w:rPr>
            <w:noProof/>
            <w:webHidden/>
          </w:rPr>
          <w:t>83</w:t>
        </w:r>
        <w:r w:rsidR="008B79DD">
          <w:rPr>
            <w:noProof/>
            <w:webHidden/>
          </w:rPr>
          <w:fldChar w:fldCharType="end"/>
        </w:r>
      </w:hyperlink>
    </w:p>
    <w:p w14:paraId="7EDB663C" w14:textId="468A60F0" w:rsidR="009601AE" w:rsidRDefault="008B79DD" w:rsidP="009E3730">
      <w:pPr>
        <w:pStyle w:val="TOC1"/>
        <w:tabs>
          <w:tab w:val="right" w:leader="dot" w:pos="9077"/>
        </w:tabs>
        <w:suppressAutoHyphens/>
      </w:pPr>
      <w:r>
        <w:fldChar w:fldCharType="end"/>
      </w:r>
    </w:p>
    <w:p w14:paraId="41EE1451" w14:textId="77777777" w:rsidR="009601AE" w:rsidRDefault="009601AE" w:rsidP="009E3730">
      <w:pPr>
        <w:widowControl w:val="0"/>
        <w:suppressAutoHyphens/>
        <w:sectPr w:rsidR="009601AE">
          <w:pgSz w:w="11909" w:h="16834" w:code="9"/>
          <w:pgMar w:top="1411" w:right="1411" w:bottom="1411" w:left="1411" w:header="706" w:footer="706" w:gutter="0"/>
          <w:pgNumType w:fmt="lowerRoman" w:start="1"/>
          <w:cols w:space="709"/>
        </w:sectPr>
      </w:pPr>
    </w:p>
    <w:p w14:paraId="658E3F77" w14:textId="77777777" w:rsidR="009601AE" w:rsidRDefault="009601AE" w:rsidP="009E3730">
      <w:pPr>
        <w:pStyle w:val="Heading1"/>
        <w:widowControl w:val="0"/>
        <w:suppressAutoHyphens/>
      </w:pPr>
      <w:bookmarkStart w:id="11" w:name="_Toc385966090"/>
      <w:bookmarkStart w:id="12" w:name="_Toc401549687"/>
      <w:bookmarkStart w:id="13" w:name="_Toc435512605"/>
      <w:bookmarkStart w:id="14" w:name="_Toc486837748"/>
      <w:r>
        <w:lastRenderedPageBreak/>
        <w:t>List of Acronyms and Abbreviations</w:t>
      </w:r>
      <w:bookmarkEnd w:id="11"/>
      <w:bookmarkEnd w:id="12"/>
      <w:bookmarkEnd w:id="13"/>
      <w:bookmarkEnd w:id="14"/>
    </w:p>
    <w:p w14:paraId="1D25A27B" w14:textId="77777777" w:rsidR="009601AE" w:rsidRDefault="009601AE" w:rsidP="009E3730">
      <w:pPr>
        <w:widowControl w:val="0"/>
        <w:suppressAutoHyphens/>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92"/>
        <w:gridCol w:w="7230"/>
      </w:tblGrid>
      <w:tr w:rsidR="009601AE" w:rsidRPr="00690428" w14:paraId="5125C25B" w14:textId="77777777" w:rsidTr="00C90833">
        <w:trPr>
          <w:jc w:val="center"/>
        </w:trPr>
        <w:tc>
          <w:tcPr>
            <w:tcW w:w="1292" w:type="dxa"/>
            <w:tcBorders>
              <w:top w:val="single" w:sz="4" w:space="0" w:color="auto"/>
              <w:bottom w:val="nil"/>
              <w:right w:val="single" w:sz="4" w:space="0" w:color="auto"/>
            </w:tcBorders>
          </w:tcPr>
          <w:p w14:paraId="47D711E3" w14:textId="77777777" w:rsidR="009601AE" w:rsidRPr="00690428" w:rsidRDefault="009601AE" w:rsidP="009E3730">
            <w:pPr>
              <w:widowControl w:val="0"/>
              <w:suppressAutoHyphens/>
            </w:pPr>
            <w:r w:rsidRPr="00690428">
              <w:t>AAP</w:t>
            </w:r>
          </w:p>
        </w:tc>
        <w:tc>
          <w:tcPr>
            <w:tcW w:w="7230" w:type="dxa"/>
            <w:tcBorders>
              <w:top w:val="single" w:sz="4" w:space="0" w:color="auto"/>
              <w:left w:val="single" w:sz="4" w:space="0" w:color="auto"/>
              <w:bottom w:val="nil"/>
            </w:tcBorders>
          </w:tcPr>
          <w:p w14:paraId="20D61D10" w14:textId="77777777" w:rsidR="009601AE" w:rsidRPr="00690428" w:rsidRDefault="009601AE" w:rsidP="009E3730">
            <w:pPr>
              <w:widowControl w:val="0"/>
              <w:suppressAutoHyphens/>
            </w:pPr>
            <w:r w:rsidRPr="00690428">
              <w:t>Annual Action Plan (followed by year of funding decision)</w:t>
            </w:r>
          </w:p>
        </w:tc>
      </w:tr>
      <w:tr w:rsidR="009601AE" w:rsidRPr="00690428" w14:paraId="11474DD5" w14:textId="77777777" w:rsidTr="00C90833">
        <w:trPr>
          <w:jc w:val="center"/>
        </w:trPr>
        <w:tc>
          <w:tcPr>
            <w:tcW w:w="1292" w:type="dxa"/>
            <w:tcBorders>
              <w:top w:val="nil"/>
              <w:bottom w:val="nil"/>
              <w:right w:val="single" w:sz="4" w:space="0" w:color="auto"/>
            </w:tcBorders>
          </w:tcPr>
          <w:p w14:paraId="309E0B34" w14:textId="77777777" w:rsidR="009601AE" w:rsidRPr="00690428" w:rsidRDefault="009601AE" w:rsidP="009E3730">
            <w:pPr>
              <w:widowControl w:val="0"/>
              <w:suppressAutoHyphens/>
            </w:pPr>
            <w:r w:rsidRPr="00690428">
              <w:t>ADB/AsDB</w:t>
            </w:r>
          </w:p>
        </w:tc>
        <w:tc>
          <w:tcPr>
            <w:tcW w:w="7230" w:type="dxa"/>
            <w:tcBorders>
              <w:top w:val="nil"/>
              <w:left w:val="single" w:sz="4" w:space="0" w:color="auto"/>
              <w:bottom w:val="nil"/>
            </w:tcBorders>
          </w:tcPr>
          <w:p w14:paraId="3A20A42E" w14:textId="77777777" w:rsidR="009601AE" w:rsidRPr="00690428" w:rsidRDefault="009601AE" w:rsidP="009E3730">
            <w:pPr>
              <w:widowControl w:val="0"/>
              <w:suppressAutoHyphens/>
            </w:pPr>
            <w:r w:rsidRPr="00690428">
              <w:t>Asian Development Bank</w:t>
            </w:r>
          </w:p>
        </w:tc>
      </w:tr>
      <w:tr w:rsidR="009601AE" w:rsidRPr="00690428" w14:paraId="3B7F43BB" w14:textId="77777777" w:rsidTr="00C90833">
        <w:trPr>
          <w:jc w:val="center"/>
        </w:trPr>
        <w:tc>
          <w:tcPr>
            <w:tcW w:w="1292" w:type="dxa"/>
            <w:tcBorders>
              <w:top w:val="nil"/>
              <w:bottom w:val="nil"/>
              <w:right w:val="single" w:sz="4" w:space="0" w:color="auto"/>
            </w:tcBorders>
          </w:tcPr>
          <w:p w14:paraId="7781A50A" w14:textId="77777777" w:rsidR="009601AE" w:rsidRPr="00690428" w:rsidRDefault="009601AE" w:rsidP="009E3730">
            <w:pPr>
              <w:widowControl w:val="0"/>
              <w:suppressAutoHyphens/>
            </w:pPr>
            <w:r w:rsidRPr="00690428">
              <w:t>AM</w:t>
            </w:r>
          </w:p>
        </w:tc>
        <w:tc>
          <w:tcPr>
            <w:tcW w:w="7230" w:type="dxa"/>
            <w:tcBorders>
              <w:top w:val="nil"/>
              <w:left w:val="single" w:sz="4" w:space="0" w:color="auto"/>
              <w:bottom w:val="nil"/>
            </w:tcBorders>
          </w:tcPr>
          <w:p w14:paraId="43A56778" w14:textId="77777777" w:rsidR="009601AE" w:rsidRPr="00690428" w:rsidRDefault="009601AE" w:rsidP="009E3730">
            <w:pPr>
              <w:widowControl w:val="0"/>
              <w:suppressAutoHyphens/>
            </w:pPr>
            <w:r w:rsidRPr="00690428">
              <w:t>Aide Memoire</w:t>
            </w:r>
          </w:p>
        </w:tc>
      </w:tr>
      <w:tr w:rsidR="009601AE" w:rsidRPr="00690428" w14:paraId="4A9AFEB1" w14:textId="77777777" w:rsidTr="00C90833">
        <w:trPr>
          <w:jc w:val="center"/>
        </w:trPr>
        <w:tc>
          <w:tcPr>
            <w:tcW w:w="1292" w:type="dxa"/>
            <w:tcBorders>
              <w:top w:val="nil"/>
              <w:bottom w:val="nil"/>
              <w:right w:val="single" w:sz="4" w:space="0" w:color="auto"/>
            </w:tcBorders>
          </w:tcPr>
          <w:p w14:paraId="1C562E4F" w14:textId="77777777" w:rsidR="009601AE" w:rsidRPr="00690428" w:rsidRDefault="009601AE" w:rsidP="009E3730">
            <w:pPr>
              <w:widowControl w:val="0"/>
              <w:suppressAutoHyphens/>
            </w:pPr>
            <w:r w:rsidRPr="00690428">
              <w:t>BDD</w:t>
            </w:r>
          </w:p>
        </w:tc>
        <w:tc>
          <w:tcPr>
            <w:tcW w:w="7230" w:type="dxa"/>
            <w:tcBorders>
              <w:top w:val="nil"/>
              <w:left w:val="single" w:sz="4" w:space="0" w:color="auto"/>
              <w:bottom w:val="nil"/>
            </w:tcBorders>
          </w:tcPr>
          <w:p w14:paraId="313B4A37" w14:textId="77777777" w:rsidR="009601AE" w:rsidRPr="00690428" w:rsidRDefault="009601AE" w:rsidP="009E3730">
            <w:pPr>
              <w:widowControl w:val="0"/>
              <w:suppressAutoHyphens/>
            </w:pPr>
            <w:r w:rsidRPr="00690428">
              <w:t>Budget Basic Data and Directions Document (MTEF)</w:t>
            </w:r>
          </w:p>
        </w:tc>
      </w:tr>
      <w:tr w:rsidR="009601AE" w:rsidRPr="00690428" w14:paraId="74D689E1" w14:textId="77777777" w:rsidTr="00C90833">
        <w:trPr>
          <w:jc w:val="center"/>
        </w:trPr>
        <w:tc>
          <w:tcPr>
            <w:tcW w:w="1292" w:type="dxa"/>
            <w:tcBorders>
              <w:top w:val="nil"/>
              <w:bottom w:val="nil"/>
              <w:right w:val="single" w:sz="4" w:space="0" w:color="auto"/>
            </w:tcBorders>
          </w:tcPr>
          <w:p w14:paraId="3729968E" w14:textId="77777777" w:rsidR="009601AE" w:rsidRPr="00690428" w:rsidRDefault="009601AE" w:rsidP="009E3730">
            <w:pPr>
              <w:widowControl w:val="0"/>
              <w:suppressAutoHyphens/>
            </w:pPr>
            <w:r w:rsidRPr="00690428">
              <w:t>BO</w:t>
            </w:r>
          </w:p>
        </w:tc>
        <w:tc>
          <w:tcPr>
            <w:tcW w:w="7230" w:type="dxa"/>
            <w:tcBorders>
              <w:top w:val="nil"/>
              <w:left w:val="single" w:sz="4" w:space="0" w:color="auto"/>
              <w:bottom w:val="nil"/>
            </w:tcBorders>
          </w:tcPr>
          <w:p w14:paraId="51819FA6" w14:textId="77777777" w:rsidR="009601AE" w:rsidRPr="00690428" w:rsidRDefault="009601AE" w:rsidP="009E3730">
            <w:pPr>
              <w:widowControl w:val="0"/>
              <w:suppressAutoHyphens/>
            </w:pPr>
            <w:r w:rsidRPr="00690428">
              <w:t>Budgetary Organization</w:t>
            </w:r>
          </w:p>
        </w:tc>
      </w:tr>
      <w:tr w:rsidR="009601AE" w:rsidRPr="00690428" w14:paraId="424ED7CB" w14:textId="77777777" w:rsidTr="00C90833">
        <w:trPr>
          <w:jc w:val="center"/>
        </w:trPr>
        <w:tc>
          <w:tcPr>
            <w:tcW w:w="1292" w:type="dxa"/>
            <w:tcBorders>
              <w:top w:val="nil"/>
              <w:bottom w:val="nil"/>
              <w:right w:val="single" w:sz="4" w:space="0" w:color="auto"/>
            </w:tcBorders>
          </w:tcPr>
          <w:p w14:paraId="65747020" w14:textId="77777777" w:rsidR="009601AE" w:rsidRPr="00690428" w:rsidRDefault="009601AE" w:rsidP="009E3730">
            <w:pPr>
              <w:widowControl w:val="0"/>
              <w:suppressAutoHyphens/>
            </w:pPr>
            <w:r w:rsidRPr="00690428">
              <w:t>BS</w:t>
            </w:r>
          </w:p>
        </w:tc>
        <w:tc>
          <w:tcPr>
            <w:tcW w:w="7230" w:type="dxa"/>
            <w:tcBorders>
              <w:top w:val="nil"/>
              <w:left w:val="single" w:sz="4" w:space="0" w:color="auto"/>
              <w:bottom w:val="nil"/>
            </w:tcBorders>
          </w:tcPr>
          <w:p w14:paraId="3EFE7156" w14:textId="77777777" w:rsidR="009601AE" w:rsidRPr="00690428" w:rsidRDefault="009601AE" w:rsidP="009E3730">
            <w:pPr>
              <w:widowControl w:val="0"/>
              <w:suppressAutoHyphens/>
            </w:pPr>
            <w:r w:rsidRPr="00690428">
              <w:t>Budget Support</w:t>
            </w:r>
          </w:p>
        </w:tc>
      </w:tr>
      <w:tr w:rsidR="009601AE" w:rsidRPr="00690428" w14:paraId="1673EB1F" w14:textId="77777777" w:rsidTr="00C90833">
        <w:trPr>
          <w:jc w:val="center"/>
        </w:trPr>
        <w:tc>
          <w:tcPr>
            <w:tcW w:w="1292" w:type="dxa"/>
            <w:tcBorders>
              <w:top w:val="nil"/>
              <w:bottom w:val="nil"/>
              <w:right w:val="single" w:sz="4" w:space="0" w:color="auto"/>
            </w:tcBorders>
          </w:tcPr>
          <w:p w14:paraId="65B961A2" w14:textId="77777777" w:rsidR="009601AE" w:rsidRPr="00690428" w:rsidRDefault="009601AE" w:rsidP="009E3730">
            <w:pPr>
              <w:widowControl w:val="0"/>
              <w:suppressAutoHyphens/>
            </w:pPr>
            <w:r>
              <w:t>CoCIMB</w:t>
            </w:r>
          </w:p>
        </w:tc>
        <w:tc>
          <w:tcPr>
            <w:tcW w:w="7230" w:type="dxa"/>
            <w:tcBorders>
              <w:top w:val="nil"/>
              <w:left w:val="single" w:sz="4" w:space="0" w:color="auto"/>
              <w:bottom w:val="nil"/>
            </w:tcBorders>
          </w:tcPr>
          <w:p w14:paraId="13E36A5B" w14:textId="77777777" w:rsidR="009601AE" w:rsidRPr="00690428" w:rsidRDefault="009601AE" w:rsidP="009E3730">
            <w:pPr>
              <w:widowControl w:val="0"/>
              <w:suppressAutoHyphens/>
            </w:pPr>
            <w:r>
              <w:t xml:space="preserve">Chamber of Commerce and Industry for Munich and Upper Bavaria </w:t>
            </w:r>
          </w:p>
        </w:tc>
      </w:tr>
      <w:tr w:rsidR="009601AE" w:rsidRPr="00690428" w14:paraId="5E7430A3" w14:textId="77777777" w:rsidTr="00C90833">
        <w:trPr>
          <w:jc w:val="center"/>
        </w:trPr>
        <w:tc>
          <w:tcPr>
            <w:tcW w:w="1292" w:type="dxa"/>
            <w:tcBorders>
              <w:top w:val="nil"/>
              <w:bottom w:val="nil"/>
              <w:right w:val="single" w:sz="4" w:space="0" w:color="auto"/>
            </w:tcBorders>
          </w:tcPr>
          <w:p w14:paraId="780FB15E" w14:textId="77777777" w:rsidR="009601AE" w:rsidRPr="00690428" w:rsidRDefault="009601AE" w:rsidP="009E3730">
            <w:pPr>
              <w:widowControl w:val="0"/>
              <w:suppressAutoHyphens/>
            </w:pPr>
            <w:r w:rsidRPr="00690428">
              <w:t>CSO</w:t>
            </w:r>
          </w:p>
        </w:tc>
        <w:tc>
          <w:tcPr>
            <w:tcW w:w="7230" w:type="dxa"/>
            <w:tcBorders>
              <w:top w:val="nil"/>
              <w:left w:val="single" w:sz="4" w:space="0" w:color="auto"/>
              <w:bottom w:val="nil"/>
            </w:tcBorders>
          </w:tcPr>
          <w:p w14:paraId="0D144A54" w14:textId="77777777" w:rsidR="009601AE" w:rsidRPr="00690428" w:rsidRDefault="009601AE" w:rsidP="009E3730">
            <w:pPr>
              <w:widowControl w:val="0"/>
              <w:suppressAutoHyphens/>
            </w:pPr>
            <w:r w:rsidRPr="00690428">
              <w:t>Civil Society Organization</w:t>
            </w:r>
          </w:p>
        </w:tc>
      </w:tr>
      <w:tr w:rsidR="009601AE" w:rsidRPr="00690428" w14:paraId="67A5F421" w14:textId="77777777" w:rsidTr="00C90833">
        <w:trPr>
          <w:jc w:val="center"/>
        </w:trPr>
        <w:tc>
          <w:tcPr>
            <w:tcW w:w="1292" w:type="dxa"/>
            <w:tcBorders>
              <w:top w:val="nil"/>
              <w:bottom w:val="nil"/>
              <w:right w:val="single" w:sz="4" w:space="0" w:color="auto"/>
            </w:tcBorders>
          </w:tcPr>
          <w:p w14:paraId="2A7AB8EE" w14:textId="77777777" w:rsidR="009601AE" w:rsidRPr="00690428" w:rsidRDefault="009601AE" w:rsidP="009E3730">
            <w:pPr>
              <w:widowControl w:val="0"/>
              <w:suppressAutoHyphens/>
            </w:pPr>
            <w:r w:rsidRPr="00690428">
              <w:t>DfID</w:t>
            </w:r>
          </w:p>
        </w:tc>
        <w:tc>
          <w:tcPr>
            <w:tcW w:w="7230" w:type="dxa"/>
            <w:tcBorders>
              <w:top w:val="nil"/>
              <w:left w:val="single" w:sz="4" w:space="0" w:color="auto"/>
              <w:bottom w:val="nil"/>
            </w:tcBorders>
          </w:tcPr>
          <w:p w14:paraId="41154286" w14:textId="77777777" w:rsidR="009601AE" w:rsidRPr="00690428" w:rsidRDefault="009601AE" w:rsidP="009E3730">
            <w:pPr>
              <w:widowControl w:val="0"/>
              <w:suppressAutoHyphens/>
            </w:pPr>
            <w:r w:rsidRPr="00690428">
              <w:t>Department for International Development (UK)</w:t>
            </w:r>
          </w:p>
        </w:tc>
      </w:tr>
      <w:tr w:rsidR="009601AE" w:rsidRPr="00690428" w14:paraId="5AE63DA0" w14:textId="77777777" w:rsidTr="00C90833">
        <w:trPr>
          <w:jc w:val="center"/>
        </w:trPr>
        <w:tc>
          <w:tcPr>
            <w:tcW w:w="1292" w:type="dxa"/>
            <w:tcBorders>
              <w:top w:val="nil"/>
              <w:bottom w:val="nil"/>
              <w:right w:val="single" w:sz="4" w:space="0" w:color="auto"/>
            </w:tcBorders>
          </w:tcPr>
          <w:p w14:paraId="649393F1" w14:textId="77777777" w:rsidR="009601AE" w:rsidRPr="00690428" w:rsidRDefault="009601AE" w:rsidP="009E3730">
            <w:pPr>
              <w:widowControl w:val="0"/>
              <w:suppressAutoHyphens/>
            </w:pPr>
            <w:r w:rsidRPr="00690428">
              <w:t>EaPIC</w:t>
            </w:r>
          </w:p>
        </w:tc>
        <w:tc>
          <w:tcPr>
            <w:tcW w:w="7230" w:type="dxa"/>
            <w:tcBorders>
              <w:top w:val="nil"/>
              <w:left w:val="single" w:sz="4" w:space="0" w:color="auto"/>
              <w:bottom w:val="nil"/>
            </w:tcBorders>
          </w:tcPr>
          <w:p w14:paraId="0C9F6B5B" w14:textId="77777777" w:rsidR="009601AE" w:rsidRPr="00690428" w:rsidRDefault="009601AE" w:rsidP="009E3730">
            <w:pPr>
              <w:widowControl w:val="0"/>
              <w:suppressAutoHyphens/>
            </w:pPr>
            <w:r w:rsidRPr="00690428">
              <w:t xml:space="preserve">Eastern Partnership Programme for Integration and Cooperation </w:t>
            </w:r>
          </w:p>
        </w:tc>
      </w:tr>
      <w:tr w:rsidR="009601AE" w:rsidRPr="00690428" w14:paraId="669C252C" w14:textId="77777777" w:rsidTr="00C90833">
        <w:trPr>
          <w:jc w:val="center"/>
        </w:trPr>
        <w:tc>
          <w:tcPr>
            <w:tcW w:w="1292" w:type="dxa"/>
            <w:tcBorders>
              <w:top w:val="nil"/>
              <w:bottom w:val="nil"/>
              <w:right w:val="single" w:sz="4" w:space="0" w:color="auto"/>
            </w:tcBorders>
          </w:tcPr>
          <w:p w14:paraId="4DD70C79" w14:textId="77777777" w:rsidR="009601AE" w:rsidRPr="00690428" w:rsidRDefault="009601AE" w:rsidP="009E3730">
            <w:pPr>
              <w:widowControl w:val="0"/>
              <w:suppressAutoHyphens/>
            </w:pPr>
            <w:r w:rsidRPr="00690428">
              <w:t>EC</w:t>
            </w:r>
          </w:p>
        </w:tc>
        <w:tc>
          <w:tcPr>
            <w:tcW w:w="7230" w:type="dxa"/>
            <w:tcBorders>
              <w:top w:val="nil"/>
              <w:left w:val="single" w:sz="4" w:space="0" w:color="auto"/>
              <w:bottom w:val="nil"/>
            </w:tcBorders>
          </w:tcPr>
          <w:p w14:paraId="4E0666A2" w14:textId="77777777" w:rsidR="009601AE" w:rsidRPr="00690428" w:rsidRDefault="009601AE" w:rsidP="009E3730">
            <w:pPr>
              <w:widowControl w:val="0"/>
              <w:suppressAutoHyphens/>
            </w:pPr>
            <w:r w:rsidRPr="00690428">
              <w:t>European Commission</w:t>
            </w:r>
          </w:p>
        </w:tc>
      </w:tr>
      <w:tr w:rsidR="009601AE" w:rsidRPr="00690428" w14:paraId="00BBA34F" w14:textId="77777777" w:rsidTr="00C90833">
        <w:trPr>
          <w:jc w:val="center"/>
        </w:trPr>
        <w:tc>
          <w:tcPr>
            <w:tcW w:w="1292" w:type="dxa"/>
            <w:tcBorders>
              <w:top w:val="nil"/>
              <w:bottom w:val="nil"/>
              <w:right w:val="single" w:sz="4" w:space="0" w:color="auto"/>
            </w:tcBorders>
          </w:tcPr>
          <w:p w14:paraId="0F4AFE66" w14:textId="77777777" w:rsidR="009601AE" w:rsidRPr="00690428" w:rsidRDefault="009601AE" w:rsidP="009E3730">
            <w:pPr>
              <w:widowControl w:val="0"/>
              <w:suppressAutoHyphens/>
            </w:pPr>
            <w:r w:rsidRPr="00690428">
              <w:t>EBRD</w:t>
            </w:r>
          </w:p>
        </w:tc>
        <w:tc>
          <w:tcPr>
            <w:tcW w:w="7230" w:type="dxa"/>
            <w:tcBorders>
              <w:top w:val="nil"/>
              <w:left w:val="single" w:sz="4" w:space="0" w:color="auto"/>
              <w:bottom w:val="nil"/>
            </w:tcBorders>
          </w:tcPr>
          <w:p w14:paraId="4B0E5ABB" w14:textId="77777777" w:rsidR="009601AE" w:rsidRPr="00690428" w:rsidRDefault="009601AE" w:rsidP="009E3730">
            <w:pPr>
              <w:widowControl w:val="0"/>
              <w:suppressAutoHyphens/>
            </w:pPr>
            <w:r w:rsidRPr="00690428">
              <w:t>European Bank for Reconstruction and Development</w:t>
            </w:r>
          </w:p>
        </w:tc>
      </w:tr>
      <w:tr w:rsidR="009601AE" w:rsidRPr="00690428" w14:paraId="55AD1F61" w14:textId="77777777" w:rsidTr="00C90833">
        <w:trPr>
          <w:jc w:val="center"/>
        </w:trPr>
        <w:tc>
          <w:tcPr>
            <w:tcW w:w="1292" w:type="dxa"/>
            <w:tcBorders>
              <w:top w:val="nil"/>
              <w:bottom w:val="nil"/>
              <w:right w:val="single" w:sz="4" w:space="0" w:color="auto"/>
            </w:tcBorders>
          </w:tcPr>
          <w:p w14:paraId="3974CC57" w14:textId="77777777" w:rsidR="009601AE" w:rsidRPr="00690428" w:rsidRDefault="009601AE" w:rsidP="009E3730">
            <w:pPr>
              <w:widowControl w:val="0"/>
              <w:suppressAutoHyphens/>
            </w:pPr>
            <w:r w:rsidRPr="00690428">
              <w:t>EMIS</w:t>
            </w:r>
          </w:p>
        </w:tc>
        <w:tc>
          <w:tcPr>
            <w:tcW w:w="7230" w:type="dxa"/>
            <w:tcBorders>
              <w:top w:val="nil"/>
              <w:left w:val="single" w:sz="4" w:space="0" w:color="auto"/>
              <w:bottom w:val="nil"/>
            </w:tcBorders>
          </w:tcPr>
          <w:p w14:paraId="50CFF9C0" w14:textId="77777777" w:rsidR="009601AE" w:rsidRPr="00690428" w:rsidRDefault="009601AE" w:rsidP="009E3730">
            <w:pPr>
              <w:widowControl w:val="0"/>
              <w:suppressAutoHyphens/>
            </w:pPr>
            <w:r w:rsidRPr="00690428">
              <w:t>Education Management Information System</w:t>
            </w:r>
          </w:p>
        </w:tc>
      </w:tr>
      <w:tr w:rsidR="009601AE" w:rsidRPr="00690428" w14:paraId="2206B7D3" w14:textId="77777777" w:rsidTr="00C90833">
        <w:trPr>
          <w:jc w:val="center"/>
        </w:trPr>
        <w:tc>
          <w:tcPr>
            <w:tcW w:w="1292" w:type="dxa"/>
            <w:tcBorders>
              <w:top w:val="nil"/>
              <w:bottom w:val="nil"/>
              <w:right w:val="single" w:sz="4" w:space="0" w:color="auto"/>
            </w:tcBorders>
          </w:tcPr>
          <w:p w14:paraId="6D99A3E7" w14:textId="77777777" w:rsidR="009601AE" w:rsidRPr="00690428" w:rsidRDefault="009601AE" w:rsidP="009E3730">
            <w:pPr>
              <w:widowControl w:val="0"/>
              <w:suppressAutoHyphens/>
            </w:pPr>
            <w:r w:rsidRPr="00690428">
              <w:t>ENP</w:t>
            </w:r>
          </w:p>
        </w:tc>
        <w:tc>
          <w:tcPr>
            <w:tcW w:w="7230" w:type="dxa"/>
            <w:tcBorders>
              <w:top w:val="nil"/>
              <w:left w:val="single" w:sz="4" w:space="0" w:color="auto"/>
              <w:bottom w:val="nil"/>
            </w:tcBorders>
          </w:tcPr>
          <w:p w14:paraId="3A31C2B0" w14:textId="77777777" w:rsidR="009601AE" w:rsidRPr="00690428" w:rsidRDefault="009601AE" w:rsidP="009E3730">
            <w:pPr>
              <w:widowControl w:val="0"/>
              <w:suppressAutoHyphens/>
            </w:pPr>
            <w:r w:rsidRPr="00690428">
              <w:t>European Neighbourhood Policy</w:t>
            </w:r>
          </w:p>
        </w:tc>
      </w:tr>
      <w:tr w:rsidR="009601AE" w:rsidRPr="00690428" w14:paraId="6FE02182" w14:textId="77777777" w:rsidTr="00C90833">
        <w:trPr>
          <w:jc w:val="center"/>
        </w:trPr>
        <w:tc>
          <w:tcPr>
            <w:tcW w:w="1292" w:type="dxa"/>
            <w:tcBorders>
              <w:top w:val="nil"/>
              <w:bottom w:val="nil"/>
              <w:right w:val="single" w:sz="4" w:space="0" w:color="auto"/>
            </w:tcBorders>
          </w:tcPr>
          <w:p w14:paraId="76C6E3FA" w14:textId="77777777" w:rsidR="009601AE" w:rsidRPr="00690428" w:rsidRDefault="009601AE" w:rsidP="009E3730">
            <w:pPr>
              <w:widowControl w:val="0"/>
              <w:suppressAutoHyphens/>
            </w:pPr>
            <w:r w:rsidRPr="00690428">
              <w:t>ENPI</w:t>
            </w:r>
          </w:p>
        </w:tc>
        <w:tc>
          <w:tcPr>
            <w:tcW w:w="7230" w:type="dxa"/>
            <w:tcBorders>
              <w:top w:val="nil"/>
              <w:left w:val="single" w:sz="4" w:space="0" w:color="auto"/>
              <w:bottom w:val="nil"/>
            </w:tcBorders>
          </w:tcPr>
          <w:p w14:paraId="4724F537" w14:textId="77777777" w:rsidR="009601AE" w:rsidRPr="00690428" w:rsidRDefault="009601AE" w:rsidP="009E3730">
            <w:pPr>
              <w:widowControl w:val="0"/>
              <w:suppressAutoHyphens/>
            </w:pPr>
            <w:r w:rsidRPr="00690428">
              <w:t>European Neighbourhood and Partnership Instrument</w:t>
            </w:r>
          </w:p>
        </w:tc>
      </w:tr>
      <w:tr w:rsidR="009601AE" w:rsidRPr="00690428" w14:paraId="64A1DEF6" w14:textId="77777777" w:rsidTr="00C90833">
        <w:trPr>
          <w:jc w:val="center"/>
        </w:trPr>
        <w:tc>
          <w:tcPr>
            <w:tcW w:w="1292" w:type="dxa"/>
            <w:tcBorders>
              <w:top w:val="nil"/>
              <w:bottom w:val="nil"/>
              <w:right w:val="single" w:sz="4" w:space="0" w:color="auto"/>
            </w:tcBorders>
          </w:tcPr>
          <w:p w14:paraId="047272F7" w14:textId="77777777" w:rsidR="009601AE" w:rsidRPr="00690428" w:rsidRDefault="009601AE" w:rsidP="009E3730">
            <w:pPr>
              <w:widowControl w:val="0"/>
              <w:suppressAutoHyphens/>
            </w:pPr>
            <w:r w:rsidRPr="00690428">
              <w:t>EQF</w:t>
            </w:r>
          </w:p>
        </w:tc>
        <w:tc>
          <w:tcPr>
            <w:tcW w:w="7230" w:type="dxa"/>
            <w:tcBorders>
              <w:top w:val="nil"/>
              <w:left w:val="single" w:sz="4" w:space="0" w:color="auto"/>
              <w:bottom w:val="nil"/>
            </w:tcBorders>
          </w:tcPr>
          <w:p w14:paraId="35B10F39" w14:textId="77777777" w:rsidR="009601AE" w:rsidRPr="00690428" w:rsidRDefault="009601AE" w:rsidP="009E3730">
            <w:pPr>
              <w:widowControl w:val="0"/>
              <w:suppressAutoHyphens/>
            </w:pPr>
            <w:r w:rsidRPr="00690428">
              <w:t>European Qualifications Framework</w:t>
            </w:r>
          </w:p>
        </w:tc>
      </w:tr>
      <w:tr w:rsidR="009601AE" w:rsidRPr="00690428" w14:paraId="3CA2D569" w14:textId="77777777" w:rsidTr="00C90833">
        <w:trPr>
          <w:jc w:val="center"/>
        </w:trPr>
        <w:tc>
          <w:tcPr>
            <w:tcW w:w="1292" w:type="dxa"/>
            <w:tcBorders>
              <w:top w:val="nil"/>
              <w:bottom w:val="nil"/>
              <w:right w:val="single" w:sz="4" w:space="0" w:color="auto"/>
            </w:tcBorders>
          </w:tcPr>
          <w:p w14:paraId="30F37ABB" w14:textId="77777777" w:rsidR="009601AE" w:rsidRPr="00690428" w:rsidRDefault="009601AE" w:rsidP="009E3730">
            <w:pPr>
              <w:widowControl w:val="0"/>
              <w:suppressAutoHyphens/>
            </w:pPr>
            <w:r w:rsidRPr="00690428">
              <w:t>ESS</w:t>
            </w:r>
          </w:p>
        </w:tc>
        <w:tc>
          <w:tcPr>
            <w:tcW w:w="7230" w:type="dxa"/>
            <w:tcBorders>
              <w:top w:val="nil"/>
              <w:left w:val="single" w:sz="4" w:space="0" w:color="auto"/>
              <w:bottom w:val="nil"/>
            </w:tcBorders>
          </w:tcPr>
          <w:p w14:paraId="07B818FA" w14:textId="77777777" w:rsidR="009601AE" w:rsidRPr="00690428" w:rsidRDefault="009601AE" w:rsidP="009E3730">
            <w:pPr>
              <w:widowControl w:val="0"/>
              <w:suppressAutoHyphens/>
            </w:pPr>
            <w:r w:rsidRPr="00690428">
              <w:t>Employment Support Services</w:t>
            </w:r>
          </w:p>
        </w:tc>
      </w:tr>
      <w:tr w:rsidR="009601AE" w:rsidRPr="00690428" w14:paraId="23852436" w14:textId="77777777" w:rsidTr="00C90833">
        <w:trPr>
          <w:jc w:val="center"/>
        </w:trPr>
        <w:tc>
          <w:tcPr>
            <w:tcW w:w="1292" w:type="dxa"/>
            <w:tcBorders>
              <w:top w:val="nil"/>
              <w:bottom w:val="nil"/>
              <w:right w:val="single" w:sz="4" w:space="0" w:color="auto"/>
            </w:tcBorders>
          </w:tcPr>
          <w:p w14:paraId="4DE1E586" w14:textId="77777777" w:rsidR="009601AE" w:rsidRPr="00690428" w:rsidRDefault="009601AE" w:rsidP="009E3730">
            <w:pPr>
              <w:widowControl w:val="0"/>
              <w:suppressAutoHyphens/>
            </w:pPr>
            <w:r w:rsidRPr="00690428">
              <w:t>ETF</w:t>
            </w:r>
          </w:p>
        </w:tc>
        <w:tc>
          <w:tcPr>
            <w:tcW w:w="7230" w:type="dxa"/>
            <w:tcBorders>
              <w:top w:val="nil"/>
              <w:left w:val="single" w:sz="4" w:space="0" w:color="auto"/>
              <w:bottom w:val="nil"/>
            </w:tcBorders>
          </w:tcPr>
          <w:p w14:paraId="6E2F3159" w14:textId="77777777" w:rsidR="009601AE" w:rsidRPr="00690428" w:rsidRDefault="009601AE" w:rsidP="009E3730">
            <w:pPr>
              <w:widowControl w:val="0"/>
              <w:suppressAutoHyphens/>
            </w:pPr>
            <w:r w:rsidRPr="00690428">
              <w:t>European Training Foundation</w:t>
            </w:r>
          </w:p>
        </w:tc>
      </w:tr>
      <w:tr w:rsidR="009601AE" w:rsidRPr="00690428" w14:paraId="5F23C719" w14:textId="77777777" w:rsidTr="00C90833">
        <w:trPr>
          <w:jc w:val="center"/>
        </w:trPr>
        <w:tc>
          <w:tcPr>
            <w:tcW w:w="1292" w:type="dxa"/>
            <w:tcBorders>
              <w:top w:val="nil"/>
              <w:bottom w:val="nil"/>
              <w:right w:val="single" w:sz="4" w:space="0" w:color="auto"/>
            </w:tcBorders>
          </w:tcPr>
          <w:p w14:paraId="45CAEF47" w14:textId="77777777" w:rsidR="009601AE" w:rsidRPr="00690428" w:rsidRDefault="009601AE" w:rsidP="009E3730">
            <w:pPr>
              <w:widowControl w:val="0"/>
              <w:suppressAutoHyphens/>
            </w:pPr>
            <w:r w:rsidRPr="00690428">
              <w:t>EU</w:t>
            </w:r>
          </w:p>
        </w:tc>
        <w:tc>
          <w:tcPr>
            <w:tcW w:w="7230" w:type="dxa"/>
            <w:tcBorders>
              <w:top w:val="nil"/>
              <w:left w:val="single" w:sz="4" w:space="0" w:color="auto"/>
              <w:bottom w:val="nil"/>
            </w:tcBorders>
          </w:tcPr>
          <w:p w14:paraId="154A5176" w14:textId="77777777" w:rsidR="009601AE" w:rsidRPr="00690428" w:rsidRDefault="009601AE" w:rsidP="009E3730">
            <w:pPr>
              <w:widowControl w:val="0"/>
              <w:suppressAutoHyphens/>
            </w:pPr>
            <w:r w:rsidRPr="00690428">
              <w:t>European Union</w:t>
            </w:r>
          </w:p>
        </w:tc>
      </w:tr>
      <w:tr w:rsidR="009601AE" w:rsidRPr="00690428" w14:paraId="469A9217" w14:textId="77777777" w:rsidTr="00C90833">
        <w:trPr>
          <w:jc w:val="center"/>
        </w:trPr>
        <w:tc>
          <w:tcPr>
            <w:tcW w:w="1292" w:type="dxa"/>
            <w:tcBorders>
              <w:top w:val="nil"/>
              <w:bottom w:val="nil"/>
              <w:right w:val="single" w:sz="4" w:space="0" w:color="auto"/>
            </w:tcBorders>
          </w:tcPr>
          <w:p w14:paraId="7A9A02DD" w14:textId="77777777" w:rsidR="009601AE" w:rsidRPr="00690428" w:rsidRDefault="009601AE" w:rsidP="009E3730">
            <w:pPr>
              <w:widowControl w:val="0"/>
              <w:suppressAutoHyphens/>
            </w:pPr>
            <w:r w:rsidRPr="00690428">
              <w:t>EUD</w:t>
            </w:r>
          </w:p>
        </w:tc>
        <w:tc>
          <w:tcPr>
            <w:tcW w:w="7230" w:type="dxa"/>
            <w:tcBorders>
              <w:top w:val="nil"/>
              <w:left w:val="single" w:sz="4" w:space="0" w:color="auto"/>
              <w:bottom w:val="nil"/>
            </w:tcBorders>
          </w:tcPr>
          <w:p w14:paraId="016CD100" w14:textId="77777777" w:rsidR="009601AE" w:rsidRPr="00690428" w:rsidRDefault="009601AE" w:rsidP="009E3730">
            <w:pPr>
              <w:widowControl w:val="0"/>
              <w:suppressAutoHyphens/>
            </w:pPr>
            <w:r w:rsidRPr="00690428">
              <w:t>Delegation of the European Union to Georgia</w:t>
            </w:r>
          </w:p>
        </w:tc>
      </w:tr>
      <w:tr w:rsidR="009601AE" w:rsidRPr="00690428" w14:paraId="099B5345" w14:textId="77777777" w:rsidTr="00C90833">
        <w:trPr>
          <w:jc w:val="center"/>
        </w:trPr>
        <w:tc>
          <w:tcPr>
            <w:tcW w:w="1292" w:type="dxa"/>
            <w:tcBorders>
              <w:top w:val="nil"/>
              <w:bottom w:val="nil"/>
              <w:right w:val="single" w:sz="4" w:space="0" w:color="auto"/>
            </w:tcBorders>
          </w:tcPr>
          <w:p w14:paraId="32E352D3" w14:textId="586B76F8" w:rsidR="009601AE" w:rsidRPr="00690428" w:rsidRDefault="009601AE" w:rsidP="009E3730">
            <w:pPr>
              <w:widowControl w:val="0"/>
              <w:suppressAutoHyphens/>
            </w:pPr>
            <w:r>
              <w:t xml:space="preserve">EU </w:t>
            </w:r>
            <w:r w:rsidR="00B520E5">
              <w:t>VEGE</w:t>
            </w:r>
          </w:p>
        </w:tc>
        <w:tc>
          <w:tcPr>
            <w:tcW w:w="7230" w:type="dxa"/>
            <w:tcBorders>
              <w:top w:val="nil"/>
              <w:left w:val="single" w:sz="4" w:space="0" w:color="auto"/>
              <w:bottom w:val="nil"/>
            </w:tcBorders>
          </w:tcPr>
          <w:p w14:paraId="55ED3F1E" w14:textId="77777777" w:rsidR="009601AE" w:rsidRPr="00690428" w:rsidRDefault="009601AE" w:rsidP="009E3730">
            <w:pPr>
              <w:widowControl w:val="0"/>
              <w:suppressAutoHyphens/>
            </w:pPr>
            <w:r>
              <w:t>EU TA to VET and Employment Reforms in Georgia Project</w:t>
            </w:r>
          </w:p>
        </w:tc>
      </w:tr>
      <w:tr w:rsidR="009601AE" w:rsidRPr="00690428" w14:paraId="71426DF5" w14:textId="77777777" w:rsidTr="00C90833">
        <w:trPr>
          <w:jc w:val="center"/>
        </w:trPr>
        <w:tc>
          <w:tcPr>
            <w:tcW w:w="1292" w:type="dxa"/>
            <w:tcBorders>
              <w:top w:val="nil"/>
              <w:bottom w:val="nil"/>
              <w:right w:val="single" w:sz="4" w:space="0" w:color="auto"/>
            </w:tcBorders>
          </w:tcPr>
          <w:p w14:paraId="26D62ABA" w14:textId="77777777" w:rsidR="009601AE" w:rsidRPr="00690428" w:rsidRDefault="009601AE" w:rsidP="009E3730">
            <w:pPr>
              <w:widowControl w:val="0"/>
              <w:suppressAutoHyphens/>
            </w:pPr>
            <w:r w:rsidRPr="00690428">
              <w:t>EVET</w:t>
            </w:r>
          </w:p>
        </w:tc>
        <w:tc>
          <w:tcPr>
            <w:tcW w:w="7230" w:type="dxa"/>
            <w:tcBorders>
              <w:top w:val="nil"/>
              <w:left w:val="single" w:sz="4" w:space="0" w:color="auto"/>
              <w:bottom w:val="nil"/>
            </w:tcBorders>
          </w:tcPr>
          <w:p w14:paraId="0131DEF1" w14:textId="77777777" w:rsidR="009601AE" w:rsidRPr="00690428" w:rsidRDefault="009601AE" w:rsidP="009E3730">
            <w:pPr>
              <w:widowControl w:val="0"/>
              <w:suppressAutoHyphens/>
            </w:pPr>
            <w:r w:rsidRPr="00690428">
              <w:t>Employment and VET</w:t>
            </w:r>
          </w:p>
        </w:tc>
      </w:tr>
      <w:tr w:rsidR="009601AE" w:rsidRPr="00690428" w14:paraId="5AE7AA28" w14:textId="77777777" w:rsidTr="00C90833">
        <w:trPr>
          <w:jc w:val="center"/>
        </w:trPr>
        <w:tc>
          <w:tcPr>
            <w:tcW w:w="1292" w:type="dxa"/>
            <w:tcBorders>
              <w:top w:val="nil"/>
              <w:bottom w:val="nil"/>
              <w:right w:val="single" w:sz="4" w:space="0" w:color="auto"/>
            </w:tcBorders>
          </w:tcPr>
          <w:p w14:paraId="1C8148DE" w14:textId="77777777" w:rsidR="009601AE" w:rsidRPr="00690428" w:rsidRDefault="009601AE" w:rsidP="009E3730">
            <w:pPr>
              <w:widowControl w:val="0"/>
              <w:suppressAutoHyphens/>
            </w:pPr>
            <w:r w:rsidRPr="00690428">
              <w:t>EVETC</w:t>
            </w:r>
          </w:p>
        </w:tc>
        <w:tc>
          <w:tcPr>
            <w:tcW w:w="7230" w:type="dxa"/>
            <w:tcBorders>
              <w:top w:val="nil"/>
              <w:left w:val="single" w:sz="4" w:space="0" w:color="auto"/>
              <w:bottom w:val="nil"/>
            </w:tcBorders>
          </w:tcPr>
          <w:p w14:paraId="26D52B37" w14:textId="77777777" w:rsidR="009601AE" w:rsidRPr="00690428" w:rsidRDefault="009601AE" w:rsidP="009E3730">
            <w:pPr>
              <w:widowControl w:val="0"/>
              <w:suppressAutoHyphens/>
            </w:pPr>
            <w:r w:rsidRPr="00690428">
              <w:t>Employment and VET Council (SPSP Steering Committee)</w:t>
            </w:r>
          </w:p>
        </w:tc>
      </w:tr>
      <w:tr w:rsidR="009601AE" w:rsidRPr="00690428" w14:paraId="7D3CEB6E" w14:textId="77777777" w:rsidTr="00C90833">
        <w:trPr>
          <w:jc w:val="center"/>
        </w:trPr>
        <w:tc>
          <w:tcPr>
            <w:tcW w:w="1292" w:type="dxa"/>
            <w:tcBorders>
              <w:top w:val="nil"/>
              <w:bottom w:val="nil"/>
              <w:right w:val="single" w:sz="4" w:space="0" w:color="auto"/>
            </w:tcBorders>
          </w:tcPr>
          <w:p w14:paraId="04779DD2" w14:textId="77777777" w:rsidR="009601AE" w:rsidRPr="00690428" w:rsidRDefault="009601AE" w:rsidP="009E3730">
            <w:pPr>
              <w:widowControl w:val="0"/>
              <w:suppressAutoHyphens/>
            </w:pPr>
            <w:r w:rsidRPr="00690428">
              <w:t>FA</w:t>
            </w:r>
          </w:p>
        </w:tc>
        <w:tc>
          <w:tcPr>
            <w:tcW w:w="7230" w:type="dxa"/>
            <w:tcBorders>
              <w:top w:val="nil"/>
              <w:left w:val="single" w:sz="4" w:space="0" w:color="auto"/>
              <w:bottom w:val="nil"/>
            </w:tcBorders>
          </w:tcPr>
          <w:p w14:paraId="7BEE3A3B" w14:textId="77777777" w:rsidR="009601AE" w:rsidRPr="00690428" w:rsidRDefault="009601AE" w:rsidP="009E3730">
            <w:pPr>
              <w:widowControl w:val="0"/>
              <w:suppressAutoHyphens/>
            </w:pPr>
            <w:r w:rsidRPr="00690428">
              <w:t>Financing Agreement</w:t>
            </w:r>
          </w:p>
        </w:tc>
      </w:tr>
      <w:tr w:rsidR="009601AE" w:rsidRPr="00690428" w14:paraId="51AEF269" w14:textId="77777777" w:rsidTr="00C90833">
        <w:trPr>
          <w:jc w:val="center"/>
        </w:trPr>
        <w:tc>
          <w:tcPr>
            <w:tcW w:w="1292" w:type="dxa"/>
            <w:tcBorders>
              <w:top w:val="nil"/>
              <w:bottom w:val="nil"/>
              <w:right w:val="single" w:sz="4" w:space="0" w:color="auto"/>
            </w:tcBorders>
          </w:tcPr>
          <w:p w14:paraId="2520E0DC" w14:textId="77777777" w:rsidR="009601AE" w:rsidRPr="00690428" w:rsidRDefault="009601AE" w:rsidP="009E3730">
            <w:pPr>
              <w:widowControl w:val="0"/>
              <w:suppressAutoHyphens/>
            </w:pPr>
            <w:r w:rsidRPr="00690428">
              <w:t>GBS</w:t>
            </w:r>
          </w:p>
        </w:tc>
        <w:tc>
          <w:tcPr>
            <w:tcW w:w="7230" w:type="dxa"/>
            <w:tcBorders>
              <w:top w:val="nil"/>
              <w:left w:val="single" w:sz="4" w:space="0" w:color="auto"/>
              <w:bottom w:val="nil"/>
            </w:tcBorders>
          </w:tcPr>
          <w:p w14:paraId="795F222C" w14:textId="77777777" w:rsidR="009601AE" w:rsidRPr="00690428" w:rsidRDefault="009601AE" w:rsidP="009E3730">
            <w:pPr>
              <w:widowControl w:val="0"/>
              <w:suppressAutoHyphens/>
              <w:rPr>
                <w:lang w:val="nl-NL"/>
              </w:rPr>
            </w:pPr>
            <w:r w:rsidRPr="00690428">
              <w:rPr>
                <w:lang w:val="nl-NL"/>
              </w:rPr>
              <w:t>General Budget Support</w:t>
            </w:r>
          </w:p>
        </w:tc>
      </w:tr>
      <w:tr w:rsidR="009601AE" w:rsidRPr="00690428" w14:paraId="5FCF3AED" w14:textId="77777777" w:rsidTr="00C90833">
        <w:trPr>
          <w:jc w:val="center"/>
        </w:trPr>
        <w:tc>
          <w:tcPr>
            <w:tcW w:w="1292" w:type="dxa"/>
            <w:tcBorders>
              <w:top w:val="nil"/>
              <w:bottom w:val="nil"/>
              <w:right w:val="single" w:sz="4" w:space="0" w:color="auto"/>
            </w:tcBorders>
          </w:tcPr>
          <w:p w14:paraId="3F968CDF" w14:textId="77777777" w:rsidR="009601AE" w:rsidRPr="00690428" w:rsidRDefault="009601AE" w:rsidP="009E3730">
            <w:pPr>
              <w:widowControl w:val="0"/>
              <w:suppressAutoHyphens/>
            </w:pPr>
            <w:r w:rsidRPr="00690428">
              <w:t>GEA</w:t>
            </w:r>
          </w:p>
        </w:tc>
        <w:tc>
          <w:tcPr>
            <w:tcW w:w="7230" w:type="dxa"/>
            <w:tcBorders>
              <w:top w:val="nil"/>
              <w:left w:val="single" w:sz="4" w:space="0" w:color="auto"/>
              <w:bottom w:val="nil"/>
            </w:tcBorders>
          </w:tcPr>
          <w:p w14:paraId="0DA721FA" w14:textId="77777777" w:rsidR="009601AE" w:rsidRPr="00690428" w:rsidRDefault="009601AE" w:rsidP="009E3730">
            <w:pPr>
              <w:widowControl w:val="0"/>
              <w:suppressAutoHyphens/>
              <w:rPr>
                <w:lang w:val="nl-NL"/>
              </w:rPr>
            </w:pPr>
            <w:r w:rsidRPr="00690428">
              <w:rPr>
                <w:lang w:val="nl-NL"/>
              </w:rPr>
              <w:t>Georgian Employers' Association</w:t>
            </w:r>
          </w:p>
        </w:tc>
      </w:tr>
      <w:tr w:rsidR="009601AE" w:rsidRPr="00690428" w14:paraId="5FAA7535" w14:textId="77777777" w:rsidTr="00C90833">
        <w:trPr>
          <w:jc w:val="center"/>
        </w:trPr>
        <w:tc>
          <w:tcPr>
            <w:tcW w:w="1292" w:type="dxa"/>
            <w:tcBorders>
              <w:top w:val="nil"/>
              <w:bottom w:val="nil"/>
              <w:right w:val="single" w:sz="4" w:space="0" w:color="auto"/>
            </w:tcBorders>
          </w:tcPr>
          <w:p w14:paraId="2C147E66" w14:textId="77777777" w:rsidR="009601AE" w:rsidRPr="00690428" w:rsidRDefault="009601AE" w:rsidP="009E3730">
            <w:pPr>
              <w:widowControl w:val="0"/>
              <w:suppressAutoHyphens/>
            </w:pPr>
            <w:r w:rsidRPr="00690428">
              <w:t>GEL</w:t>
            </w:r>
          </w:p>
        </w:tc>
        <w:tc>
          <w:tcPr>
            <w:tcW w:w="7230" w:type="dxa"/>
            <w:tcBorders>
              <w:top w:val="nil"/>
              <w:left w:val="single" w:sz="4" w:space="0" w:color="auto"/>
              <w:bottom w:val="nil"/>
            </w:tcBorders>
          </w:tcPr>
          <w:p w14:paraId="2941E2E7" w14:textId="77777777" w:rsidR="009601AE" w:rsidRPr="00690428" w:rsidRDefault="009601AE" w:rsidP="009E3730">
            <w:pPr>
              <w:widowControl w:val="0"/>
              <w:suppressAutoHyphens/>
              <w:rPr>
                <w:lang w:val="nl-NL"/>
              </w:rPr>
            </w:pPr>
            <w:r w:rsidRPr="00690428">
              <w:rPr>
                <w:lang w:val="nl-NL"/>
              </w:rPr>
              <w:t>Georgian Lari (currency)</w:t>
            </w:r>
          </w:p>
        </w:tc>
      </w:tr>
      <w:tr w:rsidR="009601AE" w:rsidRPr="00690428" w14:paraId="48B44723" w14:textId="77777777" w:rsidTr="00C90833">
        <w:trPr>
          <w:jc w:val="center"/>
        </w:trPr>
        <w:tc>
          <w:tcPr>
            <w:tcW w:w="1292" w:type="dxa"/>
            <w:tcBorders>
              <w:top w:val="nil"/>
              <w:bottom w:val="nil"/>
              <w:right w:val="single" w:sz="4" w:space="0" w:color="auto"/>
            </w:tcBorders>
          </w:tcPr>
          <w:p w14:paraId="295F626C" w14:textId="77777777" w:rsidR="009601AE" w:rsidRPr="00690428" w:rsidRDefault="009601AE" w:rsidP="009E3730">
            <w:pPr>
              <w:widowControl w:val="0"/>
              <w:suppressAutoHyphens/>
            </w:pPr>
            <w:r w:rsidRPr="00690428">
              <w:t>GeoSTAT</w:t>
            </w:r>
          </w:p>
        </w:tc>
        <w:tc>
          <w:tcPr>
            <w:tcW w:w="7230" w:type="dxa"/>
            <w:tcBorders>
              <w:top w:val="nil"/>
              <w:left w:val="single" w:sz="4" w:space="0" w:color="auto"/>
              <w:bottom w:val="nil"/>
            </w:tcBorders>
          </w:tcPr>
          <w:p w14:paraId="4B4F9FDA" w14:textId="77777777" w:rsidR="009601AE" w:rsidRPr="00690428" w:rsidRDefault="009601AE" w:rsidP="009E3730">
            <w:pPr>
              <w:widowControl w:val="0"/>
              <w:suppressAutoHyphens/>
              <w:rPr>
                <w:lang w:val="nl-NL"/>
              </w:rPr>
            </w:pPr>
            <w:r w:rsidRPr="00690428">
              <w:rPr>
                <w:lang w:val="nl-NL"/>
              </w:rPr>
              <w:t>Georgia National Statistics Committee</w:t>
            </w:r>
          </w:p>
        </w:tc>
      </w:tr>
      <w:tr w:rsidR="006F5F52" w:rsidRPr="00690428" w14:paraId="3DD0E958" w14:textId="77777777" w:rsidTr="00C90833">
        <w:trPr>
          <w:jc w:val="center"/>
        </w:trPr>
        <w:tc>
          <w:tcPr>
            <w:tcW w:w="1292" w:type="dxa"/>
            <w:tcBorders>
              <w:top w:val="nil"/>
              <w:bottom w:val="nil"/>
              <w:right w:val="single" w:sz="4" w:space="0" w:color="auto"/>
            </w:tcBorders>
          </w:tcPr>
          <w:p w14:paraId="4719D47E" w14:textId="77777777" w:rsidR="006F5F52" w:rsidRPr="00690428" w:rsidRDefault="006F5F52" w:rsidP="009E3730">
            <w:pPr>
              <w:widowControl w:val="0"/>
              <w:suppressAutoHyphens/>
            </w:pPr>
            <w:r>
              <w:t>GFA</w:t>
            </w:r>
          </w:p>
        </w:tc>
        <w:tc>
          <w:tcPr>
            <w:tcW w:w="7230" w:type="dxa"/>
            <w:tcBorders>
              <w:top w:val="nil"/>
              <w:left w:val="single" w:sz="4" w:space="0" w:color="auto"/>
              <w:bottom w:val="nil"/>
            </w:tcBorders>
          </w:tcPr>
          <w:p w14:paraId="44F9CA41" w14:textId="77777777" w:rsidR="006F5F52" w:rsidRPr="00690428" w:rsidRDefault="006F5F52" w:rsidP="009E3730">
            <w:pPr>
              <w:widowControl w:val="0"/>
              <w:suppressAutoHyphens/>
              <w:rPr>
                <w:lang w:val="nl-NL"/>
              </w:rPr>
            </w:pPr>
            <w:r>
              <w:rPr>
                <w:lang w:val="nl-NL"/>
              </w:rPr>
              <w:t>Georgian Farmers' Association</w:t>
            </w:r>
          </w:p>
        </w:tc>
      </w:tr>
      <w:tr w:rsidR="009601AE" w:rsidRPr="00690428" w14:paraId="13A95F46" w14:textId="77777777" w:rsidTr="00C90833">
        <w:trPr>
          <w:jc w:val="center"/>
        </w:trPr>
        <w:tc>
          <w:tcPr>
            <w:tcW w:w="1292" w:type="dxa"/>
            <w:tcBorders>
              <w:top w:val="nil"/>
              <w:bottom w:val="nil"/>
              <w:right w:val="single" w:sz="4" w:space="0" w:color="auto"/>
            </w:tcBorders>
          </w:tcPr>
          <w:p w14:paraId="1294A49F" w14:textId="77777777" w:rsidR="009601AE" w:rsidRPr="00690428" w:rsidRDefault="009601AE" w:rsidP="009E3730">
            <w:pPr>
              <w:widowControl w:val="0"/>
              <w:suppressAutoHyphens/>
            </w:pPr>
            <w:r w:rsidRPr="00690428">
              <w:t>GIZ</w:t>
            </w:r>
          </w:p>
        </w:tc>
        <w:tc>
          <w:tcPr>
            <w:tcW w:w="7230" w:type="dxa"/>
            <w:tcBorders>
              <w:top w:val="nil"/>
              <w:left w:val="single" w:sz="4" w:space="0" w:color="auto"/>
              <w:bottom w:val="nil"/>
            </w:tcBorders>
          </w:tcPr>
          <w:p w14:paraId="6B7C1E75" w14:textId="77777777" w:rsidR="009601AE" w:rsidRPr="00690428" w:rsidRDefault="009601AE" w:rsidP="009E3730">
            <w:pPr>
              <w:widowControl w:val="0"/>
              <w:suppressAutoHyphens/>
              <w:rPr>
                <w:lang w:val="nl-NL"/>
              </w:rPr>
            </w:pPr>
            <w:r w:rsidRPr="00690428">
              <w:rPr>
                <w:lang w:val="nl-NL"/>
              </w:rPr>
              <w:t>Gesellschaft für Internationale Zusammenarbeit (Germany)</w:t>
            </w:r>
          </w:p>
        </w:tc>
      </w:tr>
      <w:tr w:rsidR="009601AE" w:rsidRPr="00690428" w14:paraId="1906AD42" w14:textId="77777777" w:rsidTr="00C90833">
        <w:trPr>
          <w:jc w:val="center"/>
        </w:trPr>
        <w:tc>
          <w:tcPr>
            <w:tcW w:w="1292" w:type="dxa"/>
            <w:tcBorders>
              <w:top w:val="nil"/>
              <w:bottom w:val="nil"/>
              <w:right w:val="single" w:sz="4" w:space="0" w:color="auto"/>
            </w:tcBorders>
          </w:tcPr>
          <w:p w14:paraId="63B8C224" w14:textId="77777777" w:rsidR="009601AE" w:rsidRPr="00690428" w:rsidRDefault="009601AE" w:rsidP="009E3730">
            <w:pPr>
              <w:widowControl w:val="0"/>
              <w:suppressAutoHyphens/>
            </w:pPr>
            <w:r w:rsidRPr="00690428">
              <w:t>GoG</w:t>
            </w:r>
          </w:p>
        </w:tc>
        <w:tc>
          <w:tcPr>
            <w:tcW w:w="7230" w:type="dxa"/>
            <w:tcBorders>
              <w:top w:val="nil"/>
              <w:left w:val="single" w:sz="4" w:space="0" w:color="auto"/>
              <w:bottom w:val="nil"/>
            </w:tcBorders>
          </w:tcPr>
          <w:p w14:paraId="41FCC462" w14:textId="77777777" w:rsidR="009601AE" w:rsidRPr="00690428" w:rsidRDefault="009601AE" w:rsidP="009E3730">
            <w:pPr>
              <w:widowControl w:val="0"/>
              <w:suppressAutoHyphens/>
            </w:pPr>
            <w:r w:rsidRPr="00690428">
              <w:t>Government of Georgia</w:t>
            </w:r>
          </w:p>
        </w:tc>
      </w:tr>
      <w:tr w:rsidR="009601AE" w:rsidRPr="00690428" w14:paraId="3F0E8B03" w14:textId="77777777" w:rsidTr="00C90833">
        <w:trPr>
          <w:jc w:val="center"/>
        </w:trPr>
        <w:tc>
          <w:tcPr>
            <w:tcW w:w="1292" w:type="dxa"/>
            <w:tcBorders>
              <w:top w:val="nil"/>
              <w:bottom w:val="nil"/>
              <w:right w:val="single" w:sz="4" w:space="0" w:color="auto"/>
            </w:tcBorders>
          </w:tcPr>
          <w:p w14:paraId="303185A9" w14:textId="77777777" w:rsidR="009601AE" w:rsidRPr="00690428" w:rsidRDefault="009601AE" w:rsidP="009E3730">
            <w:pPr>
              <w:widowControl w:val="0"/>
              <w:suppressAutoHyphens/>
            </w:pPr>
            <w:r w:rsidRPr="00690428">
              <w:t>GTUC</w:t>
            </w:r>
          </w:p>
        </w:tc>
        <w:tc>
          <w:tcPr>
            <w:tcW w:w="7230" w:type="dxa"/>
            <w:tcBorders>
              <w:top w:val="nil"/>
              <w:left w:val="single" w:sz="4" w:space="0" w:color="auto"/>
              <w:bottom w:val="nil"/>
            </w:tcBorders>
          </w:tcPr>
          <w:p w14:paraId="76E15F36" w14:textId="77777777" w:rsidR="009601AE" w:rsidRPr="00690428" w:rsidRDefault="009601AE" w:rsidP="009E3730">
            <w:pPr>
              <w:widowControl w:val="0"/>
              <w:suppressAutoHyphens/>
            </w:pPr>
            <w:r w:rsidRPr="00690428">
              <w:t>Georgian Trade Union Confederation</w:t>
            </w:r>
          </w:p>
        </w:tc>
      </w:tr>
      <w:tr w:rsidR="009601AE" w:rsidRPr="00690428" w14:paraId="359A36EB" w14:textId="77777777" w:rsidTr="00C90833">
        <w:trPr>
          <w:jc w:val="center"/>
        </w:trPr>
        <w:tc>
          <w:tcPr>
            <w:tcW w:w="1292" w:type="dxa"/>
            <w:tcBorders>
              <w:top w:val="nil"/>
              <w:bottom w:val="nil"/>
              <w:right w:val="single" w:sz="4" w:space="0" w:color="auto"/>
            </w:tcBorders>
          </w:tcPr>
          <w:p w14:paraId="2BF7B740" w14:textId="77777777" w:rsidR="009601AE" w:rsidRPr="00690428" w:rsidRDefault="009601AE" w:rsidP="009E3730">
            <w:pPr>
              <w:widowControl w:val="0"/>
              <w:suppressAutoHyphens/>
            </w:pPr>
            <w:r w:rsidRPr="00690428">
              <w:t>HoD</w:t>
            </w:r>
          </w:p>
        </w:tc>
        <w:tc>
          <w:tcPr>
            <w:tcW w:w="7230" w:type="dxa"/>
            <w:tcBorders>
              <w:top w:val="nil"/>
              <w:left w:val="single" w:sz="4" w:space="0" w:color="auto"/>
              <w:bottom w:val="nil"/>
            </w:tcBorders>
          </w:tcPr>
          <w:p w14:paraId="593DDED3" w14:textId="77777777" w:rsidR="009601AE" w:rsidRPr="00690428" w:rsidRDefault="009601AE" w:rsidP="009E3730">
            <w:pPr>
              <w:widowControl w:val="0"/>
              <w:suppressAutoHyphens/>
            </w:pPr>
            <w:r w:rsidRPr="00690428">
              <w:t>Head of Delegation</w:t>
            </w:r>
          </w:p>
        </w:tc>
      </w:tr>
      <w:tr w:rsidR="009601AE" w:rsidRPr="00690428" w14:paraId="070A663E" w14:textId="77777777" w:rsidTr="00C90833">
        <w:trPr>
          <w:jc w:val="center"/>
        </w:trPr>
        <w:tc>
          <w:tcPr>
            <w:tcW w:w="1292" w:type="dxa"/>
            <w:tcBorders>
              <w:top w:val="nil"/>
              <w:bottom w:val="nil"/>
              <w:right w:val="single" w:sz="4" w:space="0" w:color="auto"/>
            </w:tcBorders>
          </w:tcPr>
          <w:p w14:paraId="7839AF48" w14:textId="77777777" w:rsidR="009601AE" w:rsidRPr="00690428" w:rsidRDefault="009601AE" w:rsidP="009E3730">
            <w:pPr>
              <w:widowControl w:val="0"/>
              <w:suppressAutoHyphens/>
            </w:pPr>
            <w:r w:rsidRPr="00690428">
              <w:t>IA</w:t>
            </w:r>
          </w:p>
        </w:tc>
        <w:tc>
          <w:tcPr>
            <w:tcW w:w="7230" w:type="dxa"/>
            <w:tcBorders>
              <w:top w:val="nil"/>
              <w:left w:val="single" w:sz="4" w:space="0" w:color="auto"/>
              <w:bottom w:val="nil"/>
            </w:tcBorders>
          </w:tcPr>
          <w:p w14:paraId="58065C29" w14:textId="77777777" w:rsidR="009601AE" w:rsidRPr="00690428" w:rsidRDefault="009601AE" w:rsidP="009E3730">
            <w:pPr>
              <w:widowControl w:val="0"/>
              <w:suppressAutoHyphens/>
            </w:pPr>
            <w:r w:rsidRPr="00690428">
              <w:t>Internal Audit</w:t>
            </w:r>
          </w:p>
        </w:tc>
      </w:tr>
      <w:tr w:rsidR="009601AE" w:rsidRPr="00690428" w14:paraId="1FD5651C" w14:textId="77777777" w:rsidTr="00C90833">
        <w:trPr>
          <w:jc w:val="center"/>
        </w:trPr>
        <w:tc>
          <w:tcPr>
            <w:tcW w:w="1292" w:type="dxa"/>
            <w:tcBorders>
              <w:top w:val="nil"/>
              <w:bottom w:val="nil"/>
              <w:right w:val="single" w:sz="4" w:space="0" w:color="auto"/>
            </w:tcBorders>
          </w:tcPr>
          <w:p w14:paraId="350107BB" w14:textId="77777777" w:rsidR="009601AE" w:rsidRPr="00690428" w:rsidRDefault="009601AE" w:rsidP="009E3730">
            <w:pPr>
              <w:widowControl w:val="0"/>
              <w:suppressAutoHyphens/>
            </w:pPr>
            <w:r w:rsidRPr="00690428">
              <w:t>ICT</w:t>
            </w:r>
          </w:p>
        </w:tc>
        <w:tc>
          <w:tcPr>
            <w:tcW w:w="7230" w:type="dxa"/>
            <w:tcBorders>
              <w:top w:val="nil"/>
              <w:left w:val="single" w:sz="4" w:space="0" w:color="auto"/>
              <w:bottom w:val="nil"/>
            </w:tcBorders>
          </w:tcPr>
          <w:p w14:paraId="0392550C" w14:textId="77777777" w:rsidR="009601AE" w:rsidRPr="00690428" w:rsidRDefault="009601AE" w:rsidP="009E3730">
            <w:pPr>
              <w:widowControl w:val="0"/>
              <w:suppressAutoHyphens/>
            </w:pPr>
            <w:r w:rsidRPr="00690428">
              <w:t>Information and Communications Technologies</w:t>
            </w:r>
          </w:p>
        </w:tc>
      </w:tr>
      <w:tr w:rsidR="009601AE" w:rsidRPr="00690428" w14:paraId="3D5F2B57" w14:textId="77777777" w:rsidTr="00C90833">
        <w:trPr>
          <w:jc w:val="center"/>
        </w:trPr>
        <w:tc>
          <w:tcPr>
            <w:tcW w:w="1292" w:type="dxa"/>
            <w:tcBorders>
              <w:top w:val="nil"/>
              <w:bottom w:val="nil"/>
              <w:right w:val="single" w:sz="4" w:space="0" w:color="auto"/>
            </w:tcBorders>
          </w:tcPr>
          <w:p w14:paraId="58949C0B" w14:textId="77777777" w:rsidR="009601AE" w:rsidRPr="00690428" w:rsidRDefault="009601AE" w:rsidP="009E3730">
            <w:pPr>
              <w:widowControl w:val="0"/>
              <w:suppressAutoHyphens/>
            </w:pPr>
            <w:r w:rsidRPr="00690428">
              <w:t>ILO</w:t>
            </w:r>
          </w:p>
        </w:tc>
        <w:tc>
          <w:tcPr>
            <w:tcW w:w="7230" w:type="dxa"/>
            <w:tcBorders>
              <w:top w:val="nil"/>
              <w:left w:val="single" w:sz="4" w:space="0" w:color="auto"/>
              <w:bottom w:val="nil"/>
            </w:tcBorders>
          </w:tcPr>
          <w:p w14:paraId="583326AA" w14:textId="77777777" w:rsidR="009601AE" w:rsidRPr="00690428" w:rsidRDefault="009601AE" w:rsidP="009E3730">
            <w:pPr>
              <w:widowControl w:val="0"/>
              <w:suppressAutoHyphens/>
            </w:pPr>
            <w:r w:rsidRPr="00690428">
              <w:t>International Labour Organization</w:t>
            </w:r>
          </w:p>
        </w:tc>
      </w:tr>
      <w:tr w:rsidR="009601AE" w:rsidRPr="00690428" w14:paraId="652425F2" w14:textId="77777777" w:rsidTr="00C90833">
        <w:trPr>
          <w:jc w:val="center"/>
        </w:trPr>
        <w:tc>
          <w:tcPr>
            <w:tcW w:w="1292" w:type="dxa"/>
            <w:tcBorders>
              <w:top w:val="nil"/>
              <w:bottom w:val="nil"/>
              <w:right w:val="single" w:sz="4" w:space="0" w:color="auto"/>
            </w:tcBorders>
          </w:tcPr>
          <w:p w14:paraId="070E6B72" w14:textId="77777777" w:rsidR="009601AE" w:rsidRPr="00690428" w:rsidRDefault="009601AE" w:rsidP="009E3730">
            <w:pPr>
              <w:widowControl w:val="0"/>
              <w:suppressAutoHyphens/>
            </w:pPr>
            <w:r w:rsidRPr="00690428">
              <w:t>IMF</w:t>
            </w:r>
          </w:p>
        </w:tc>
        <w:tc>
          <w:tcPr>
            <w:tcW w:w="7230" w:type="dxa"/>
            <w:tcBorders>
              <w:top w:val="nil"/>
              <w:left w:val="single" w:sz="4" w:space="0" w:color="auto"/>
              <w:bottom w:val="nil"/>
            </w:tcBorders>
          </w:tcPr>
          <w:p w14:paraId="4F3CA8CA" w14:textId="77777777" w:rsidR="009601AE" w:rsidRPr="00690428" w:rsidRDefault="009601AE" w:rsidP="009E3730">
            <w:pPr>
              <w:widowControl w:val="0"/>
              <w:suppressAutoHyphens/>
            </w:pPr>
            <w:r w:rsidRPr="00690428">
              <w:t>International Monetary Fund</w:t>
            </w:r>
          </w:p>
        </w:tc>
      </w:tr>
      <w:tr w:rsidR="009601AE" w:rsidRPr="00690428" w14:paraId="56703444" w14:textId="77777777" w:rsidTr="00C90833">
        <w:trPr>
          <w:jc w:val="center"/>
        </w:trPr>
        <w:tc>
          <w:tcPr>
            <w:tcW w:w="1292" w:type="dxa"/>
            <w:tcBorders>
              <w:top w:val="nil"/>
              <w:bottom w:val="nil"/>
              <w:right w:val="single" w:sz="4" w:space="0" w:color="auto"/>
            </w:tcBorders>
          </w:tcPr>
          <w:p w14:paraId="36D0A994" w14:textId="77777777" w:rsidR="009601AE" w:rsidRPr="00690428" w:rsidRDefault="009601AE" w:rsidP="009E3730">
            <w:pPr>
              <w:widowControl w:val="0"/>
              <w:suppressAutoHyphens/>
            </w:pPr>
            <w:r w:rsidRPr="00690428">
              <w:t>IOM</w:t>
            </w:r>
          </w:p>
        </w:tc>
        <w:tc>
          <w:tcPr>
            <w:tcW w:w="7230" w:type="dxa"/>
            <w:tcBorders>
              <w:top w:val="nil"/>
              <w:left w:val="single" w:sz="4" w:space="0" w:color="auto"/>
              <w:bottom w:val="nil"/>
            </w:tcBorders>
          </w:tcPr>
          <w:p w14:paraId="7E06657C" w14:textId="77777777" w:rsidR="009601AE" w:rsidRPr="00690428" w:rsidRDefault="009601AE" w:rsidP="009E3730">
            <w:pPr>
              <w:widowControl w:val="0"/>
              <w:suppressAutoHyphens/>
            </w:pPr>
            <w:r w:rsidRPr="00690428">
              <w:t>International Organization for Migration</w:t>
            </w:r>
          </w:p>
        </w:tc>
      </w:tr>
      <w:tr w:rsidR="009601AE" w:rsidRPr="00690428" w14:paraId="7ABBD413" w14:textId="77777777" w:rsidTr="00C90833">
        <w:trPr>
          <w:jc w:val="center"/>
        </w:trPr>
        <w:tc>
          <w:tcPr>
            <w:tcW w:w="1292" w:type="dxa"/>
            <w:tcBorders>
              <w:top w:val="nil"/>
              <w:bottom w:val="nil"/>
              <w:right w:val="single" w:sz="4" w:space="0" w:color="auto"/>
            </w:tcBorders>
          </w:tcPr>
          <w:p w14:paraId="2991F609" w14:textId="77777777" w:rsidR="009601AE" w:rsidRPr="00690428" w:rsidRDefault="009601AE" w:rsidP="009E3730">
            <w:pPr>
              <w:widowControl w:val="0"/>
              <w:suppressAutoHyphens/>
            </w:pPr>
            <w:r w:rsidRPr="00690428">
              <w:t>IRM</w:t>
            </w:r>
          </w:p>
        </w:tc>
        <w:tc>
          <w:tcPr>
            <w:tcW w:w="7230" w:type="dxa"/>
            <w:tcBorders>
              <w:top w:val="nil"/>
              <w:left w:val="single" w:sz="4" w:space="0" w:color="auto"/>
              <w:bottom w:val="nil"/>
            </w:tcBorders>
          </w:tcPr>
          <w:p w14:paraId="5F988F3C" w14:textId="77777777" w:rsidR="009601AE" w:rsidRPr="00690428" w:rsidRDefault="009601AE" w:rsidP="009E3730">
            <w:pPr>
              <w:widowControl w:val="0"/>
              <w:suppressAutoHyphens/>
            </w:pPr>
            <w:r w:rsidRPr="00690428">
              <w:t>Interim Review Mission</w:t>
            </w:r>
          </w:p>
        </w:tc>
      </w:tr>
      <w:tr w:rsidR="009601AE" w:rsidRPr="00690428" w14:paraId="3A100255" w14:textId="77777777" w:rsidTr="00C90833">
        <w:trPr>
          <w:jc w:val="center"/>
        </w:trPr>
        <w:tc>
          <w:tcPr>
            <w:tcW w:w="1292" w:type="dxa"/>
            <w:tcBorders>
              <w:top w:val="nil"/>
              <w:bottom w:val="nil"/>
              <w:right w:val="single" w:sz="4" w:space="0" w:color="auto"/>
            </w:tcBorders>
          </w:tcPr>
          <w:p w14:paraId="12C3D098" w14:textId="77777777" w:rsidR="009601AE" w:rsidRPr="00690428" w:rsidRDefault="009601AE" w:rsidP="009E3730">
            <w:pPr>
              <w:widowControl w:val="0"/>
              <w:suppressAutoHyphens/>
            </w:pPr>
            <w:r>
              <w:t>ISET</w:t>
            </w:r>
          </w:p>
        </w:tc>
        <w:tc>
          <w:tcPr>
            <w:tcW w:w="7230" w:type="dxa"/>
            <w:tcBorders>
              <w:top w:val="nil"/>
              <w:left w:val="single" w:sz="4" w:space="0" w:color="auto"/>
              <w:bottom w:val="nil"/>
            </w:tcBorders>
          </w:tcPr>
          <w:p w14:paraId="7D261C13" w14:textId="77777777" w:rsidR="009601AE" w:rsidRPr="00690428" w:rsidRDefault="009601AE" w:rsidP="009E3730">
            <w:pPr>
              <w:widowControl w:val="0"/>
              <w:suppressAutoHyphens/>
            </w:pPr>
            <w:r>
              <w:t>International School of Economics at Tbilisi State University</w:t>
            </w:r>
          </w:p>
        </w:tc>
      </w:tr>
      <w:tr w:rsidR="009601AE" w:rsidRPr="00690428" w14:paraId="5840A968" w14:textId="77777777" w:rsidTr="00C90833">
        <w:trPr>
          <w:jc w:val="center"/>
        </w:trPr>
        <w:tc>
          <w:tcPr>
            <w:tcW w:w="1292" w:type="dxa"/>
            <w:tcBorders>
              <w:top w:val="nil"/>
              <w:bottom w:val="nil"/>
              <w:right w:val="single" w:sz="4" w:space="0" w:color="auto"/>
            </w:tcBorders>
          </w:tcPr>
          <w:p w14:paraId="1336536B" w14:textId="77777777" w:rsidR="009601AE" w:rsidRDefault="009601AE" w:rsidP="009E3730">
            <w:pPr>
              <w:widowControl w:val="0"/>
              <w:suppressAutoHyphens/>
            </w:pPr>
            <w:r>
              <w:t>ISWD</w:t>
            </w:r>
          </w:p>
        </w:tc>
        <w:tc>
          <w:tcPr>
            <w:tcW w:w="7230" w:type="dxa"/>
            <w:tcBorders>
              <w:top w:val="nil"/>
              <w:left w:val="single" w:sz="4" w:space="0" w:color="auto"/>
              <w:bottom w:val="nil"/>
            </w:tcBorders>
          </w:tcPr>
          <w:p w14:paraId="262AEFDD" w14:textId="77777777" w:rsidR="009601AE" w:rsidRDefault="009601AE" w:rsidP="009E3730">
            <w:pPr>
              <w:widowControl w:val="0"/>
              <w:suppressAutoHyphens/>
            </w:pPr>
            <w:r>
              <w:t>Industrial-led Skills and Workforce Development Project (MCA-G)</w:t>
            </w:r>
          </w:p>
        </w:tc>
      </w:tr>
      <w:tr w:rsidR="009601AE" w:rsidRPr="00690428" w14:paraId="4D5D37FB" w14:textId="77777777" w:rsidTr="00C90833">
        <w:trPr>
          <w:jc w:val="center"/>
        </w:trPr>
        <w:tc>
          <w:tcPr>
            <w:tcW w:w="1292" w:type="dxa"/>
            <w:tcBorders>
              <w:top w:val="nil"/>
              <w:bottom w:val="nil"/>
              <w:right w:val="single" w:sz="4" w:space="0" w:color="auto"/>
            </w:tcBorders>
          </w:tcPr>
          <w:p w14:paraId="43AFD67E" w14:textId="77777777" w:rsidR="009601AE" w:rsidRPr="00690428" w:rsidRDefault="009601AE" w:rsidP="009E3730">
            <w:pPr>
              <w:widowControl w:val="0"/>
              <w:suppressAutoHyphens/>
            </w:pPr>
            <w:r w:rsidRPr="00690428">
              <w:t>IT</w:t>
            </w:r>
          </w:p>
        </w:tc>
        <w:tc>
          <w:tcPr>
            <w:tcW w:w="7230" w:type="dxa"/>
            <w:tcBorders>
              <w:top w:val="nil"/>
              <w:left w:val="single" w:sz="4" w:space="0" w:color="auto"/>
              <w:bottom w:val="nil"/>
            </w:tcBorders>
          </w:tcPr>
          <w:p w14:paraId="4BC48633" w14:textId="77777777" w:rsidR="009601AE" w:rsidRPr="00690428" w:rsidRDefault="009601AE" w:rsidP="009E3730">
            <w:pPr>
              <w:widowControl w:val="0"/>
              <w:suppressAutoHyphens/>
            </w:pPr>
            <w:r w:rsidRPr="00690428">
              <w:t>Information Technology</w:t>
            </w:r>
          </w:p>
        </w:tc>
      </w:tr>
      <w:tr w:rsidR="009601AE" w:rsidRPr="00690428" w14:paraId="1C5718DE" w14:textId="77777777" w:rsidTr="00C90833">
        <w:trPr>
          <w:jc w:val="center"/>
        </w:trPr>
        <w:tc>
          <w:tcPr>
            <w:tcW w:w="1292" w:type="dxa"/>
            <w:tcBorders>
              <w:top w:val="nil"/>
              <w:bottom w:val="nil"/>
              <w:right w:val="single" w:sz="4" w:space="0" w:color="auto"/>
            </w:tcBorders>
          </w:tcPr>
          <w:p w14:paraId="0C396FC7" w14:textId="77777777" w:rsidR="009601AE" w:rsidRPr="00690428" w:rsidRDefault="009601AE" w:rsidP="009E3730">
            <w:pPr>
              <w:widowControl w:val="0"/>
              <w:suppressAutoHyphens/>
            </w:pPr>
            <w:r w:rsidRPr="00690428">
              <w:t>JSC</w:t>
            </w:r>
          </w:p>
        </w:tc>
        <w:tc>
          <w:tcPr>
            <w:tcW w:w="7230" w:type="dxa"/>
            <w:tcBorders>
              <w:top w:val="nil"/>
              <w:left w:val="single" w:sz="4" w:space="0" w:color="auto"/>
              <w:bottom w:val="nil"/>
            </w:tcBorders>
          </w:tcPr>
          <w:p w14:paraId="1281E5BC" w14:textId="77777777" w:rsidR="009601AE" w:rsidRPr="00690428" w:rsidRDefault="009601AE" w:rsidP="009E3730">
            <w:pPr>
              <w:widowControl w:val="0"/>
              <w:suppressAutoHyphens/>
            </w:pPr>
            <w:r w:rsidRPr="00690428">
              <w:t>Joint Stock Company</w:t>
            </w:r>
          </w:p>
        </w:tc>
      </w:tr>
      <w:tr w:rsidR="009601AE" w:rsidRPr="00690428" w14:paraId="685F155D" w14:textId="77777777" w:rsidTr="00C90833">
        <w:trPr>
          <w:jc w:val="center"/>
        </w:trPr>
        <w:tc>
          <w:tcPr>
            <w:tcW w:w="1292" w:type="dxa"/>
            <w:tcBorders>
              <w:top w:val="nil"/>
              <w:bottom w:val="nil"/>
              <w:right w:val="single" w:sz="4" w:space="0" w:color="auto"/>
            </w:tcBorders>
          </w:tcPr>
          <w:p w14:paraId="5461BFA2" w14:textId="77777777" w:rsidR="009601AE" w:rsidRPr="00690428" w:rsidRDefault="009601AE" w:rsidP="009E3730">
            <w:pPr>
              <w:widowControl w:val="0"/>
              <w:suppressAutoHyphens/>
            </w:pPr>
            <w:r w:rsidRPr="00690428">
              <w:t>LEPL</w:t>
            </w:r>
          </w:p>
        </w:tc>
        <w:tc>
          <w:tcPr>
            <w:tcW w:w="7230" w:type="dxa"/>
            <w:tcBorders>
              <w:top w:val="nil"/>
              <w:left w:val="single" w:sz="4" w:space="0" w:color="auto"/>
              <w:bottom w:val="nil"/>
            </w:tcBorders>
          </w:tcPr>
          <w:p w14:paraId="45019287" w14:textId="77777777" w:rsidR="009601AE" w:rsidRPr="00690428" w:rsidRDefault="009601AE" w:rsidP="009E3730">
            <w:pPr>
              <w:widowControl w:val="0"/>
              <w:suppressAutoHyphens/>
            </w:pPr>
            <w:r w:rsidRPr="00690428">
              <w:t>Legal Entity of Public Law</w:t>
            </w:r>
          </w:p>
        </w:tc>
      </w:tr>
      <w:tr w:rsidR="009601AE" w:rsidRPr="00690428" w14:paraId="19939C44" w14:textId="77777777" w:rsidTr="00C90833">
        <w:trPr>
          <w:jc w:val="center"/>
        </w:trPr>
        <w:tc>
          <w:tcPr>
            <w:tcW w:w="1292" w:type="dxa"/>
            <w:tcBorders>
              <w:top w:val="nil"/>
              <w:bottom w:val="nil"/>
              <w:right w:val="single" w:sz="4" w:space="0" w:color="auto"/>
            </w:tcBorders>
          </w:tcPr>
          <w:p w14:paraId="22C38633" w14:textId="77777777" w:rsidR="009601AE" w:rsidRPr="00690428" w:rsidRDefault="009601AE" w:rsidP="009E3730">
            <w:pPr>
              <w:widowControl w:val="0"/>
              <w:suppressAutoHyphens/>
            </w:pPr>
            <w:r w:rsidRPr="00690428">
              <w:t>LLL</w:t>
            </w:r>
          </w:p>
        </w:tc>
        <w:tc>
          <w:tcPr>
            <w:tcW w:w="7230" w:type="dxa"/>
            <w:tcBorders>
              <w:top w:val="nil"/>
              <w:left w:val="single" w:sz="4" w:space="0" w:color="auto"/>
              <w:bottom w:val="nil"/>
            </w:tcBorders>
          </w:tcPr>
          <w:p w14:paraId="42001E35" w14:textId="77777777" w:rsidR="009601AE" w:rsidRPr="00690428" w:rsidRDefault="009601AE" w:rsidP="009E3730">
            <w:pPr>
              <w:widowControl w:val="0"/>
              <w:suppressAutoHyphens/>
            </w:pPr>
            <w:r w:rsidRPr="00690428">
              <w:t>Lifelong Learning</w:t>
            </w:r>
          </w:p>
        </w:tc>
      </w:tr>
      <w:tr w:rsidR="009601AE" w:rsidRPr="00690428" w14:paraId="3A5358B3" w14:textId="77777777" w:rsidTr="00C90833">
        <w:trPr>
          <w:jc w:val="center"/>
        </w:trPr>
        <w:tc>
          <w:tcPr>
            <w:tcW w:w="1292" w:type="dxa"/>
            <w:tcBorders>
              <w:top w:val="nil"/>
              <w:bottom w:val="nil"/>
              <w:right w:val="single" w:sz="4" w:space="0" w:color="auto"/>
            </w:tcBorders>
          </w:tcPr>
          <w:p w14:paraId="4EDE9B58" w14:textId="77777777" w:rsidR="009601AE" w:rsidRPr="00690428" w:rsidRDefault="009601AE" w:rsidP="009E3730">
            <w:pPr>
              <w:widowControl w:val="0"/>
              <w:suppressAutoHyphens/>
            </w:pPr>
            <w:r w:rsidRPr="00690428">
              <w:t>LMIS</w:t>
            </w:r>
          </w:p>
        </w:tc>
        <w:tc>
          <w:tcPr>
            <w:tcW w:w="7230" w:type="dxa"/>
            <w:tcBorders>
              <w:top w:val="nil"/>
              <w:left w:val="single" w:sz="4" w:space="0" w:color="auto"/>
              <w:bottom w:val="nil"/>
            </w:tcBorders>
          </w:tcPr>
          <w:p w14:paraId="4CFA531D" w14:textId="77777777" w:rsidR="009601AE" w:rsidRPr="00690428" w:rsidRDefault="009601AE" w:rsidP="009E3730">
            <w:pPr>
              <w:widowControl w:val="0"/>
              <w:suppressAutoHyphens/>
            </w:pPr>
            <w:r w:rsidRPr="00690428">
              <w:t>Labour Market Information System</w:t>
            </w:r>
          </w:p>
        </w:tc>
      </w:tr>
      <w:tr w:rsidR="009601AE" w:rsidRPr="00690428" w14:paraId="241228A7" w14:textId="77777777" w:rsidTr="00C90833">
        <w:trPr>
          <w:jc w:val="center"/>
        </w:trPr>
        <w:tc>
          <w:tcPr>
            <w:tcW w:w="1292" w:type="dxa"/>
            <w:tcBorders>
              <w:top w:val="nil"/>
              <w:bottom w:val="nil"/>
              <w:right w:val="single" w:sz="4" w:space="0" w:color="auto"/>
            </w:tcBorders>
          </w:tcPr>
          <w:p w14:paraId="2A7EAAB6" w14:textId="77777777" w:rsidR="009601AE" w:rsidRPr="00690428" w:rsidRDefault="009601AE" w:rsidP="009E3730">
            <w:pPr>
              <w:widowControl w:val="0"/>
              <w:suppressAutoHyphens/>
            </w:pPr>
            <w:r>
              <w:t>MCA-G</w:t>
            </w:r>
          </w:p>
        </w:tc>
        <w:tc>
          <w:tcPr>
            <w:tcW w:w="7230" w:type="dxa"/>
            <w:tcBorders>
              <w:top w:val="nil"/>
              <w:left w:val="single" w:sz="4" w:space="0" w:color="auto"/>
              <w:bottom w:val="nil"/>
            </w:tcBorders>
          </w:tcPr>
          <w:p w14:paraId="5867E03B" w14:textId="77777777" w:rsidR="009601AE" w:rsidRPr="00690428" w:rsidRDefault="009601AE" w:rsidP="009E3730">
            <w:pPr>
              <w:widowControl w:val="0"/>
              <w:suppressAutoHyphens/>
            </w:pPr>
            <w:r w:rsidRPr="00690428">
              <w:t>Millennium Challenge Account</w:t>
            </w:r>
            <w:r>
              <w:t xml:space="preserve"> Georgia</w:t>
            </w:r>
          </w:p>
        </w:tc>
      </w:tr>
      <w:tr w:rsidR="009601AE" w:rsidRPr="00690428" w14:paraId="31BA013B" w14:textId="77777777" w:rsidTr="00C90833">
        <w:trPr>
          <w:jc w:val="center"/>
        </w:trPr>
        <w:tc>
          <w:tcPr>
            <w:tcW w:w="1292" w:type="dxa"/>
            <w:tcBorders>
              <w:top w:val="nil"/>
              <w:bottom w:val="nil"/>
              <w:right w:val="single" w:sz="4" w:space="0" w:color="auto"/>
            </w:tcBorders>
          </w:tcPr>
          <w:p w14:paraId="67AE53C0" w14:textId="77777777" w:rsidR="009601AE" w:rsidRPr="00690428" w:rsidRDefault="009601AE" w:rsidP="009E3730">
            <w:pPr>
              <w:widowControl w:val="0"/>
              <w:suppressAutoHyphens/>
            </w:pPr>
            <w:r w:rsidRPr="00690428">
              <w:t>MDGs</w:t>
            </w:r>
          </w:p>
        </w:tc>
        <w:tc>
          <w:tcPr>
            <w:tcW w:w="7230" w:type="dxa"/>
            <w:tcBorders>
              <w:top w:val="nil"/>
              <w:left w:val="single" w:sz="4" w:space="0" w:color="auto"/>
              <w:bottom w:val="nil"/>
            </w:tcBorders>
          </w:tcPr>
          <w:p w14:paraId="25CFD8B9" w14:textId="77777777" w:rsidR="009601AE" w:rsidRPr="00690428" w:rsidRDefault="009601AE" w:rsidP="009E3730">
            <w:pPr>
              <w:widowControl w:val="0"/>
              <w:suppressAutoHyphens/>
            </w:pPr>
            <w:r w:rsidRPr="00690428">
              <w:t>Millennium Development Goals</w:t>
            </w:r>
          </w:p>
        </w:tc>
      </w:tr>
      <w:tr w:rsidR="009601AE" w:rsidRPr="00690428" w14:paraId="2247C846" w14:textId="77777777" w:rsidTr="00C90833">
        <w:trPr>
          <w:jc w:val="center"/>
        </w:trPr>
        <w:tc>
          <w:tcPr>
            <w:tcW w:w="1292" w:type="dxa"/>
            <w:tcBorders>
              <w:top w:val="nil"/>
              <w:bottom w:val="nil"/>
              <w:right w:val="single" w:sz="4" w:space="0" w:color="auto"/>
            </w:tcBorders>
          </w:tcPr>
          <w:p w14:paraId="47CE0DF9" w14:textId="77777777" w:rsidR="009601AE" w:rsidRPr="00690428" w:rsidRDefault="009601AE" w:rsidP="009E3730">
            <w:pPr>
              <w:widowControl w:val="0"/>
              <w:suppressAutoHyphens/>
            </w:pPr>
            <w:r w:rsidRPr="00690428">
              <w:t>MDTF</w:t>
            </w:r>
          </w:p>
        </w:tc>
        <w:tc>
          <w:tcPr>
            <w:tcW w:w="7230" w:type="dxa"/>
            <w:tcBorders>
              <w:top w:val="nil"/>
              <w:left w:val="single" w:sz="4" w:space="0" w:color="auto"/>
              <w:bottom w:val="nil"/>
            </w:tcBorders>
          </w:tcPr>
          <w:p w14:paraId="46FAE59E" w14:textId="77777777" w:rsidR="009601AE" w:rsidRPr="00690428" w:rsidRDefault="009601AE" w:rsidP="009E3730">
            <w:pPr>
              <w:widowControl w:val="0"/>
              <w:suppressAutoHyphens/>
            </w:pPr>
            <w:r w:rsidRPr="00690428">
              <w:t>Multi-Donor Trust Fund CBPFM Project</w:t>
            </w:r>
          </w:p>
        </w:tc>
      </w:tr>
      <w:tr w:rsidR="009601AE" w:rsidRPr="00690428" w14:paraId="01958830" w14:textId="77777777" w:rsidTr="00C90833">
        <w:trPr>
          <w:jc w:val="center"/>
        </w:trPr>
        <w:tc>
          <w:tcPr>
            <w:tcW w:w="1292" w:type="dxa"/>
            <w:tcBorders>
              <w:top w:val="nil"/>
              <w:bottom w:val="nil"/>
              <w:right w:val="single" w:sz="4" w:space="0" w:color="auto"/>
            </w:tcBorders>
          </w:tcPr>
          <w:p w14:paraId="36DAF228" w14:textId="77777777" w:rsidR="009601AE" w:rsidRPr="00690428" w:rsidRDefault="009601AE" w:rsidP="009E3730">
            <w:pPr>
              <w:widowControl w:val="0"/>
              <w:suppressAutoHyphens/>
            </w:pPr>
            <w:r w:rsidRPr="00690428">
              <w:t>MoA</w:t>
            </w:r>
          </w:p>
        </w:tc>
        <w:tc>
          <w:tcPr>
            <w:tcW w:w="7230" w:type="dxa"/>
            <w:tcBorders>
              <w:top w:val="nil"/>
              <w:left w:val="single" w:sz="4" w:space="0" w:color="auto"/>
              <w:bottom w:val="nil"/>
            </w:tcBorders>
          </w:tcPr>
          <w:p w14:paraId="0888C260" w14:textId="77777777" w:rsidR="009601AE" w:rsidRPr="00690428" w:rsidRDefault="009601AE" w:rsidP="009E3730">
            <w:pPr>
              <w:widowControl w:val="0"/>
              <w:suppressAutoHyphens/>
            </w:pPr>
            <w:r w:rsidRPr="00690428">
              <w:t>Ministry of Agriculture</w:t>
            </w:r>
          </w:p>
        </w:tc>
      </w:tr>
      <w:tr w:rsidR="009601AE" w:rsidRPr="00690428" w14:paraId="018F42B9" w14:textId="77777777" w:rsidTr="00C90833">
        <w:trPr>
          <w:jc w:val="center"/>
        </w:trPr>
        <w:tc>
          <w:tcPr>
            <w:tcW w:w="1292" w:type="dxa"/>
            <w:tcBorders>
              <w:top w:val="nil"/>
              <w:bottom w:val="nil"/>
              <w:right w:val="single" w:sz="4" w:space="0" w:color="auto"/>
            </w:tcBorders>
          </w:tcPr>
          <w:p w14:paraId="60964C76" w14:textId="77777777" w:rsidR="009601AE" w:rsidRPr="00690428" w:rsidRDefault="009601AE" w:rsidP="009E3730">
            <w:pPr>
              <w:widowControl w:val="0"/>
              <w:suppressAutoHyphens/>
            </w:pPr>
            <w:r w:rsidRPr="00690428">
              <w:t>MoCP</w:t>
            </w:r>
          </w:p>
        </w:tc>
        <w:tc>
          <w:tcPr>
            <w:tcW w:w="7230" w:type="dxa"/>
            <w:tcBorders>
              <w:top w:val="nil"/>
              <w:left w:val="single" w:sz="4" w:space="0" w:color="auto"/>
              <w:bottom w:val="nil"/>
            </w:tcBorders>
          </w:tcPr>
          <w:p w14:paraId="01003F76" w14:textId="77777777" w:rsidR="009601AE" w:rsidRPr="00690428" w:rsidRDefault="009601AE" w:rsidP="009E3730">
            <w:pPr>
              <w:widowControl w:val="0"/>
              <w:suppressAutoHyphens/>
            </w:pPr>
            <w:r w:rsidRPr="00690428">
              <w:t>Ministry of Corrections and Probation</w:t>
            </w:r>
          </w:p>
        </w:tc>
      </w:tr>
      <w:tr w:rsidR="009601AE" w:rsidRPr="00690428" w14:paraId="21F8847B" w14:textId="77777777" w:rsidTr="00C90833">
        <w:trPr>
          <w:jc w:val="center"/>
        </w:trPr>
        <w:tc>
          <w:tcPr>
            <w:tcW w:w="1292" w:type="dxa"/>
            <w:tcBorders>
              <w:top w:val="nil"/>
              <w:bottom w:val="nil"/>
              <w:right w:val="single" w:sz="4" w:space="0" w:color="auto"/>
            </w:tcBorders>
          </w:tcPr>
          <w:p w14:paraId="6FFF772A" w14:textId="77777777" w:rsidR="009601AE" w:rsidRPr="00690428" w:rsidRDefault="009601AE" w:rsidP="009E3730">
            <w:pPr>
              <w:widowControl w:val="0"/>
              <w:suppressAutoHyphens/>
            </w:pPr>
            <w:r w:rsidRPr="00690428">
              <w:t>MoESD</w:t>
            </w:r>
          </w:p>
        </w:tc>
        <w:tc>
          <w:tcPr>
            <w:tcW w:w="7230" w:type="dxa"/>
            <w:tcBorders>
              <w:top w:val="nil"/>
              <w:left w:val="single" w:sz="4" w:space="0" w:color="auto"/>
              <w:bottom w:val="nil"/>
            </w:tcBorders>
          </w:tcPr>
          <w:p w14:paraId="368B884B" w14:textId="77777777" w:rsidR="009601AE" w:rsidRPr="00690428" w:rsidRDefault="009601AE" w:rsidP="009E3730">
            <w:pPr>
              <w:widowControl w:val="0"/>
              <w:suppressAutoHyphens/>
            </w:pPr>
            <w:r w:rsidRPr="00690428">
              <w:t>Ministry of Economy and Sustainable Development</w:t>
            </w:r>
          </w:p>
        </w:tc>
      </w:tr>
      <w:tr w:rsidR="009601AE" w:rsidRPr="00690428" w14:paraId="57E975A1" w14:textId="77777777" w:rsidTr="00C90833">
        <w:trPr>
          <w:jc w:val="center"/>
        </w:trPr>
        <w:tc>
          <w:tcPr>
            <w:tcW w:w="1292" w:type="dxa"/>
            <w:tcBorders>
              <w:top w:val="nil"/>
              <w:bottom w:val="nil"/>
              <w:right w:val="single" w:sz="4" w:space="0" w:color="auto"/>
            </w:tcBorders>
          </w:tcPr>
          <w:p w14:paraId="55FF375A" w14:textId="77777777" w:rsidR="009601AE" w:rsidRPr="00690428" w:rsidRDefault="009601AE" w:rsidP="009E3730">
            <w:pPr>
              <w:widowControl w:val="0"/>
              <w:suppressAutoHyphens/>
            </w:pPr>
            <w:r w:rsidRPr="00690428">
              <w:t>MoES</w:t>
            </w:r>
          </w:p>
        </w:tc>
        <w:tc>
          <w:tcPr>
            <w:tcW w:w="7230" w:type="dxa"/>
            <w:tcBorders>
              <w:top w:val="nil"/>
              <w:left w:val="single" w:sz="4" w:space="0" w:color="auto"/>
              <w:bottom w:val="nil"/>
            </w:tcBorders>
          </w:tcPr>
          <w:p w14:paraId="3AFB5B47" w14:textId="77777777" w:rsidR="009601AE" w:rsidRPr="00690428" w:rsidRDefault="009601AE" w:rsidP="009E3730">
            <w:pPr>
              <w:widowControl w:val="0"/>
              <w:suppressAutoHyphens/>
            </w:pPr>
            <w:r w:rsidRPr="00690428">
              <w:t xml:space="preserve">Ministry of Education and Science </w:t>
            </w:r>
          </w:p>
        </w:tc>
      </w:tr>
      <w:tr w:rsidR="009601AE" w:rsidRPr="00690428" w14:paraId="109D5C85" w14:textId="77777777" w:rsidTr="00C90833">
        <w:trPr>
          <w:jc w:val="center"/>
        </w:trPr>
        <w:tc>
          <w:tcPr>
            <w:tcW w:w="1292" w:type="dxa"/>
            <w:tcBorders>
              <w:top w:val="nil"/>
              <w:bottom w:val="nil"/>
              <w:right w:val="single" w:sz="4" w:space="0" w:color="auto"/>
            </w:tcBorders>
          </w:tcPr>
          <w:p w14:paraId="32527C3A" w14:textId="77777777" w:rsidR="009601AE" w:rsidRPr="00690428" w:rsidRDefault="009601AE" w:rsidP="009E3730">
            <w:pPr>
              <w:widowControl w:val="0"/>
              <w:suppressAutoHyphens/>
            </w:pPr>
            <w:r w:rsidRPr="00690428">
              <w:lastRenderedPageBreak/>
              <w:t>MoF</w:t>
            </w:r>
          </w:p>
        </w:tc>
        <w:tc>
          <w:tcPr>
            <w:tcW w:w="7230" w:type="dxa"/>
            <w:tcBorders>
              <w:top w:val="nil"/>
              <w:left w:val="single" w:sz="4" w:space="0" w:color="auto"/>
              <w:bottom w:val="nil"/>
            </w:tcBorders>
          </w:tcPr>
          <w:p w14:paraId="217495A3" w14:textId="77777777" w:rsidR="009601AE" w:rsidRPr="00690428" w:rsidRDefault="009601AE" w:rsidP="009E3730">
            <w:pPr>
              <w:widowControl w:val="0"/>
              <w:suppressAutoHyphens/>
            </w:pPr>
            <w:r w:rsidRPr="00690428">
              <w:t>Ministry of Finance</w:t>
            </w:r>
          </w:p>
        </w:tc>
      </w:tr>
      <w:tr w:rsidR="009601AE" w:rsidRPr="00690428" w14:paraId="122CF4BA" w14:textId="77777777" w:rsidTr="00C90833">
        <w:trPr>
          <w:jc w:val="center"/>
        </w:trPr>
        <w:tc>
          <w:tcPr>
            <w:tcW w:w="1292" w:type="dxa"/>
            <w:tcBorders>
              <w:top w:val="nil"/>
              <w:bottom w:val="nil"/>
              <w:right w:val="single" w:sz="4" w:space="0" w:color="auto"/>
            </w:tcBorders>
          </w:tcPr>
          <w:p w14:paraId="7FF306AC" w14:textId="77777777" w:rsidR="009601AE" w:rsidRPr="00690428" w:rsidRDefault="009601AE" w:rsidP="009E3730">
            <w:pPr>
              <w:widowControl w:val="0"/>
              <w:suppressAutoHyphens/>
            </w:pPr>
            <w:r w:rsidRPr="00690428">
              <w:t>MoLHSA</w:t>
            </w:r>
          </w:p>
        </w:tc>
        <w:tc>
          <w:tcPr>
            <w:tcW w:w="7230" w:type="dxa"/>
            <w:tcBorders>
              <w:top w:val="nil"/>
              <w:left w:val="single" w:sz="4" w:space="0" w:color="auto"/>
              <w:bottom w:val="nil"/>
            </w:tcBorders>
          </w:tcPr>
          <w:p w14:paraId="2953E2B5" w14:textId="77777777" w:rsidR="009601AE" w:rsidRPr="00690428" w:rsidRDefault="009601AE" w:rsidP="009E3730">
            <w:pPr>
              <w:widowControl w:val="0"/>
              <w:suppressAutoHyphens/>
            </w:pPr>
            <w:r w:rsidRPr="00690428">
              <w:t>Ministry of Labour, Health and Social Affairs</w:t>
            </w:r>
          </w:p>
        </w:tc>
      </w:tr>
      <w:tr w:rsidR="009601AE" w:rsidRPr="00690428" w14:paraId="5FD44A07" w14:textId="77777777" w:rsidTr="00C90833">
        <w:trPr>
          <w:jc w:val="center"/>
        </w:trPr>
        <w:tc>
          <w:tcPr>
            <w:tcW w:w="1292" w:type="dxa"/>
            <w:tcBorders>
              <w:top w:val="nil"/>
              <w:bottom w:val="nil"/>
              <w:right w:val="single" w:sz="4" w:space="0" w:color="auto"/>
            </w:tcBorders>
          </w:tcPr>
          <w:p w14:paraId="61B5352C" w14:textId="77777777" w:rsidR="009601AE" w:rsidRPr="00690428" w:rsidRDefault="009601AE" w:rsidP="009E3730">
            <w:pPr>
              <w:widowControl w:val="0"/>
              <w:suppressAutoHyphens/>
            </w:pPr>
            <w:r w:rsidRPr="00690428">
              <w:t>MoIA</w:t>
            </w:r>
          </w:p>
        </w:tc>
        <w:tc>
          <w:tcPr>
            <w:tcW w:w="7230" w:type="dxa"/>
            <w:tcBorders>
              <w:top w:val="nil"/>
              <w:left w:val="single" w:sz="4" w:space="0" w:color="auto"/>
              <w:bottom w:val="nil"/>
            </w:tcBorders>
          </w:tcPr>
          <w:p w14:paraId="7FC5BC43" w14:textId="77777777" w:rsidR="009601AE" w:rsidRPr="00690428" w:rsidRDefault="009601AE" w:rsidP="009E3730">
            <w:pPr>
              <w:widowControl w:val="0"/>
              <w:suppressAutoHyphens/>
            </w:pPr>
            <w:r w:rsidRPr="00690428">
              <w:t>Ministry of Internal Affairs</w:t>
            </w:r>
          </w:p>
        </w:tc>
      </w:tr>
      <w:tr w:rsidR="009601AE" w:rsidRPr="00690428" w14:paraId="4AB8329A" w14:textId="77777777" w:rsidTr="00C90833">
        <w:trPr>
          <w:jc w:val="center"/>
        </w:trPr>
        <w:tc>
          <w:tcPr>
            <w:tcW w:w="1292" w:type="dxa"/>
            <w:tcBorders>
              <w:top w:val="nil"/>
              <w:bottom w:val="nil"/>
              <w:right w:val="single" w:sz="4" w:space="0" w:color="auto"/>
            </w:tcBorders>
          </w:tcPr>
          <w:p w14:paraId="6E28D9C3" w14:textId="77777777" w:rsidR="009601AE" w:rsidRPr="00690428" w:rsidRDefault="009601AE" w:rsidP="009E3730">
            <w:pPr>
              <w:widowControl w:val="0"/>
              <w:suppressAutoHyphens/>
            </w:pPr>
            <w:r w:rsidRPr="00690428">
              <w:t>MoJ</w:t>
            </w:r>
          </w:p>
        </w:tc>
        <w:tc>
          <w:tcPr>
            <w:tcW w:w="7230" w:type="dxa"/>
            <w:tcBorders>
              <w:top w:val="nil"/>
              <w:left w:val="single" w:sz="4" w:space="0" w:color="auto"/>
              <w:bottom w:val="nil"/>
            </w:tcBorders>
          </w:tcPr>
          <w:p w14:paraId="30370B45" w14:textId="77777777" w:rsidR="009601AE" w:rsidRPr="00690428" w:rsidRDefault="009601AE" w:rsidP="009E3730">
            <w:pPr>
              <w:widowControl w:val="0"/>
              <w:suppressAutoHyphens/>
            </w:pPr>
            <w:r w:rsidRPr="00690428">
              <w:t>Ministry of Justice</w:t>
            </w:r>
          </w:p>
        </w:tc>
      </w:tr>
      <w:tr w:rsidR="009601AE" w:rsidRPr="00690428" w14:paraId="0426B26F" w14:textId="77777777" w:rsidTr="00C90833">
        <w:trPr>
          <w:jc w:val="center"/>
        </w:trPr>
        <w:tc>
          <w:tcPr>
            <w:tcW w:w="1292" w:type="dxa"/>
            <w:tcBorders>
              <w:top w:val="nil"/>
              <w:bottom w:val="nil"/>
              <w:right w:val="single" w:sz="4" w:space="0" w:color="auto"/>
            </w:tcBorders>
          </w:tcPr>
          <w:p w14:paraId="177A244D" w14:textId="77777777" w:rsidR="009601AE" w:rsidRPr="00690428" w:rsidRDefault="009601AE" w:rsidP="009E3730">
            <w:pPr>
              <w:widowControl w:val="0"/>
              <w:suppressAutoHyphens/>
            </w:pPr>
            <w:r w:rsidRPr="00690428">
              <w:t>MoSYA</w:t>
            </w:r>
          </w:p>
        </w:tc>
        <w:tc>
          <w:tcPr>
            <w:tcW w:w="7230" w:type="dxa"/>
            <w:tcBorders>
              <w:top w:val="nil"/>
              <w:left w:val="single" w:sz="4" w:space="0" w:color="auto"/>
              <w:bottom w:val="nil"/>
            </w:tcBorders>
          </w:tcPr>
          <w:p w14:paraId="43CF5618" w14:textId="77777777" w:rsidR="009601AE" w:rsidRPr="00690428" w:rsidRDefault="009601AE" w:rsidP="009E3730">
            <w:pPr>
              <w:widowControl w:val="0"/>
              <w:suppressAutoHyphens/>
            </w:pPr>
            <w:r w:rsidRPr="00690428">
              <w:t>Ministry of Sports and Youth Affairs</w:t>
            </w:r>
          </w:p>
        </w:tc>
      </w:tr>
      <w:tr w:rsidR="009601AE" w:rsidRPr="00690428" w14:paraId="312F3B77" w14:textId="77777777" w:rsidTr="00C90833">
        <w:trPr>
          <w:jc w:val="center"/>
        </w:trPr>
        <w:tc>
          <w:tcPr>
            <w:tcW w:w="1292" w:type="dxa"/>
            <w:tcBorders>
              <w:top w:val="nil"/>
              <w:bottom w:val="nil"/>
              <w:right w:val="single" w:sz="4" w:space="0" w:color="auto"/>
            </w:tcBorders>
          </w:tcPr>
          <w:p w14:paraId="5B980C63" w14:textId="77777777" w:rsidR="009601AE" w:rsidRPr="00690428" w:rsidRDefault="009601AE" w:rsidP="009E3730">
            <w:pPr>
              <w:widowControl w:val="0"/>
              <w:suppressAutoHyphens/>
            </w:pPr>
            <w:r w:rsidRPr="00690428">
              <w:t>MTEF</w:t>
            </w:r>
          </w:p>
        </w:tc>
        <w:tc>
          <w:tcPr>
            <w:tcW w:w="7230" w:type="dxa"/>
            <w:tcBorders>
              <w:top w:val="nil"/>
              <w:left w:val="single" w:sz="4" w:space="0" w:color="auto"/>
              <w:bottom w:val="nil"/>
            </w:tcBorders>
          </w:tcPr>
          <w:p w14:paraId="7320176A" w14:textId="77777777" w:rsidR="009601AE" w:rsidRPr="00690428" w:rsidRDefault="009601AE" w:rsidP="009E3730">
            <w:pPr>
              <w:widowControl w:val="0"/>
              <w:suppressAutoHyphens/>
            </w:pPr>
            <w:r w:rsidRPr="00690428">
              <w:t>Medium Term Expenditure Framework</w:t>
            </w:r>
          </w:p>
        </w:tc>
      </w:tr>
      <w:tr w:rsidR="009601AE" w:rsidRPr="00690428" w14:paraId="24A6A3F7" w14:textId="77777777" w:rsidTr="00C90833">
        <w:trPr>
          <w:jc w:val="center"/>
        </w:trPr>
        <w:tc>
          <w:tcPr>
            <w:tcW w:w="1292" w:type="dxa"/>
            <w:tcBorders>
              <w:top w:val="nil"/>
              <w:bottom w:val="nil"/>
              <w:right w:val="single" w:sz="4" w:space="0" w:color="auto"/>
            </w:tcBorders>
          </w:tcPr>
          <w:p w14:paraId="7C0904BE" w14:textId="77777777" w:rsidR="009601AE" w:rsidRPr="00690428" w:rsidRDefault="009601AE" w:rsidP="009E3730">
            <w:pPr>
              <w:widowControl w:val="0"/>
              <w:suppressAutoHyphens/>
            </w:pPr>
            <w:r w:rsidRPr="00690428">
              <w:t>MTSS</w:t>
            </w:r>
          </w:p>
        </w:tc>
        <w:tc>
          <w:tcPr>
            <w:tcW w:w="7230" w:type="dxa"/>
            <w:tcBorders>
              <w:top w:val="nil"/>
              <w:left w:val="single" w:sz="4" w:space="0" w:color="auto"/>
              <w:bottom w:val="nil"/>
            </w:tcBorders>
          </w:tcPr>
          <w:p w14:paraId="0107D5ED" w14:textId="77777777" w:rsidR="009601AE" w:rsidRPr="00690428" w:rsidRDefault="009601AE" w:rsidP="009E3730">
            <w:pPr>
              <w:widowControl w:val="0"/>
              <w:suppressAutoHyphens/>
            </w:pPr>
            <w:r w:rsidRPr="00690428">
              <w:t>Medium Term Sector Strategy</w:t>
            </w:r>
          </w:p>
        </w:tc>
      </w:tr>
      <w:tr w:rsidR="009601AE" w:rsidRPr="00690428" w14:paraId="50D2E971" w14:textId="77777777" w:rsidTr="00C90833">
        <w:trPr>
          <w:jc w:val="center"/>
        </w:trPr>
        <w:tc>
          <w:tcPr>
            <w:tcW w:w="1292" w:type="dxa"/>
            <w:tcBorders>
              <w:top w:val="nil"/>
              <w:bottom w:val="nil"/>
              <w:right w:val="single" w:sz="4" w:space="0" w:color="auto"/>
            </w:tcBorders>
          </w:tcPr>
          <w:p w14:paraId="27ECFD6B" w14:textId="77777777" w:rsidR="009601AE" w:rsidRPr="00690428" w:rsidRDefault="009601AE" w:rsidP="009E3730">
            <w:pPr>
              <w:widowControl w:val="0"/>
              <w:suppressAutoHyphens/>
            </w:pPr>
            <w:r w:rsidRPr="00690428">
              <w:t>NACE</w:t>
            </w:r>
          </w:p>
        </w:tc>
        <w:tc>
          <w:tcPr>
            <w:tcW w:w="7230" w:type="dxa"/>
            <w:tcBorders>
              <w:top w:val="nil"/>
              <w:left w:val="single" w:sz="4" w:space="0" w:color="auto"/>
              <w:bottom w:val="nil"/>
            </w:tcBorders>
          </w:tcPr>
          <w:p w14:paraId="49C2CA2C" w14:textId="77777777" w:rsidR="009601AE" w:rsidRPr="00690428" w:rsidRDefault="009601AE" w:rsidP="009E3730">
            <w:pPr>
              <w:widowControl w:val="0"/>
              <w:suppressAutoHyphens/>
            </w:pPr>
            <w:r w:rsidRPr="00690428">
              <w:t>Classification of economic activities in the European Community (Nomenclature des activités économiques)</w:t>
            </w:r>
          </w:p>
        </w:tc>
      </w:tr>
      <w:tr w:rsidR="009601AE" w:rsidRPr="00690428" w14:paraId="5B0E6446" w14:textId="77777777" w:rsidTr="00C90833">
        <w:trPr>
          <w:jc w:val="center"/>
        </w:trPr>
        <w:tc>
          <w:tcPr>
            <w:tcW w:w="1292" w:type="dxa"/>
            <w:tcBorders>
              <w:top w:val="nil"/>
              <w:bottom w:val="nil"/>
              <w:right w:val="single" w:sz="4" w:space="0" w:color="auto"/>
            </w:tcBorders>
          </w:tcPr>
          <w:p w14:paraId="465261FA" w14:textId="77777777" w:rsidR="009601AE" w:rsidRPr="00690428" w:rsidRDefault="009601AE" w:rsidP="009E3730">
            <w:pPr>
              <w:widowControl w:val="0"/>
              <w:suppressAutoHyphens/>
            </w:pPr>
            <w:r w:rsidRPr="00690428">
              <w:t>NAO</w:t>
            </w:r>
          </w:p>
        </w:tc>
        <w:tc>
          <w:tcPr>
            <w:tcW w:w="7230" w:type="dxa"/>
            <w:tcBorders>
              <w:top w:val="nil"/>
              <w:left w:val="single" w:sz="4" w:space="0" w:color="auto"/>
              <w:bottom w:val="nil"/>
            </w:tcBorders>
          </w:tcPr>
          <w:p w14:paraId="61858A10" w14:textId="77777777" w:rsidR="009601AE" w:rsidRPr="00690428" w:rsidRDefault="009601AE" w:rsidP="009E3730">
            <w:pPr>
              <w:widowControl w:val="0"/>
              <w:suppressAutoHyphens/>
            </w:pPr>
            <w:r w:rsidRPr="00690428">
              <w:t>National Authorizing Officer</w:t>
            </w:r>
          </w:p>
        </w:tc>
      </w:tr>
      <w:tr w:rsidR="009601AE" w:rsidRPr="00690428" w14:paraId="1DD392F6" w14:textId="77777777" w:rsidTr="00C90833">
        <w:trPr>
          <w:jc w:val="center"/>
        </w:trPr>
        <w:tc>
          <w:tcPr>
            <w:tcW w:w="1292" w:type="dxa"/>
            <w:tcBorders>
              <w:top w:val="nil"/>
              <w:bottom w:val="nil"/>
              <w:right w:val="single" w:sz="4" w:space="0" w:color="auto"/>
            </w:tcBorders>
          </w:tcPr>
          <w:p w14:paraId="5229B0D0" w14:textId="77777777" w:rsidR="009601AE" w:rsidRPr="00690428" w:rsidRDefault="009601AE" w:rsidP="009E3730">
            <w:pPr>
              <w:widowControl w:val="0"/>
              <w:suppressAutoHyphens/>
            </w:pPr>
            <w:r w:rsidRPr="00690428">
              <w:t>NCEQE</w:t>
            </w:r>
          </w:p>
        </w:tc>
        <w:tc>
          <w:tcPr>
            <w:tcW w:w="7230" w:type="dxa"/>
            <w:tcBorders>
              <w:top w:val="nil"/>
              <w:left w:val="single" w:sz="4" w:space="0" w:color="auto"/>
              <w:bottom w:val="nil"/>
            </w:tcBorders>
          </w:tcPr>
          <w:p w14:paraId="2470FE2C" w14:textId="77777777" w:rsidR="009601AE" w:rsidRPr="00690428" w:rsidRDefault="009601AE" w:rsidP="009E3730">
            <w:pPr>
              <w:widowControl w:val="0"/>
              <w:suppressAutoHyphens/>
            </w:pPr>
            <w:r w:rsidRPr="00690428">
              <w:t>National Centre for Education Quality Enhancement</w:t>
            </w:r>
          </w:p>
        </w:tc>
      </w:tr>
      <w:tr w:rsidR="009601AE" w:rsidRPr="00690428" w14:paraId="632B86F5" w14:textId="77777777" w:rsidTr="00C90833">
        <w:trPr>
          <w:jc w:val="center"/>
        </w:trPr>
        <w:tc>
          <w:tcPr>
            <w:tcW w:w="1292" w:type="dxa"/>
            <w:tcBorders>
              <w:top w:val="nil"/>
              <w:bottom w:val="nil"/>
              <w:right w:val="single" w:sz="4" w:space="0" w:color="auto"/>
            </w:tcBorders>
          </w:tcPr>
          <w:p w14:paraId="58B9AAF4" w14:textId="77777777" w:rsidR="009601AE" w:rsidRPr="00690428" w:rsidRDefault="009601AE" w:rsidP="009E3730">
            <w:pPr>
              <w:widowControl w:val="0"/>
              <w:suppressAutoHyphens/>
            </w:pPr>
            <w:r w:rsidRPr="00690428">
              <w:t>NEET</w:t>
            </w:r>
          </w:p>
        </w:tc>
        <w:tc>
          <w:tcPr>
            <w:tcW w:w="7230" w:type="dxa"/>
            <w:tcBorders>
              <w:top w:val="nil"/>
              <w:left w:val="single" w:sz="4" w:space="0" w:color="auto"/>
              <w:bottom w:val="nil"/>
            </w:tcBorders>
          </w:tcPr>
          <w:p w14:paraId="65E02655" w14:textId="77777777" w:rsidR="009601AE" w:rsidRPr="00690428" w:rsidRDefault="009601AE" w:rsidP="009E3730">
            <w:pPr>
              <w:widowControl w:val="0"/>
              <w:suppressAutoHyphens/>
            </w:pPr>
            <w:r w:rsidRPr="00690428">
              <w:t>Not in Employment, Education or Training</w:t>
            </w:r>
          </w:p>
        </w:tc>
      </w:tr>
      <w:tr w:rsidR="009601AE" w:rsidRPr="00690428" w14:paraId="33991FDC" w14:textId="77777777" w:rsidTr="00C90833">
        <w:trPr>
          <w:jc w:val="center"/>
        </w:trPr>
        <w:tc>
          <w:tcPr>
            <w:tcW w:w="1292" w:type="dxa"/>
            <w:tcBorders>
              <w:top w:val="nil"/>
              <w:bottom w:val="nil"/>
              <w:right w:val="single" w:sz="4" w:space="0" w:color="auto"/>
            </w:tcBorders>
          </w:tcPr>
          <w:p w14:paraId="17E55D6B" w14:textId="77777777" w:rsidR="009601AE" w:rsidRPr="00690428" w:rsidRDefault="009601AE" w:rsidP="009E3730">
            <w:pPr>
              <w:widowControl w:val="0"/>
              <w:suppressAutoHyphens/>
            </w:pPr>
            <w:r w:rsidRPr="00690428">
              <w:t>NGO</w:t>
            </w:r>
          </w:p>
        </w:tc>
        <w:tc>
          <w:tcPr>
            <w:tcW w:w="7230" w:type="dxa"/>
            <w:tcBorders>
              <w:top w:val="nil"/>
              <w:left w:val="single" w:sz="4" w:space="0" w:color="auto"/>
              <w:bottom w:val="nil"/>
            </w:tcBorders>
          </w:tcPr>
          <w:p w14:paraId="553D8160" w14:textId="77777777" w:rsidR="009601AE" w:rsidRPr="00690428" w:rsidRDefault="009601AE" w:rsidP="009E3730">
            <w:pPr>
              <w:widowControl w:val="0"/>
              <w:suppressAutoHyphens/>
            </w:pPr>
            <w:r w:rsidRPr="00690428">
              <w:t>Non-Governmental Organization</w:t>
            </w:r>
          </w:p>
        </w:tc>
      </w:tr>
      <w:tr w:rsidR="009601AE" w:rsidRPr="00690428" w14:paraId="488864CD" w14:textId="77777777" w:rsidTr="00C90833">
        <w:trPr>
          <w:jc w:val="center"/>
        </w:trPr>
        <w:tc>
          <w:tcPr>
            <w:tcW w:w="1292" w:type="dxa"/>
            <w:tcBorders>
              <w:top w:val="nil"/>
              <w:bottom w:val="nil"/>
              <w:right w:val="single" w:sz="4" w:space="0" w:color="auto"/>
            </w:tcBorders>
          </w:tcPr>
          <w:p w14:paraId="1468088D" w14:textId="77777777" w:rsidR="009601AE" w:rsidRPr="00690428" w:rsidRDefault="009601AE" w:rsidP="009E3730">
            <w:pPr>
              <w:widowControl w:val="0"/>
              <w:suppressAutoHyphens/>
            </w:pPr>
            <w:r w:rsidRPr="00690428">
              <w:t>NSA</w:t>
            </w:r>
          </w:p>
        </w:tc>
        <w:tc>
          <w:tcPr>
            <w:tcW w:w="7230" w:type="dxa"/>
            <w:tcBorders>
              <w:top w:val="nil"/>
              <w:left w:val="single" w:sz="4" w:space="0" w:color="auto"/>
              <w:bottom w:val="nil"/>
            </w:tcBorders>
          </w:tcPr>
          <w:p w14:paraId="761CC397" w14:textId="77777777" w:rsidR="009601AE" w:rsidRPr="00690428" w:rsidRDefault="009601AE" w:rsidP="009E3730">
            <w:pPr>
              <w:widowControl w:val="0"/>
              <w:suppressAutoHyphens/>
            </w:pPr>
            <w:r w:rsidRPr="00690428">
              <w:t>Non-State Actor</w:t>
            </w:r>
          </w:p>
        </w:tc>
      </w:tr>
      <w:tr w:rsidR="009601AE" w:rsidRPr="00690428" w14:paraId="13F09B91" w14:textId="77777777" w:rsidTr="00C90833">
        <w:trPr>
          <w:jc w:val="center"/>
        </w:trPr>
        <w:tc>
          <w:tcPr>
            <w:tcW w:w="1292" w:type="dxa"/>
            <w:tcBorders>
              <w:top w:val="nil"/>
              <w:bottom w:val="nil"/>
              <w:right w:val="single" w:sz="4" w:space="0" w:color="auto"/>
            </w:tcBorders>
          </w:tcPr>
          <w:p w14:paraId="338FEA82" w14:textId="77777777" w:rsidR="009601AE" w:rsidRPr="00690428" w:rsidRDefault="009601AE" w:rsidP="009E3730">
            <w:pPr>
              <w:widowControl w:val="0"/>
              <w:suppressAutoHyphens/>
            </w:pPr>
            <w:r w:rsidRPr="00690428">
              <w:t>NSC</w:t>
            </w:r>
          </w:p>
        </w:tc>
        <w:tc>
          <w:tcPr>
            <w:tcW w:w="7230" w:type="dxa"/>
            <w:tcBorders>
              <w:top w:val="nil"/>
              <w:left w:val="single" w:sz="4" w:space="0" w:color="auto"/>
              <w:bottom w:val="nil"/>
            </w:tcBorders>
          </w:tcPr>
          <w:p w14:paraId="3324557E" w14:textId="77777777" w:rsidR="009601AE" w:rsidRPr="00690428" w:rsidRDefault="009601AE" w:rsidP="009E3730">
            <w:pPr>
              <w:widowControl w:val="0"/>
              <w:suppressAutoHyphens/>
            </w:pPr>
            <w:r w:rsidRPr="00690428">
              <w:t>National Statistics Committee -GeoSTAT</w:t>
            </w:r>
          </w:p>
        </w:tc>
      </w:tr>
      <w:tr w:rsidR="009601AE" w:rsidRPr="00690428" w14:paraId="77758FD3" w14:textId="77777777" w:rsidTr="00C90833">
        <w:trPr>
          <w:jc w:val="center"/>
        </w:trPr>
        <w:tc>
          <w:tcPr>
            <w:tcW w:w="1292" w:type="dxa"/>
            <w:tcBorders>
              <w:top w:val="nil"/>
              <w:bottom w:val="nil"/>
              <w:right w:val="single" w:sz="4" w:space="0" w:color="auto"/>
            </w:tcBorders>
          </w:tcPr>
          <w:p w14:paraId="108CC685" w14:textId="77777777" w:rsidR="009601AE" w:rsidRPr="00690428" w:rsidRDefault="009601AE" w:rsidP="009E3730">
            <w:pPr>
              <w:widowControl w:val="0"/>
              <w:suppressAutoHyphens/>
            </w:pPr>
            <w:r w:rsidRPr="00690428">
              <w:t>NQF</w:t>
            </w:r>
          </w:p>
        </w:tc>
        <w:tc>
          <w:tcPr>
            <w:tcW w:w="7230" w:type="dxa"/>
            <w:tcBorders>
              <w:top w:val="nil"/>
              <w:left w:val="single" w:sz="4" w:space="0" w:color="auto"/>
              <w:bottom w:val="nil"/>
            </w:tcBorders>
          </w:tcPr>
          <w:p w14:paraId="03A8A2AE" w14:textId="77777777" w:rsidR="009601AE" w:rsidRPr="00690428" w:rsidRDefault="009601AE" w:rsidP="009E3730">
            <w:pPr>
              <w:widowControl w:val="0"/>
              <w:suppressAutoHyphens/>
            </w:pPr>
            <w:r w:rsidRPr="00690428">
              <w:t>National Qualifications Framework</w:t>
            </w:r>
          </w:p>
        </w:tc>
      </w:tr>
      <w:tr w:rsidR="009601AE" w:rsidRPr="00690428" w14:paraId="5C03415C" w14:textId="77777777" w:rsidTr="00C90833">
        <w:trPr>
          <w:jc w:val="center"/>
        </w:trPr>
        <w:tc>
          <w:tcPr>
            <w:tcW w:w="1292" w:type="dxa"/>
            <w:tcBorders>
              <w:top w:val="nil"/>
              <w:bottom w:val="nil"/>
              <w:right w:val="single" w:sz="4" w:space="0" w:color="auto"/>
            </w:tcBorders>
          </w:tcPr>
          <w:p w14:paraId="741B8EB4" w14:textId="77777777" w:rsidR="009601AE" w:rsidRPr="00690428" w:rsidRDefault="009601AE" w:rsidP="009E3730">
            <w:pPr>
              <w:widowControl w:val="0"/>
              <w:suppressAutoHyphens/>
            </w:pPr>
            <w:r w:rsidRPr="00690428">
              <w:t>NVETC</w:t>
            </w:r>
          </w:p>
        </w:tc>
        <w:tc>
          <w:tcPr>
            <w:tcW w:w="7230" w:type="dxa"/>
            <w:tcBorders>
              <w:top w:val="nil"/>
              <w:left w:val="single" w:sz="4" w:space="0" w:color="auto"/>
              <w:bottom w:val="nil"/>
            </w:tcBorders>
          </w:tcPr>
          <w:p w14:paraId="603E95BC" w14:textId="77777777" w:rsidR="009601AE" w:rsidRPr="00690428" w:rsidRDefault="009601AE" w:rsidP="009E3730">
            <w:pPr>
              <w:widowControl w:val="0"/>
              <w:suppressAutoHyphens/>
            </w:pPr>
            <w:r w:rsidRPr="00690428">
              <w:t xml:space="preserve">National Vocational Education and Training Council </w:t>
            </w:r>
          </w:p>
        </w:tc>
      </w:tr>
      <w:tr w:rsidR="009601AE" w:rsidRPr="00690428" w14:paraId="00FEFE42" w14:textId="77777777" w:rsidTr="00C90833">
        <w:trPr>
          <w:jc w:val="center"/>
        </w:trPr>
        <w:tc>
          <w:tcPr>
            <w:tcW w:w="1292" w:type="dxa"/>
            <w:tcBorders>
              <w:top w:val="nil"/>
              <w:bottom w:val="nil"/>
              <w:right w:val="single" w:sz="4" w:space="0" w:color="auto"/>
            </w:tcBorders>
          </w:tcPr>
          <w:p w14:paraId="03EF4E20" w14:textId="77777777" w:rsidR="009601AE" w:rsidRPr="00690428" w:rsidRDefault="009601AE" w:rsidP="009E3730">
            <w:pPr>
              <w:widowControl w:val="0"/>
              <w:suppressAutoHyphens/>
            </w:pPr>
            <w:r w:rsidRPr="00690428">
              <w:t>OBI</w:t>
            </w:r>
          </w:p>
        </w:tc>
        <w:tc>
          <w:tcPr>
            <w:tcW w:w="7230" w:type="dxa"/>
            <w:tcBorders>
              <w:top w:val="nil"/>
              <w:left w:val="single" w:sz="4" w:space="0" w:color="auto"/>
              <w:bottom w:val="nil"/>
            </w:tcBorders>
          </w:tcPr>
          <w:p w14:paraId="0E94E417" w14:textId="77777777" w:rsidR="009601AE" w:rsidRPr="00690428" w:rsidRDefault="009601AE" w:rsidP="009E3730">
            <w:pPr>
              <w:widowControl w:val="0"/>
              <w:suppressAutoHyphens/>
            </w:pPr>
            <w:r w:rsidRPr="00690428">
              <w:t>Open Budget Index</w:t>
            </w:r>
          </w:p>
        </w:tc>
      </w:tr>
      <w:tr w:rsidR="009601AE" w:rsidRPr="00690428" w14:paraId="377C0C30" w14:textId="77777777" w:rsidTr="00C90833">
        <w:trPr>
          <w:jc w:val="center"/>
        </w:trPr>
        <w:tc>
          <w:tcPr>
            <w:tcW w:w="1292" w:type="dxa"/>
            <w:tcBorders>
              <w:top w:val="nil"/>
              <w:bottom w:val="nil"/>
              <w:right w:val="single" w:sz="4" w:space="0" w:color="auto"/>
            </w:tcBorders>
          </w:tcPr>
          <w:p w14:paraId="516CCA6B" w14:textId="77777777" w:rsidR="009601AE" w:rsidRPr="00690428" w:rsidRDefault="009601AE" w:rsidP="009E3730">
            <w:pPr>
              <w:widowControl w:val="0"/>
              <w:suppressAutoHyphens/>
            </w:pPr>
            <w:r w:rsidRPr="00690428">
              <w:t>OBS</w:t>
            </w:r>
          </w:p>
        </w:tc>
        <w:tc>
          <w:tcPr>
            <w:tcW w:w="7230" w:type="dxa"/>
            <w:tcBorders>
              <w:top w:val="nil"/>
              <w:left w:val="single" w:sz="4" w:space="0" w:color="auto"/>
              <w:bottom w:val="nil"/>
            </w:tcBorders>
          </w:tcPr>
          <w:p w14:paraId="559E5DA9" w14:textId="77777777" w:rsidR="009601AE" w:rsidRPr="00690428" w:rsidRDefault="009601AE" w:rsidP="009E3730">
            <w:pPr>
              <w:widowControl w:val="0"/>
              <w:suppressAutoHyphens/>
            </w:pPr>
            <w:r w:rsidRPr="00690428">
              <w:t>Open Budget Survey</w:t>
            </w:r>
          </w:p>
        </w:tc>
      </w:tr>
      <w:tr w:rsidR="009601AE" w:rsidRPr="00690428" w14:paraId="4DC3B62F" w14:textId="77777777" w:rsidTr="00C90833">
        <w:trPr>
          <w:jc w:val="center"/>
        </w:trPr>
        <w:tc>
          <w:tcPr>
            <w:tcW w:w="1292" w:type="dxa"/>
            <w:tcBorders>
              <w:top w:val="nil"/>
              <w:bottom w:val="nil"/>
              <w:right w:val="single" w:sz="4" w:space="0" w:color="auto"/>
            </w:tcBorders>
          </w:tcPr>
          <w:p w14:paraId="2CEC6794" w14:textId="77777777" w:rsidR="009601AE" w:rsidRPr="00690428" w:rsidRDefault="009601AE" w:rsidP="009E3730">
            <w:pPr>
              <w:widowControl w:val="0"/>
              <w:suppressAutoHyphens/>
            </w:pPr>
            <w:r w:rsidRPr="00690428">
              <w:t>OS</w:t>
            </w:r>
          </w:p>
        </w:tc>
        <w:tc>
          <w:tcPr>
            <w:tcW w:w="7230" w:type="dxa"/>
            <w:tcBorders>
              <w:top w:val="nil"/>
              <w:left w:val="single" w:sz="4" w:space="0" w:color="auto"/>
              <w:bottom w:val="nil"/>
            </w:tcBorders>
          </w:tcPr>
          <w:p w14:paraId="044E5FF4" w14:textId="77777777" w:rsidR="009601AE" w:rsidRPr="00690428" w:rsidRDefault="009601AE" w:rsidP="009E3730">
            <w:pPr>
              <w:widowControl w:val="0"/>
              <w:suppressAutoHyphens/>
            </w:pPr>
            <w:r w:rsidRPr="00690428">
              <w:t>Occupational Standards</w:t>
            </w:r>
          </w:p>
        </w:tc>
      </w:tr>
      <w:tr w:rsidR="009601AE" w:rsidRPr="00690428" w14:paraId="6AEAC15C" w14:textId="77777777" w:rsidTr="00C90833">
        <w:trPr>
          <w:jc w:val="center"/>
        </w:trPr>
        <w:tc>
          <w:tcPr>
            <w:tcW w:w="1292" w:type="dxa"/>
            <w:tcBorders>
              <w:top w:val="nil"/>
              <w:bottom w:val="nil"/>
              <w:right w:val="single" w:sz="4" w:space="0" w:color="auto"/>
            </w:tcBorders>
          </w:tcPr>
          <w:p w14:paraId="6830F8CC" w14:textId="77777777" w:rsidR="009601AE" w:rsidRPr="00690428" w:rsidRDefault="009601AE" w:rsidP="009E3730">
            <w:pPr>
              <w:widowControl w:val="0"/>
              <w:suppressAutoHyphens/>
            </w:pPr>
            <w:r w:rsidRPr="00690428">
              <w:t>PEFA</w:t>
            </w:r>
          </w:p>
        </w:tc>
        <w:tc>
          <w:tcPr>
            <w:tcW w:w="7230" w:type="dxa"/>
            <w:tcBorders>
              <w:top w:val="nil"/>
              <w:left w:val="single" w:sz="4" w:space="0" w:color="auto"/>
              <w:bottom w:val="nil"/>
            </w:tcBorders>
          </w:tcPr>
          <w:p w14:paraId="39C58E24" w14:textId="77777777" w:rsidR="009601AE" w:rsidRPr="00690428" w:rsidRDefault="009601AE" w:rsidP="009E3730">
            <w:pPr>
              <w:widowControl w:val="0"/>
              <w:suppressAutoHyphens/>
            </w:pPr>
            <w:r w:rsidRPr="00690428">
              <w:t>Public Expenditure and Financial Accountability</w:t>
            </w:r>
          </w:p>
        </w:tc>
      </w:tr>
      <w:tr w:rsidR="009601AE" w:rsidRPr="00690428" w14:paraId="08011724" w14:textId="77777777" w:rsidTr="00C90833">
        <w:trPr>
          <w:jc w:val="center"/>
        </w:trPr>
        <w:tc>
          <w:tcPr>
            <w:tcW w:w="1292" w:type="dxa"/>
            <w:tcBorders>
              <w:top w:val="nil"/>
              <w:bottom w:val="nil"/>
              <w:right w:val="single" w:sz="4" w:space="0" w:color="auto"/>
            </w:tcBorders>
          </w:tcPr>
          <w:p w14:paraId="4B08CECC" w14:textId="77777777" w:rsidR="009601AE" w:rsidRPr="00690428" w:rsidRDefault="009601AE" w:rsidP="009E3730">
            <w:pPr>
              <w:widowControl w:val="0"/>
              <w:suppressAutoHyphens/>
            </w:pPr>
            <w:r w:rsidRPr="00690428">
              <w:t>PES</w:t>
            </w:r>
          </w:p>
        </w:tc>
        <w:tc>
          <w:tcPr>
            <w:tcW w:w="7230" w:type="dxa"/>
            <w:tcBorders>
              <w:top w:val="nil"/>
              <w:left w:val="single" w:sz="4" w:space="0" w:color="auto"/>
              <w:bottom w:val="nil"/>
            </w:tcBorders>
          </w:tcPr>
          <w:p w14:paraId="2BF24300" w14:textId="77777777" w:rsidR="009601AE" w:rsidRPr="00690428" w:rsidRDefault="009601AE" w:rsidP="009E3730">
            <w:pPr>
              <w:widowControl w:val="0"/>
              <w:suppressAutoHyphens/>
            </w:pPr>
            <w:r w:rsidRPr="00690428">
              <w:t>Public Employment Service</w:t>
            </w:r>
          </w:p>
        </w:tc>
      </w:tr>
      <w:tr w:rsidR="009601AE" w:rsidRPr="00690428" w14:paraId="5650B240" w14:textId="77777777" w:rsidTr="00C90833">
        <w:trPr>
          <w:jc w:val="center"/>
        </w:trPr>
        <w:tc>
          <w:tcPr>
            <w:tcW w:w="1292" w:type="dxa"/>
            <w:tcBorders>
              <w:top w:val="nil"/>
              <w:bottom w:val="nil"/>
              <w:right w:val="single" w:sz="4" w:space="0" w:color="auto"/>
            </w:tcBorders>
          </w:tcPr>
          <w:p w14:paraId="2CE18623" w14:textId="77777777" w:rsidR="009601AE" w:rsidRPr="00690428" w:rsidRDefault="009601AE" w:rsidP="009E3730">
            <w:pPr>
              <w:widowControl w:val="0"/>
              <w:suppressAutoHyphens/>
            </w:pPr>
            <w:r w:rsidRPr="00690428">
              <w:t>PFM</w:t>
            </w:r>
          </w:p>
        </w:tc>
        <w:tc>
          <w:tcPr>
            <w:tcW w:w="7230" w:type="dxa"/>
            <w:tcBorders>
              <w:top w:val="nil"/>
              <w:left w:val="single" w:sz="4" w:space="0" w:color="auto"/>
              <w:bottom w:val="nil"/>
            </w:tcBorders>
          </w:tcPr>
          <w:p w14:paraId="62E3C02F" w14:textId="77777777" w:rsidR="009601AE" w:rsidRPr="00690428" w:rsidRDefault="009601AE" w:rsidP="009E3730">
            <w:pPr>
              <w:widowControl w:val="0"/>
              <w:suppressAutoHyphens/>
            </w:pPr>
            <w:r w:rsidRPr="00690428">
              <w:t>Public Finance Management</w:t>
            </w:r>
          </w:p>
        </w:tc>
      </w:tr>
      <w:tr w:rsidR="009601AE" w:rsidRPr="00690428" w14:paraId="36850857" w14:textId="77777777" w:rsidTr="00C90833">
        <w:trPr>
          <w:jc w:val="center"/>
        </w:trPr>
        <w:tc>
          <w:tcPr>
            <w:tcW w:w="1292" w:type="dxa"/>
            <w:tcBorders>
              <w:top w:val="nil"/>
              <w:bottom w:val="nil"/>
              <w:right w:val="single" w:sz="4" w:space="0" w:color="auto"/>
            </w:tcBorders>
          </w:tcPr>
          <w:p w14:paraId="70D31FA8" w14:textId="77777777" w:rsidR="009601AE" w:rsidRPr="00690428" w:rsidRDefault="009601AE" w:rsidP="009E3730">
            <w:pPr>
              <w:widowControl w:val="0"/>
              <w:suppressAutoHyphens/>
            </w:pPr>
            <w:r w:rsidRPr="00690428">
              <w:t>PDO</w:t>
            </w:r>
          </w:p>
        </w:tc>
        <w:tc>
          <w:tcPr>
            <w:tcW w:w="7230" w:type="dxa"/>
            <w:tcBorders>
              <w:top w:val="nil"/>
              <w:left w:val="single" w:sz="4" w:space="0" w:color="auto"/>
              <w:bottom w:val="nil"/>
            </w:tcBorders>
          </w:tcPr>
          <w:p w14:paraId="6E726B23" w14:textId="77777777" w:rsidR="009601AE" w:rsidRPr="00690428" w:rsidRDefault="009601AE" w:rsidP="009E3730">
            <w:pPr>
              <w:widowControl w:val="0"/>
              <w:suppressAutoHyphens/>
            </w:pPr>
            <w:r w:rsidRPr="00690428">
              <w:t>Public Defender's Office (Ombudsman)</w:t>
            </w:r>
          </w:p>
        </w:tc>
      </w:tr>
      <w:tr w:rsidR="009601AE" w:rsidRPr="00690428" w14:paraId="4B4398AF" w14:textId="77777777" w:rsidTr="00C90833">
        <w:trPr>
          <w:jc w:val="center"/>
        </w:trPr>
        <w:tc>
          <w:tcPr>
            <w:tcW w:w="1292" w:type="dxa"/>
            <w:tcBorders>
              <w:top w:val="nil"/>
              <w:bottom w:val="nil"/>
              <w:right w:val="single" w:sz="4" w:space="0" w:color="auto"/>
            </w:tcBorders>
          </w:tcPr>
          <w:p w14:paraId="289DB75E" w14:textId="77777777" w:rsidR="009601AE" w:rsidRPr="00690428" w:rsidRDefault="009601AE" w:rsidP="009E3730">
            <w:pPr>
              <w:widowControl w:val="0"/>
              <w:suppressAutoHyphens/>
            </w:pPr>
            <w:r w:rsidRPr="00690428">
              <w:t>PIP</w:t>
            </w:r>
          </w:p>
        </w:tc>
        <w:tc>
          <w:tcPr>
            <w:tcW w:w="7230" w:type="dxa"/>
            <w:tcBorders>
              <w:top w:val="nil"/>
              <w:left w:val="single" w:sz="4" w:space="0" w:color="auto"/>
              <w:bottom w:val="nil"/>
            </w:tcBorders>
          </w:tcPr>
          <w:p w14:paraId="459048BF" w14:textId="77777777" w:rsidR="009601AE" w:rsidRPr="00690428" w:rsidRDefault="009601AE" w:rsidP="009E3730">
            <w:pPr>
              <w:widowControl w:val="0"/>
              <w:suppressAutoHyphens/>
            </w:pPr>
            <w:r w:rsidRPr="00690428">
              <w:t>Public Investment Programme</w:t>
            </w:r>
          </w:p>
        </w:tc>
      </w:tr>
      <w:tr w:rsidR="009601AE" w:rsidRPr="00690428" w14:paraId="4746FAB1" w14:textId="77777777" w:rsidTr="00C90833">
        <w:trPr>
          <w:jc w:val="center"/>
        </w:trPr>
        <w:tc>
          <w:tcPr>
            <w:tcW w:w="1292" w:type="dxa"/>
            <w:tcBorders>
              <w:top w:val="nil"/>
              <w:bottom w:val="nil"/>
              <w:right w:val="single" w:sz="4" w:space="0" w:color="auto"/>
            </w:tcBorders>
          </w:tcPr>
          <w:p w14:paraId="7B454E7B" w14:textId="77777777" w:rsidR="009601AE" w:rsidRPr="00690428" w:rsidRDefault="009601AE" w:rsidP="009E3730">
            <w:pPr>
              <w:widowControl w:val="0"/>
              <w:suppressAutoHyphens/>
            </w:pPr>
            <w:r w:rsidRPr="00690428">
              <w:t>POCPD</w:t>
            </w:r>
          </w:p>
        </w:tc>
        <w:tc>
          <w:tcPr>
            <w:tcW w:w="7230" w:type="dxa"/>
            <w:tcBorders>
              <w:top w:val="nil"/>
              <w:left w:val="single" w:sz="4" w:space="0" w:color="auto"/>
              <w:bottom w:val="nil"/>
            </w:tcBorders>
          </w:tcPr>
          <w:p w14:paraId="2CE0CDE1" w14:textId="77777777" w:rsidR="009601AE" w:rsidRPr="00690428" w:rsidRDefault="009601AE" w:rsidP="009E3730">
            <w:pPr>
              <w:widowControl w:val="0"/>
              <w:suppressAutoHyphens/>
            </w:pPr>
            <w:r w:rsidRPr="00690428">
              <w:t>Professional Orientation and Career Planning Department</w:t>
            </w:r>
          </w:p>
        </w:tc>
      </w:tr>
      <w:tr w:rsidR="009601AE" w:rsidRPr="00690428" w14:paraId="279DA582" w14:textId="77777777" w:rsidTr="00C90833">
        <w:trPr>
          <w:jc w:val="center"/>
        </w:trPr>
        <w:tc>
          <w:tcPr>
            <w:tcW w:w="1292" w:type="dxa"/>
            <w:tcBorders>
              <w:top w:val="nil"/>
              <w:bottom w:val="nil"/>
              <w:right w:val="single" w:sz="4" w:space="0" w:color="auto"/>
            </w:tcBorders>
          </w:tcPr>
          <w:p w14:paraId="090C3CDC" w14:textId="77777777" w:rsidR="009601AE" w:rsidRPr="00690428" w:rsidRDefault="009601AE" w:rsidP="009E3730">
            <w:pPr>
              <w:widowControl w:val="0"/>
              <w:suppressAutoHyphens/>
            </w:pPr>
            <w:r w:rsidRPr="00690428">
              <w:t>SBS</w:t>
            </w:r>
          </w:p>
        </w:tc>
        <w:tc>
          <w:tcPr>
            <w:tcW w:w="7230" w:type="dxa"/>
            <w:tcBorders>
              <w:top w:val="nil"/>
              <w:left w:val="single" w:sz="4" w:space="0" w:color="auto"/>
              <w:bottom w:val="nil"/>
            </w:tcBorders>
          </w:tcPr>
          <w:p w14:paraId="35876E42" w14:textId="77777777" w:rsidR="009601AE" w:rsidRPr="00690428" w:rsidRDefault="009601AE" w:rsidP="009E3730">
            <w:pPr>
              <w:widowControl w:val="0"/>
              <w:suppressAutoHyphens/>
            </w:pPr>
            <w:r w:rsidRPr="00690428">
              <w:t>Sector Budget Support</w:t>
            </w:r>
          </w:p>
        </w:tc>
      </w:tr>
      <w:tr w:rsidR="009601AE" w:rsidRPr="00690428" w14:paraId="5C102FF4" w14:textId="77777777" w:rsidTr="00C90833">
        <w:trPr>
          <w:jc w:val="center"/>
        </w:trPr>
        <w:tc>
          <w:tcPr>
            <w:tcW w:w="1292" w:type="dxa"/>
            <w:tcBorders>
              <w:top w:val="nil"/>
              <w:bottom w:val="nil"/>
              <w:right w:val="single" w:sz="4" w:space="0" w:color="auto"/>
            </w:tcBorders>
          </w:tcPr>
          <w:p w14:paraId="65E3234C" w14:textId="77777777" w:rsidR="009601AE" w:rsidRPr="00690428" w:rsidRDefault="009601AE" w:rsidP="009E3730">
            <w:pPr>
              <w:widowControl w:val="0"/>
              <w:suppressAutoHyphens/>
            </w:pPr>
            <w:r w:rsidRPr="00690428">
              <w:t>SC</w:t>
            </w:r>
          </w:p>
        </w:tc>
        <w:tc>
          <w:tcPr>
            <w:tcW w:w="7230" w:type="dxa"/>
            <w:tcBorders>
              <w:top w:val="nil"/>
              <w:left w:val="single" w:sz="4" w:space="0" w:color="auto"/>
              <w:bottom w:val="nil"/>
            </w:tcBorders>
          </w:tcPr>
          <w:p w14:paraId="55CE07DB" w14:textId="77777777" w:rsidR="009601AE" w:rsidRPr="00690428" w:rsidRDefault="009601AE" w:rsidP="009E3730">
            <w:pPr>
              <w:widowControl w:val="0"/>
              <w:suppressAutoHyphens/>
            </w:pPr>
            <w:r w:rsidRPr="00690428">
              <w:t>Steering Committee</w:t>
            </w:r>
          </w:p>
        </w:tc>
      </w:tr>
      <w:tr w:rsidR="009601AE" w:rsidRPr="00690428" w14:paraId="4F6D0A3B" w14:textId="77777777" w:rsidTr="00C90833">
        <w:trPr>
          <w:jc w:val="center"/>
        </w:trPr>
        <w:tc>
          <w:tcPr>
            <w:tcW w:w="1292" w:type="dxa"/>
            <w:tcBorders>
              <w:top w:val="nil"/>
              <w:bottom w:val="nil"/>
              <w:right w:val="single" w:sz="4" w:space="0" w:color="auto"/>
            </w:tcBorders>
          </w:tcPr>
          <w:p w14:paraId="740C83D8" w14:textId="77777777" w:rsidR="009601AE" w:rsidRPr="00690428" w:rsidRDefault="009601AE" w:rsidP="009E3730">
            <w:pPr>
              <w:widowControl w:val="0"/>
              <w:suppressAutoHyphens/>
            </w:pPr>
            <w:r w:rsidRPr="00690428">
              <w:t>SDC</w:t>
            </w:r>
          </w:p>
        </w:tc>
        <w:tc>
          <w:tcPr>
            <w:tcW w:w="7230" w:type="dxa"/>
            <w:tcBorders>
              <w:top w:val="nil"/>
              <w:left w:val="single" w:sz="4" w:space="0" w:color="auto"/>
              <w:bottom w:val="nil"/>
            </w:tcBorders>
          </w:tcPr>
          <w:p w14:paraId="1F2AFE5D" w14:textId="77777777" w:rsidR="009601AE" w:rsidRPr="00690428" w:rsidRDefault="009601AE" w:rsidP="009E3730">
            <w:pPr>
              <w:widowControl w:val="0"/>
              <w:suppressAutoHyphens/>
            </w:pPr>
            <w:r w:rsidRPr="00690428">
              <w:t>Swiss Development Cooperation</w:t>
            </w:r>
          </w:p>
        </w:tc>
      </w:tr>
      <w:tr w:rsidR="009601AE" w:rsidRPr="00690428" w14:paraId="0AECFB21" w14:textId="77777777" w:rsidTr="00C90833">
        <w:trPr>
          <w:jc w:val="center"/>
        </w:trPr>
        <w:tc>
          <w:tcPr>
            <w:tcW w:w="1292" w:type="dxa"/>
            <w:tcBorders>
              <w:top w:val="nil"/>
              <w:bottom w:val="nil"/>
              <w:right w:val="single" w:sz="4" w:space="0" w:color="auto"/>
            </w:tcBorders>
          </w:tcPr>
          <w:p w14:paraId="252E481C" w14:textId="77777777" w:rsidR="009601AE" w:rsidRPr="00690428" w:rsidRDefault="009601AE" w:rsidP="009E3730">
            <w:pPr>
              <w:widowControl w:val="0"/>
              <w:suppressAutoHyphens/>
            </w:pPr>
            <w:r w:rsidRPr="00690428">
              <w:t>SECO</w:t>
            </w:r>
          </w:p>
        </w:tc>
        <w:tc>
          <w:tcPr>
            <w:tcW w:w="7230" w:type="dxa"/>
            <w:tcBorders>
              <w:top w:val="nil"/>
              <w:left w:val="single" w:sz="4" w:space="0" w:color="auto"/>
              <w:bottom w:val="nil"/>
            </w:tcBorders>
          </w:tcPr>
          <w:p w14:paraId="7B91295E" w14:textId="77777777" w:rsidR="009601AE" w:rsidRPr="00690428" w:rsidRDefault="009601AE" w:rsidP="009E3730">
            <w:pPr>
              <w:widowControl w:val="0"/>
              <w:suppressAutoHyphens/>
            </w:pPr>
            <w:r w:rsidRPr="00690428">
              <w:t>Swiss Economic Cooperation Organization</w:t>
            </w:r>
          </w:p>
        </w:tc>
      </w:tr>
      <w:tr w:rsidR="009601AE" w:rsidRPr="00690428" w14:paraId="0A7583C1" w14:textId="77777777" w:rsidTr="00C90833">
        <w:trPr>
          <w:jc w:val="center"/>
        </w:trPr>
        <w:tc>
          <w:tcPr>
            <w:tcW w:w="1292" w:type="dxa"/>
            <w:tcBorders>
              <w:top w:val="nil"/>
              <w:bottom w:val="nil"/>
              <w:right w:val="single" w:sz="4" w:space="0" w:color="auto"/>
            </w:tcBorders>
          </w:tcPr>
          <w:p w14:paraId="406ADDC1" w14:textId="77777777" w:rsidR="009601AE" w:rsidRPr="00690428" w:rsidRDefault="009601AE" w:rsidP="009E3730">
            <w:pPr>
              <w:widowControl w:val="0"/>
              <w:suppressAutoHyphens/>
            </w:pPr>
            <w:r w:rsidRPr="00690428">
              <w:t>SIDA</w:t>
            </w:r>
          </w:p>
        </w:tc>
        <w:tc>
          <w:tcPr>
            <w:tcW w:w="7230" w:type="dxa"/>
            <w:tcBorders>
              <w:top w:val="nil"/>
              <w:left w:val="single" w:sz="4" w:space="0" w:color="auto"/>
              <w:bottom w:val="nil"/>
            </w:tcBorders>
          </w:tcPr>
          <w:p w14:paraId="5ECA1ADD" w14:textId="77777777" w:rsidR="009601AE" w:rsidRPr="00690428" w:rsidRDefault="009601AE" w:rsidP="009E3730">
            <w:pPr>
              <w:widowControl w:val="0"/>
              <w:suppressAutoHyphens/>
            </w:pPr>
            <w:r w:rsidRPr="00690428">
              <w:t>Swedish International Development Agency</w:t>
            </w:r>
          </w:p>
        </w:tc>
      </w:tr>
      <w:tr w:rsidR="009601AE" w:rsidRPr="00690428" w14:paraId="25B47393" w14:textId="77777777" w:rsidTr="00C90833">
        <w:trPr>
          <w:jc w:val="center"/>
        </w:trPr>
        <w:tc>
          <w:tcPr>
            <w:tcW w:w="1292" w:type="dxa"/>
            <w:tcBorders>
              <w:top w:val="nil"/>
              <w:bottom w:val="nil"/>
              <w:right w:val="single" w:sz="4" w:space="0" w:color="auto"/>
            </w:tcBorders>
          </w:tcPr>
          <w:p w14:paraId="594C3311" w14:textId="77777777" w:rsidR="009601AE" w:rsidRPr="00690428" w:rsidRDefault="009601AE" w:rsidP="009E3730">
            <w:pPr>
              <w:widowControl w:val="0"/>
              <w:suppressAutoHyphens/>
            </w:pPr>
            <w:r w:rsidRPr="00690428">
              <w:t>SIRM</w:t>
            </w:r>
          </w:p>
        </w:tc>
        <w:tc>
          <w:tcPr>
            <w:tcW w:w="7230" w:type="dxa"/>
            <w:tcBorders>
              <w:top w:val="nil"/>
              <w:left w:val="single" w:sz="4" w:space="0" w:color="auto"/>
              <w:bottom w:val="nil"/>
            </w:tcBorders>
          </w:tcPr>
          <w:p w14:paraId="5B4FF69B" w14:textId="77777777" w:rsidR="009601AE" w:rsidRPr="00690428" w:rsidRDefault="009601AE" w:rsidP="009E3730">
            <w:pPr>
              <w:widowControl w:val="0"/>
              <w:suppressAutoHyphens/>
            </w:pPr>
            <w:r w:rsidRPr="00690428">
              <w:t>Second Instalment Review Mission</w:t>
            </w:r>
          </w:p>
        </w:tc>
      </w:tr>
      <w:tr w:rsidR="009601AE" w:rsidRPr="00690428" w14:paraId="27DD1A32" w14:textId="77777777" w:rsidTr="00C90833">
        <w:trPr>
          <w:jc w:val="center"/>
        </w:trPr>
        <w:tc>
          <w:tcPr>
            <w:tcW w:w="1292" w:type="dxa"/>
            <w:tcBorders>
              <w:top w:val="nil"/>
              <w:bottom w:val="nil"/>
              <w:right w:val="single" w:sz="4" w:space="0" w:color="auto"/>
            </w:tcBorders>
          </w:tcPr>
          <w:p w14:paraId="16C28B06" w14:textId="77777777" w:rsidR="009601AE" w:rsidRPr="00690428" w:rsidRDefault="009601AE" w:rsidP="009E3730">
            <w:pPr>
              <w:widowControl w:val="0"/>
              <w:suppressAutoHyphens/>
            </w:pPr>
            <w:r w:rsidRPr="00690428">
              <w:t>SPSP</w:t>
            </w:r>
          </w:p>
        </w:tc>
        <w:tc>
          <w:tcPr>
            <w:tcW w:w="7230" w:type="dxa"/>
            <w:tcBorders>
              <w:top w:val="nil"/>
              <w:left w:val="single" w:sz="4" w:space="0" w:color="auto"/>
              <w:bottom w:val="nil"/>
            </w:tcBorders>
          </w:tcPr>
          <w:p w14:paraId="405C16A2" w14:textId="77777777" w:rsidR="009601AE" w:rsidRPr="00690428" w:rsidRDefault="009601AE" w:rsidP="009E3730">
            <w:pPr>
              <w:widowControl w:val="0"/>
              <w:suppressAutoHyphens/>
            </w:pPr>
            <w:r w:rsidRPr="00690428">
              <w:t>Sector Policy Support Programme</w:t>
            </w:r>
          </w:p>
        </w:tc>
      </w:tr>
      <w:tr w:rsidR="009601AE" w:rsidRPr="00690428" w14:paraId="2F7950E4" w14:textId="77777777" w:rsidTr="00C90833">
        <w:trPr>
          <w:jc w:val="center"/>
        </w:trPr>
        <w:tc>
          <w:tcPr>
            <w:tcW w:w="1292" w:type="dxa"/>
            <w:tcBorders>
              <w:top w:val="nil"/>
              <w:bottom w:val="nil"/>
              <w:right w:val="single" w:sz="4" w:space="0" w:color="auto"/>
            </w:tcBorders>
          </w:tcPr>
          <w:p w14:paraId="6842C5BB" w14:textId="77777777" w:rsidR="009601AE" w:rsidRPr="00690428" w:rsidRDefault="009601AE" w:rsidP="009E3730">
            <w:pPr>
              <w:widowControl w:val="0"/>
              <w:suppressAutoHyphens/>
            </w:pPr>
            <w:r w:rsidRPr="00690428">
              <w:t>SRC</w:t>
            </w:r>
          </w:p>
        </w:tc>
        <w:tc>
          <w:tcPr>
            <w:tcW w:w="7230" w:type="dxa"/>
            <w:tcBorders>
              <w:top w:val="nil"/>
              <w:left w:val="single" w:sz="4" w:space="0" w:color="auto"/>
              <w:bottom w:val="nil"/>
            </w:tcBorders>
          </w:tcPr>
          <w:p w14:paraId="64A88168" w14:textId="77777777" w:rsidR="009601AE" w:rsidRPr="00690428" w:rsidRDefault="009601AE" w:rsidP="009E3730">
            <w:pPr>
              <w:widowControl w:val="0"/>
              <w:suppressAutoHyphens/>
            </w:pPr>
            <w:r w:rsidRPr="00690428">
              <w:t>Sector Reform Contract</w:t>
            </w:r>
          </w:p>
        </w:tc>
      </w:tr>
      <w:tr w:rsidR="009601AE" w:rsidRPr="00690428" w14:paraId="5E72CE43" w14:textId="77777777" w:rsidTr="00C90833">
        <w:trPr>
          <w:jc w:val="center"/>
        </w:trPr>
        <w:tc>
          <w:tcPr>
            <w:tcW w:w="1292" w:type="dxa"/>
            <w:tcBorders>
              <w:top w:val="nil"/>
              <w:bottom w:val="nil"/>
              <w:right w:val="single" w:sz="4" w:space="0" w:color="auto"/>
            </w:tcBorders>
          </w:tcPr>
          <w:p w14:paraId="5C211A10" w14:textId="77777777" w:rsidR="009601AE" w:rsidRPr="00690428" w:rsidRDefault="009601AE" w:rsidP="009E3730">
            <w:pPr>
              <w:widowControl w:val="0"/>
              <w:suppressAutoHyphens/>
            </w:pPr>
            <w:r w:rsidRPr="00690428">
              <w:t>SSA</w:t>
            </w:r>
          </w:p>
        </w:tc>
        <w:tc>
          <w:tcPr>
            <w:tcW w:w="7230" w:type="dxa"/>
            <w:tcBorders>
              <w:top w:val="nil"/>
              <w:left w:val="single" w:sz="4" w:space="0" w:color="auto"/>
              <w:bottom w:val="nil"/>
            </w:tcBorders>
          </w:tcPr>
          <w:p w14:paraId="7CF1AC7A" w14:textId="77777777" w:rsidR="009601AE" w:rsidRPr="00690428" w:rsidRDefault="009601AE" w:rsidP="009E3730">
            <w:pPr>
              <w:widowControl w:val="0"/>
              <w:suppressAutoHyphens/>
            </w:pPr>
            <w:r w:rsidRPr="00690428">
              <w:t>Social Services Agency</w:t>
            </w:r>
          </w:p>
        </w:tc>
      </w:tr>
      <w:tr w:rsidR="009601AE" w:rsidRPr="00690428" w14:paraId="356CE678" w14:textId="77777777" w:rsidTr="00C90833">
        <w:trPr>
          <w:jc w:val="center"/>
        </w:trPr>
        <w:tc>
          <w:tcPr>
            <w:tcW w:w="1292" w:type="dxa"/>
            <w:tcBorders>
              <w:top w:val="nil"/>
              <w:bottom w:val="nil"/>
              <w:right w:val="single" w:sz="4" w:space="0" w:color="auto"/>
            </w:tcBorders>
          </w:tcPr>
          <w:p w14:paraId="755FC99C" w14:textId="77777777" w:rsidR="009601AE" w:rsidRPr="00690428" w:rsidRDefault="009601AE" w:rsidP="009E3730">
            <w:pPr>
              <w:widowControl w:val="0"/>
              <w:suppressAutoHyphens/>
            </w:pPr>
            <w:r w:rsidRPr="00690428">
              <w:t>TA</w:t>
            </w:r>
          </w:p>
        </w:tc>
        <w:tc>
          <w:tcPr>
            <w:tcW w:w="7230" w:type="dxa"/>
            <w:tcBorders>
              <w:top w:val="nil"/>
              <w:left w:val="single" w:sz="4" w:space="0" w:color="auto"/>
              <w:bottom w:val="nil"/>
            </w:tcBorders>
          </w:tcPr>
          <w:p w14:paraId="76C66DBD" w14:textId="77777777" w:rsidR="009601AE" w:rsidRPr="00690428" w:rsidRDefault="009601AE" w:rsidP="009E3730">
            <w:pPr>
              <w:widowControl w:val="0"/>
              <w:suppressAutoHyphens/>
            </w:pPr>
            <w:r w:rsidRPr="00690428">
              <w:t>Technical Assistance</w:t>
            </w:r>
          </w:p>
        </w:tc>
      </w:tr>
      <w:tr w:rsidR="009601AE" w:rsidRPr="00690428" w14:paraId="3D895A35" w14:textId="77777777" w:rsidTr="00C90833">
        <w:trPr>
          <w:jc w:val="center"/>
        </w:trPr>
        <w:tc>
          <w:tcPr>
            <w:tcW w:w="1292" w:type="dxa"/>
            <w:tcBorders>
              <w:top w:val="nil"/>
              <w:bottom w:val="nil"/>
              <w:right w:val="single" w:sz="4" w:space="0" w:color="auto"/>
            </w:tcBorders>
          </w:tcPr>
          <w:p w14:paraId="2DD25858" w14:textId="77777777" w:rsidR="009601AE" w:rsidRPr="00690428" w:rsidRDefault="009601AE" w:rsidP="009E3730">
            <w:pPr>
              <w:widowControl w:val="0"/>
              <w:suppressAutoHyphens/>
            </w:pPr>
            <w:r w:rsidRPr="00690428">
              <w:t>TAPs</w:t>
            </w:r>
          </w:p>
        </w:tc>
        <w:tc>
          <w:tcPr>
            <w:tcW w:w="7230" w:type="dxa"/>
            <w:tcBorders>
              <w:top w:val="nil"/>
              <w:left w:val="single" w:sz="4" w:space="0" w:color="auto"/>
              <w:bottom w:val="nil"/>
            </w:tcBorders>
          </w:tcPr>
          <w:p w14:paraId="7993FE22" w14:textId="77777777" w:rsidR="009601AE" w:rsidRPr="00690428" w:rsidRDefault="009601AE" w:rsidP="009E3730">
            <w:pPr>
              <w:widowControl w:val="0"/>
              <w:suppressAutoHyphens/>
            </w:pPr>
            <w:r w:rsidRPr="00690428">
              <w:t>Technical and Administrative Provisions (Annex 2 of the FA)</w:t>
            </w:r>
          </w:p>
        </w:tc>
      </w:tr>
      <w:tr w:rsidR="009601AE" w:rsidRPr="00690428" w14:paraId="21C14282" w14:textId="77777777" w:rsidTr="00C90833">
        <w:trPr>
          <w:jc w:val="center"/>
        </w:trPr>
        <w:tc>
          <w:tcPr>
            <w:tcW w:w="1292" w:type="dxa"/>
            <w:tcBorders>
              <w:top w:val="nil"/>
              <w:bottom w:val="nil"/>
              <w:right w:val="single" w:sz="4" w:space="0" w:color="auto"/>
            </w:tcBorders>
          </w:tcPr>
          <w:p w14:paraId="595686D5" w14:textId="77777777" w:rsidR="009601AE" w:rsidRPr="00690428" w:rsidRDefault="009601AE" w:rsidP="009E3730">
            <w:pPr>
              <w:widowControl w:val="0"/>
              <w:suppressAutoHyphens/>
            </w:pPr>
            <w:r w:rsidRPr="00690428">
              <w:t>TIRM</w:t>
            </w:r>
          </w:p>
        </w:tc>
        <w:tc>
          <w:tcPr>
            <w:tcW w:w="7230" w:type="dxa"/>
            <w:tcBorders>
              <w:top w:val="nil"/>
              <w:left w:val="single" w:sz="4" w:space="0" w:color="auto"/>
              <w:bottom w:val="nil"/>
            </w:tcBorders>
          </w:tcPr>
          <w:p w14:paraId="677F8293" w14:textId="77777777" w:rsidR="009601AE" w:rsidRPr="00690428" w:rsidRDefault="009601AE" w:rsidP="009E3730">
            <w:pPr>
              <w:widowControl w:val="0"/>
              <w:suppressAutoHyphens/>
            </w:pPr>
            <w:r w:rsidRPr="00690428">
              <w:t>Third Instalment Review Mission</w:t>
            </w:r>
          </w:p>
        </w:tc>
      </w:tr>
      <w:tr w:rsidR="009601AE" w:rsidRPr="00690428" w14:paraId="78895E0F" w14:textId="77777777" w:rsidTr="00C90833">
        <w:trPr>
          <w:jc w:val="center"/>
        </w:trPr>
        <w:tc>
          <w:tcPr>
            <w:tcW w:w="1292" w:type="dxa"/>
            <w:tcBorders>
              <w:top w:val="nil"/>
              <w:bottom w:val="nil"/>
              <w:right w:val="single" w:sz="4" w:space="0" w:color="auto"/>
            </w:tcBorders>
          </w:tcPr>
          <w:p w14:paraId="0E21276F" w14:textId="77777777" w:rsidR="009601AE" w:rsidRPr="00690428" w:rsidRDefault="009601AE" w:rsidP="009E3730">
            <w:pPr>
              <w:widowControl w:val="0"/>
              <w:suppressAutoHyphens/>
            </w:pPr>
            <w:r w:rsidRPr="00690428">
              <w:t>ToR</w:t>
            </w:r>
          </w:p>
        </w:tc>
        <w:tc>
          <w:tcPr>
            <w:tcW w:w="7230" w:type="dxa"/>
            <w:tcBorders>
              <w:top w:val="nil"/>
              <w:left w:val="single" w:sz="4" w:space="0" w:color="auto"/>
              <w:bottom w:val="nil"/>
            </w:tcBorders>
          </w:tcPr>
          <w:p w14:paraId="28F27543" w14:textId="77777777" w:rsidR="009601AE" w:rsidRPr="00690428" w:rsidRDefault="009601AE" w:rsidP="009E3730">
            <w:pPr>
              <w:widowControl w:val="0"/>
              <w:suppressAutoHyphens/>
            </w:pPr>
            <w:r w:rsidRPr="00690428">
              <w:t>Terms of Reference</w:t>
            </w:r>
          </w:p>
        </w:tc>
      </w:tr>
      <w:tr w:rsidR="009601AE" w:rsidRPr="00690428" w14:paraId="5B83421B" w14:textId="77777777" w:rsidTr="00C90833">
        <w:trPr>
          <w:jc w:val="center"/>
        </w:trPr>
        <w:tc>
          <w:tcPr>
            <w:tcW w:w="1292" w:type="dxa"/>
            <w:tcBorders>
              <w:top w:val="nil"/>
              <w:bottom w:val="nil"/>
              <w:right w:val="single" w:sz="4" w:space="0" w:color="auto"/>
            </w:tcBorders>
          </w:tcPr>
          <w:p w14:paraId="48EA53AB" w14:textId="77777777" w:rsidR="009601AE" w:rsidRPr="00690428" w:rsidRDefault="009601AE" w:rsidP="009E3730">
            <w:pPr>
              <w:widowControl w:val="0"/>
              <w:suppressAutoHyphens/>
            </w:pPr>
            <w:r w:rsidRPr="00690428">
              <w:t>TPDC</w:t>
            </w:r>
          </w:p>
        </w:tc>
        <w:tc>
          <w:tcPr>
            <w:tcW w:w="7230" w:type="dxa"/>
            <w:tcBorders>
              <w:top w:val="nil"/>
              <w:left w:val="single" w:sz="4" w:space="0" w:color="auto"/>
              <w:bottom w:val="nil"/>
            </w:tcBorders>
          </w:tcPr>
          <w:p w14:paraId="6098A874" w14:textId="77777777" w:rsidR="009601AE" w:rsidRPr="00690428" w:rsidRDefault="009601AE" w:rsidP="009E3730">
            <w:pPr>
              <w:widowControl w:val="0"/>
              <w:suppressAutoHyphens/>
            </w:pPr>
            <w:r w:rsidRPr="00690428">
              <w:t>Teachers’ Professional Development Centre</w:t>
            </w:r>
          </w:p>
        </w:tc>
      </w:tr>
      <w:tr w:rsidR="009601AE" w:rsidRPr="00690428" w14:paraId="2646D26F" w14:textId="77777777" w:rsidTr="00C90833">
        <w:trPr>
          <w:jc w:val="center"/>
        </w:trPr>
        <w:tc>
          <w:tcPr>
            <w:tcW w:w="1292" w:type="dxa"/>
            <w:tcBorders>
              <w:top w:val="nil"/>
              <w:bottom w:val="nil"/>
              <w:right w:val="single" w:sz="4" w:space="0" w:color="auto"/>
            </w:tcBorders>
          </w:tcPr>
          <w:p w14:paraId="558BE916" w14:textId="77777777" w:rsidR="009601AE" w:rsidRPr="00690428" w:rsidRDefault="009601AE" w:rsidP="009E3730">
            <w:pPr>
              <w:widowControl w:val="0"/>
              <w:suppressAutoHyphens/>
            </w:pPr>
            <w:r w:rsidRPr="00690428">
              <w:t>TPR</w:t>
            </w:r>
          </w:p>
        </w:tc>
        <w:tc>
          <w:tcPr>
            <w:tcW w:w="7230" w:type="dxa"/>
            <w:tcBorders>
              <w:top w:val="nil"/>
              <w:left w:val="single" w:sz="4" w:space="0" w:color="auto"/>
              <w:bottom w:val="nil"/>
            </w:tcBorders>
          </w:tcPr>
          <w:p w14:paraId="7379E4AE" w14:textId="77777777" w:rsidR="009601AE" w:rsidRPr="00690428" w:rsidRDefault="009601AE" w:rsidP="009E3730">
            <w:pPr>
              <w:widowControl w:val="0"/>
              <w:suppressAutoHyphens/>
            </w:pPr>
            <w:r w:rsidRPr="00690428">
              <w:t>Tri-Partite Review</w:t>
            </w:r>
          </w:p>
        </w:tc>
      </w:tr>
      <w:tr w:rsidR="009601AE" w:rsidRPr="00690428" w14:paraId="018741CA" w14:textId="77777777" w:rsidTr="00C90833">
        <w:trPr>
          <w:jc w:val="center"/>
        </w:trPr>
        <w:tc>
          <w:tcPr>
            <w:tcW w:w="1292" w:type="dxa"/>
            <w:tcBorders>
              <w:top w:val="nil"/>
              <w:bottom w:val="nil"/>
              <w:right w:val="single" w:sz="4" w:space="0" w:color="auto"/>
            </w:tcBorders>
          </w:tcPr>
          <w:p w14:paraId="0603C378" w14:textId="77777777" w:rsidR="009601AE" w:rsidRPr="00690428" w:rsidRDefault="009601AE" w:rsidP="009E3730">
            <w:pPr>
              <w:widowControl w:val="0"/>
              <w:suppressAutoHyphens/>
            </w:pPr>
            <w:r w:rsidRPr="00690428">
              <w:t>UKL</w:t>
            </w:r>
          </w:p>
        </w:tc>
        <w:tc>
          <w:tcPr>
            <w:tcW w:w="7230" w:type="dxa"/>
            <w:tcBorders>
              <w:top w:val="nil"/>
              <w:left w:val="single" w:sz="4" w:space="0" w:color="auto"/>
              <w:bottom w:val="nil"/>
            </w:tcBorders>
          </w:tcPr>
          <w:p w14:paraId="596E8F96" w14:textId="77777777" w:rsidR="009601AE" w:rsidRPr="00690428" w:rsidRDefault="009601AE" w:rsidP="009E3730">
            <w:pPr>
              <w:widowControl w:val="0"/>
              <w:suppressAutoHyphens/>
            </w:pPr>
            <w:r w:rsidRPr="00690428">
              <w:t>United Kingdom pound/Pound Sterling (currency - also UK£)</w:t>
            </w:r>
          </w:p>
        </w:tc>
      </w:tr>
      <w:tr w:rsidR="009601AE" w:rsidRPr="00690428" w14:paraId="608BE4B8" w14:textId="77777777" w:rsidTr="00C90833">
        <w:trPr>
          <w:jc w:val="center"/>
        </w:trPr>
        <w:tc>
          <w:tcPr>
            <w:tcW w:w="1292" w:type="dxa"/>
            <w:tcBorders>
              <w:top w:val="nil"/>
              <w:bottom w:val="nil"/>
              <w:right w:val="single" w:sz="4" w:space="0" w:color="auto"/>
            </w:tcBorders>
          </w:tcPr>
          <w:p w14:paraId="3CF3A31F" w14:textId="77777777" w:rsidR="009601AE" w:rsidRPr="00690428" w:rsidRDefault="009601AE" w:rsidP="009E3730">
            <w:pPr>
              <w:widowControl w:val="0"/>
              <w:suppressAutoHyphens/>
            </w:pPr>
            <w:r w:rsidRPr="00690428">
              <w:t>UN</w:t>
            </w:r>
          </w:p>
        </w:tc>
        <w:tc>
          <w:tcPr>
            <w:tcW w:w="7230" w:type="dxa"/>
            <w:tcBorders>
              <w:top w:val="nil"/>
              <w:left w:val="single" w:sz="4" w:space="0" w:color="auto"/>
              <w:bottom w:val="nil"/>
            </w:tcBorders>
          </w:tcPr>
          <w:p w14:paraId="69C5B3B4" w14:textId="77777777" w:rsidR="009601AE" w:rsidRPr="00690428" w:rsidRDefault="009601AE" w:rsidP="009E3730">
            <w:pPr>
              <w:widowControl w:val="0"/>
              <w:suppressAutoHyphens/>
            </w:pPr>
            <w:r w:rsidRPr="00690428">
              <w:t>United Nations</w:t>
            </w:r>
          </w:p>
        </w:tc>
      </w:tr>
      <w:tr w:rsidR="009601AE" w:rsidRPr="00690428" w14:paraId="6BC37336" w14:textId="77777777" w:rsidTr="00C90833">
        <w:trPr>
          <w:jc w:val="center"/>
        </w:trPr>
        <w:tc>
          <w:tcPr>
            <w:tcW w:w="1292" w:type="dxa"/>
            <w:tcBorders>
              <w:top w:val="nil"/>
              <w:bottom w:val="nil"/>
              <w:right w:val="single" w:sz="4" w:space="0" w:color="auto"/>
            </w:tcBorders>
          </w:tcPr>
          <w:p w14:paraId="71D248FF" w14:textId="77777777" w:rsidR="009601AE" w:rsidRPr="00690428" w:rsidRDefault="009601AE" w:rsidP="009E3730">
            <w:pPr>
              <w:widowControl w:val="0"/>
              <w:suppressAutoHyphens/>
            </w:pPr>
            <w:r w:rsidRPr="00690428">
              <w:t>UNDP</w:t>
            </w:r>
          </w:p>
        </w:tc>
        <w:tc>
          <w:tcPr>
            <w:tcW w:w="7230" w:type="dxa"/>
            <w:tcBorders>
              <w:top w:val="nil"/>
              <w:left w:val="single" w:sz="4" w:space="0" w:color="auto"/>
              <w:bottom w:val="nil"/>
            </w:tcBorders>
          </w:tcPr>
          <w:p w14:paraId="2B475CE4" w14:textId="77777777" w:rsidR="009601AE" w:rsidRPr="00690428" w:rsidRDefault="009601AE" w:rsidP="009E3730">
            <w:pPr>
              <w:widowControl w:val="0"/>
              <w:suppressAutoHyphens/>
            </w:pPr>
            <w:r w:rsidRPr="00690428">
              <w:t>United Nations Development Programme</w:t>
            </w:r>
          </w:p>
        </w:tc>
      </w:tr>
      <w:tr w:rsidR="009601AE" w:rsidRPr="00690428" w14:paraId="7217ADD5" w14:textId="77777777" w:rsidTr="00C90833">
        <w:trPr>
          <w:jc w:val="center"/>
        </w:trPr>
        <w:tc>
          <w:tcPr>
            <w:tcW w:w="1292" w:type="dxa"/>
            <w:tcBorders>
              <w:top w:val="nil"/>
              <w:bottom w:val="nil"/>
              <w:right w:val="single" w:sz="4" w:space="0" w:color="auto"/>
            </w:tcBorders>
          </w:tcPr>
          <w:p w14:paraId="4427DD65" w14:textId="77777777" w:rsidR="009601AE" w:rsidRPr="00690428" w:rsidRDefault="009601AE" w:rsidP="009E3730">
            <w:pPr>
              <w:widowControl w:val="0"/>
              <w:suppressAutoHyphens/>
            </w:pPr>
            <w:r w:rsidRPr="00690428">
              <w:t>UNICEF</w:t>
            </w:r>
          </w:p>
        </w:tc>
        <w:tc>
          <w:tcPr>
            <w:tcW w:w="7230" w:type="dxa"/>
            <w:tcBorders>
              <w:top w:val="nil"/>
              <w:left w:val="single" w:sz="4" w:space="0" w:color="auto"/>
              <w:bottom w:val="nil"/>
            </w:tcBorders>
          </w:tcPr>
          <w:p w14:paraId="4865526B" w14:textId="77777777" w:rsidR="009601AE" w:rsidRPr="00690428" w:rsidRDefault="009601AE" w:rsidP="009E3730">
            <w:pPr>
              <w:widowControl w:val="0"/>
              <w:suppressAutoHyphens/>
            </w:pPr>
            <w:r w:rsidRPr="00690428">
              <w:t>United Nations International Children's Emergency Fund</w:t>
            </w:r>
          </w:p>
        </w:tc>
      </w:tr>
      <w:tr w:rsidR="009601AE" w:rsidRPr="00690428" w14:paraId="230F5E12" w14:textId="77777777" w:rsidTr="00C90833">
        <w:trPr>
          <w:jc w:val="center"/>
        </w:trPr>
        <w:tc>
          <w:tcPr>
            <w:tcW w:w="1292" w:type="dxa"/>
            <w:tcBorders>
              <w:top w:val="nil"/>
              <w:bottom w:val="nil"/>
              <w:right w:val="single" w:sz="4" w:space="0" w:color="auto"/>
            </w:tcBorders>
          </w:tcPr>
          <w:p w14:paraId="1174B1DA" w14:textId="77777777" w:rsidR="009601AE" w:rsidRPr="00690428" w:rsidRDefault="009601AE" w:rsidP="009E3730">
            <w:pPr>
              <w:widowControl w:val="0"/>
              <w:suppressAutoHyphens/>
            </w:pPr>
            <w:r w:rsidRPr="00690428">
              <w:t>USAID</w:t>
            </w:r>
          </w:p>
        </w:tc>
        <w:tc>
          <w:tcPr>
            <w:tcW w:w="7230" w:type="dxa"/>
            <w:tcBorders>
              <w:top w:val="nil"/>
              <w:left w:val="single" w:sz="4" w:space="0" w:color="auto"/>
              <w:bottom w:val="nil"/>
            </w:tcBorders>
          </w:tcPr>
          <w:p w14:paraId="44D7BA35" w14:textId="77777777" w:rsidR="009601AE" w:rsidRPr="00690428" w:rsidRDefault="009601AE" w:rsidP="009E3730">
            <w:pPr>
              <w:widowControl w:val="0"/>
              <w:suppressAutoHyphens/>
            </w:pPr>
            <w:r w:rsidRPr="00690428">
              <w:t>United States Agency for International Development</w:t>
            </w:r>
          </w:p>
        </w:tc>
      </w:tr>
      <w:tr w:rsidR="009601AE" w:rsidRPr="00690428" w14:paraId="0BDCDFB5" w14:textId="77777777" w:rsidTr="00C90833">
        <w:trPr>
          <w:jc w:val="center"/>
        </w:trPr>
        <w:tc>
          <w:tcPr>
            <w:tcW w:w="1292" w:type="dxa"/>
            <w:tcBorders>
              <w:top w:val="nil"/>
              <w:bottom w:val="nil"/>
              <w:right w:val="single" w:sz="4" w:space="0" w:color="auto"/>
            </w:tcBorders>
          </w:tcPr>
          <w:p w14:paraId="1F9891B6" w14:textId="77777777" w:rsidR="009601AE" w:rsidRPr="00690428" w:rsidRDefault="009601AE" w:rsidP="009E3730">
            <w:pPr>
              <w:widowControl w:val="0"/>
              <w:suppressAutoHyphens/>
            </w:pPr>
            <w:r w:rsidRPr="00690428">
              <w:t>USD</w:t>
            </w:r>
          </w:p>
        </w:tc>
        <w:tc>
          <w:tcPr>
            <w:tcW w:w="7230" w:type="dxa"/>
            <w:tcBorders>
              <w:top w:val="nil"/>
              <w:left w:val="single" w:sz="4" w:space="0" w:color="auto"/>
              <w:bottom w:val="nil"/>
            </w:tcBorders>
          </w:tcPr>
          <w:p w14:paraId="3B1ABD4C" w14:textId="77777777" w:rsidR="009601AE" w:rsidRPr="00690428" w:rsidRDefault="009601AE" w:rsidP="009E3730">
            <w:pPr>
              <w:widowControl w:val="0"/>
              <w:suppressAutoHyphens/>
            </w:pPr>
            <w:r w:rsidRPr="00690428">
              <w:t>United States Dollar (currency - also US$)</w:t>
            </w:r>
          </w:p>
        </w:tc>
      </w:tr>
      <w:tr w:rsidR="009601AE" w:rsidRPr="00690428" w14:paraId="517C6199" w14:textId="77777777" w:rsidTr="00C90833">
        <w:trPr>
          <w:jc w:val="center"/>
        </w:trPr>
        <w:tc>
          <w:tcPr>
            <w:tcW w:w="1292" w:type="dxa"/>
            <w:tcBorders>
              <w:top w:val="nil"/>
              <w:bottom w:val="nil"/>
              <w:right w:val="single" w:sz="4" w:space="0" w:color="auto"/>
            </w:tcBorders>
          </w:tcPr>
          <w:p w14:paraId="337EE717" w14:textId="77777777" w:rsidR="009601AE" w:rsidRPr="00690428" w:rsidRDefault="009601AE" w:rsidP="009E3730">
            <w:pPr>
              <w:widowControl w:val="0"/>
              <w:suppressAutoHyphens/>
            </w:pPr>
            <w:r w:rsidRPr="00690428">
              <w:t>USSD</w:t>
            </w:r>
          </w:p>
        </w:tc>
        <w:tc>
          <w:tcPr>
            <w:tcW w:w="7230" w:type="dxa"/>
            <w:tcBorders>
              <w:top w:val="nil"/>
              <w:left w:val="single" w:sz="4" w:space="0" w:color="auto"/>
              <w:bottom w:val="nil"/>
            </w:tcBorders>
          </w:tcPr>
          <w:p w14:paraId="26742A02" w14:textId="77777777" w:rsidR="009601AE" w:rsidRPr="00690428" w:rsidRDefault="009601AE" w:rsidP="009E3730">
            <w:pPr>
              <w:widowControl w:val="0"/>
              <w:suppressAutoHyphens/>
            </w:pPr>
            <w:r w:rsidRPr="00690428">
              <w:t>United States (of America) State Department</w:t>
            </w:r>
          </w:p>
        </w:tc>
      </w:tr>
      <w:tr w:rsidR="009601AE" w:rsidRPr="00690428" w14:paraId="68166B93" w14:textId="77777777" w:rsidTr="00C90833">
        <w:trPr>
          <w:jc w:val="center"/>
        </w:trPr>
        <w:tc>
          <w:tcPr>
            <w:tcW w:w="1292" w:type="dxa"/>
            <w:tcBorders>
              <w:top w:val="nil"/>
              <w:bottom w:val="nil"/>
              <w:right w:val="single" w:sz="4" w:space="0" w:color="auto"/>
            </w:tcBorders>
          </w:tcPr>
          <w:p w14:paraId="2BB90060" w14:textId="77777777" w:rsidR="009601AE" w:rsidRPr="00690428" w:rsidRDefault="009601AE" w:rsidP="009E3730">
            <w:pPr>
              <w:widowControl w:val="0"/>
              <w:suppressAutoHyphens/>
            </w:pPr>
            <w:r w:rsidRPr="00690428">
              <w:t>VET</w:t>
            </w:r>
          </w:p>
        </w:tc>
        <w:tc>
          <w:tcPr>
            <w:tcW w:w="7230" w:type="dxa"/>
            <w:tcBorders>
              <w:top w:val="nil"/>
              <w:left w:val="single" w:sz="4" w:space="0" w:color="auto"/>
              <w:bottom w:val="nil"/>
            </w:tcBorders>
          </w:tcPr>
          <w:p w14:paraId="73503BE3" w14:textId="77777777" w:rsidR="009601AE" w:rsidRPr="00690428" w:rsidRDefault="009601AE" w:rsidP="009E3730">
            <w:pPr>
              <w:widowControl w:val="0"/>
              <w:suppressAutoHyphens/>
            </w:pPr>
            <w:r w:rsidRPr="00690428">
              <w:t>Vocational Education and Training</w:t>
            </w:r>
          </w:p>
        </w:tc>
      </w:tr>
      <w:tr w:rsidR="009601AE" w:rsidRPr="00690428" w14:paraId="4D00A9EE" w14:textId="77777777" w:rsidTr="00C90833">
        <w:trPr>
          <w:jc w:val="center"/>
        </w:trPr>
        <w:tc>
          <w:tcPr>
            <w:tcW w:w="1292" w:type="dxa"/>
            <w:tcBorders>
              <w:top w:val="nil"/>
              <w:bottom w:val="nil"/>
              <w:right w:val="single" w:sz="4" w:space="0" w:color="auto"/>
            </w:tcBorders>
          </w:tcPr>
          <w:p w14:paraId="3F29C6D6" w14:textId="77777777" w:rsidR="009601AE" w:rsidRPr="00690428" w:rsidRDefault="009601AE" w:rsidP="009E3730">
            <w:pPr>
              <w:widowControl w:val="0"/>
              <w:suppressAutoHyphens/>
            </w:pPr>
            <w:r w:rsidRPr="00690428">
              <w:t>WB</w:t>
            </w:r>
          </w:p>
        </w:tc>
        <w:tc>
          <w:tcPr>
            <w:tcW w:w="7230" w:type="dxa"/>
            <w:tcBorders>
              <w:top w:val="nil"/>
              <w:left w:val="single" w:sz="4" w:space="0" w:color="auto"/>
              <w:bottom w:val="nil"/>
            </w:tcBorders>
          </w:tcPr>
          <w:p w14:paraId="40BDD0D1" w14:textId="77777777" w:rsidR="009601AE" w:rsidRPr="00690428" w:rsidRDefault="009601AE" w:rsidP="009E3730">
            <w:pPr>
              <w:widowControl w:val="0"/>
              <w:suppressAutoHyphens/>
            </w:pPr>
            <w:r w:rsidRPr="00690428">
              <w:t>International Bank for Reconstruction and Development (IBRD) - World Bank (also WBk)</w:t>
            </w:r>
          </w:p>
        </w:tc>
      </w:tr>
      <w:tr w:rsidR="009601AE" w:rsidRPr="00690428" w14:paraId="4B7B762B" w14:textId="77777777" w:rsidTr="00C90833">
        <w:trPr>
          <w:jc w:val="center"/>
        </w:trPr>
        <w:tc>
          <w:tcPr>
            <w:tcW w:w="1292" w:type="dxa"/>
            <w:tcBorders>
              <w:top w:val="nil"/>
              <w:bottom w:val="single" w:sz="4" w:space="0" w:color="auto"/>
              <w:right w:val="single" w:sz="4" w:space="0" w:color="auto"/>
            </w:tcBorders>
          </w:tcPr>
          <w:p w14:paraId="2D83FEA8" w14:textId="77777777" w:rsidR="009601AE" w:rsidRPr="00690428" w:rsidRDefault="009601AE" w:rsidP="009E3730">
            <w:pPr>
              <w:widowControl w:val="0"/>
              <w:suppressAutoHyphens/>
            </w:pPr>
            <w:r w:rsidRPr="00690428">
              <w:t>WBL</w:t>
            </w:r>
          </w:p>
        </w:tc>
        <w:tc>
          <w:tcPr>
            <w:tcW w:w="7230" w:type="dxa"/>
            <w:tcBorders>
              <w:top w:val="nil"/>
              <w:left w:val="single" w:sz="4" w:space="0" w:color="auto"/>
              <w:bottom w:val="single" w:sz="4" w:space="0" w:color="auto"/>
            </w:tcBorders>
          </w:tcPr>
          <w:p w14:paraId="3BCD3BCA" w14:textId="77777777" w:rsidR="009601AE" w:rsidRPr="00690428" w:rsidRDefault="009601AE" w:rsidP="009E3730">
            <w:pPr>
              <w:widowControl w:val="0"/>
              <w:suppressAutoHyphens/>
            </w:pPr>
            <w:r w:rsidRPr="00690428">
              <w:t>Work-based Learning</w:t>
            </w:r>
          </w:p>
        </w:tc>
      </w:tr>
    </w:tbl>
    <w:p w14:paraId="5A713BE4" w14:textId="77777777" w:rsidR="009601AE" w:rsidRDefault="009601AE" w:rsidP="009E3730">
      <w:pPr>
        <w:widowControl w:val="0"/>
        <w:suppressAutoHyphens/>
      </w:pPr>
    </w:p>
    <w:p w14:paraId="451385BA" w14:textId="77777777" w:rsidR="009601AE" w:rsidRDefault="009601AE" w:rsidP="009E3730">
      <w:pPr>
        <w:widowControl w:val="0"/>
        <w:suppressAutoHyphens/>
      </w:pPr>
    </w:p>
    <w:p w14:paraId="18FDF9A1" w14:textId="77777777" w:rsidR="009601AE" w:rsidRDefault="009601AE" w:rsidP="009E3730">
      <w:pPr>
        <w:widowControl w:val="0"/>
        <w:suppressAutoHyphens/>
        <w:sectPr w:rsidR="009601AE">
          <w:pgSz w:w="11909" w:h="16834" w:code="9"/>
          <w:pgMar w:top="1411" w:right="1411" w:bottom="1411" w:left="1411" w:header="706" w:footer="706" w:gutter="0"/>
          <w:pgNumType w:fmt="lowerRoman"/>
          <w:cols w:space="709"/>
        </w:sectPr>
      </w:pPr>
    </w:p>
    <w:p w14:paraId="625E4CC9" w14:textId="77777777" w:rsidR="009601AE" w:rsidRDefault="009601AE" w:rsidP="009E3730">
      <w:pPr>
        <w:widowControl w:val="0"/>
        <w:suppressAutoHyphens/>
        <w:jc w:val="center"/>
        <w:rPr>
          <w:b/>
          <w:bCs/>
          <w:sz w:val="28"/>
          <w:szCs w:val="28"/>
        </w:rPr>
      </w:pPr>
      <w:r>
        <w:rPr>
          <w:b/>
          <w:bCs/>
          <w:sz w:val="28"/>
          <w:szCs w:val="28"/>
        </w:rPr>
        <w:lastRenderedPageBreak/>
        <w:t>GEORGIA</w:t>
      </w:r>
    </w:p>
    <w:p w14:paraId="56B496CE" w14:textId="77777777" w:rsidR="009601AE" w:rsidRDefault="009601AE" w:rsidP="009E3730">
      <w:pPr>
        <w:widowControl w:val="0"/>
        <w:suppressAutoHyphens/>
        <w:jc w:val="center"/>
        <w:rPr>
          <w:b/>
          <w:bCs/>
          <w:sz w:val="28"/>
          <w:szCs w:val="28"/>
        </w:rPr>
      </w:pPr>
    </w:p>
    <w:p w14:paraId="690A4A3B" w14:textId="77777777" w:rsidR="009601AE" w:rsidRDefault="009601AE" w:rsidP="009E3730">
      <w:pPr>
        <w:widowControl w:val="0"/>
        <w:suppressAutoHyphens/>
        <w:jc w:val="center"/>
        <w:rPr>
          <w:b/>
          <w:bCs/>
          <w:sz w:val="28"/>
          <w:szCs w:val="28"/>
        </w:rPr>
      </w:pPr>
      <w:r>
        <w:rPr>
          <w:b/>
          <w:bCs/>
          <w:sz w:val="28"/>
          <w:szCs w:val="28"/>
        </w:rPr>
        <w:t>EUROPEAN UNION EUROPEAN NEIGHBOURHOOD POLICY</w:t>
      </w:r>
    </w:p>
    <w:p w14:paraId="4ACE9AC4" w14:textId="77777777" w:rsidR="009601AE" w:rsidRDefault="009601AE" w:rsidP="009E3730">
      <w:pPr>
        <w:widowControl w:val="0"/>
        <w:suppressAutoHyphens/>
        <w:jc w:val="center"/>
        <w:rPr>
          <w:b/>
          <w:bCs/>
          <w:sz w:val="28"/>
          <w:szCs w:val="28"/>
        </w:rPr>
      </w:pPr>
      <w:r>
        <w:rPr>
          <w:b/>
          <w:bCs/>
          <w:sz w:val="28"/>
          <w:szCs w:val="28"/>
        </w:rPr>
        <w:t>EU-GEORGIA ANNUAL ACTION PROGRAMME 2013</w:t>
      </w:r>
    </w:p>
    <w:p w14:paraId="7314292B" w14:textId="77777777" w:rsidR="009601AE" w:rsidRDefault="009601AE" w:rsidP="009E3730">
      <w:pPr>
        <w:widowControl w:val="0"/>
        <w:suppressAutoHyphens/>
        <w:jc w:val="center"/>
        <w:rPr>
          <w:b/>
          <w:bCs/>
          <w:sz w:val="28"/>
          <w:szCs w:val="28"/>
        </w:rPr>
      </w:pPr>
      <w:r>
        <w:rPr>
          <w:b/>
          <w:bCs/>
          <w:sz w:val="28"/>
          <w:szCs w:val="28"/>
        </w:rPr>
        <w:t>(including Eastern Partnership Integration and Cooperation Programme 2012 and 2013)</w:t>
      </w:r>
    </w:p>
    <w:p w14:paraId="677C39E6" w14:textId="77777777" w:rsidR="009601AE" w:rsidRDefault="009601AE" w:rsidP="009E3730">
      <w:pPr>
        <w:widowControl w:val="0"/>
        <w:suppressAutoHyphens/>
        <w:jc w:val="center"/>
        <w:rPr>
          <w:b/>
          <w:bCs/>
          <w:sz w:val="28"/>
          <w:szCs w:val="28"/>
        </w:rPr>
      </w:pPr>
    </w:p>
    <w:p w14:paraId="23C62052" w14:textId="77777777" w:rsidR="009601AE" w:rsidRDefault="009601AE" w:rsidP="009E3730">
      <w:pPr>
        <w:widowControl w:val="0"/>
        <w:suppressAutoHyphens/>
        <w:jc w:val="center"/>
        <w:rPr>
          <w:b/>
          <w:bCs/>
          <w:sz w:val="28"/>
          <w:szCs w:val="28"/>
        </w:rPr>
      </w:pPr>
      <w:r>
        <w:rPr>
          <w:b/>
          <w:bCs/>
          <w:sz w:val="28"/>
          <w:szCs w:val="28"/>
        </w:rPr>
        <w:t>Sector Reform Contract</w:t>
      </w:r>
      <w:r>
        <w:rPr>
          <w:rStyle w:val="FootnoteReference"/>
          <w:b/>
          <w:bCs/>
        </w:rPr>
        <w:footnoteReference w:id="5"/>
      </w:r>
      <w:r>
        <w:rPr>
          <w:b/>
          <w:bCs/>
          <w:sz w:val="28"/>
          <w:szCs w:val="28"/>
        </w:rPr>
        <w:t>: Employment and Vocational Education and Training</w:t>
      </w:r>
    </w:p>
    <w:p w14:paraId="02D2B59F" w14:textId="77777777" w:rsidR="009601AE" w:rsidRDefault="009601AE" w:rsidP="009E3730">
      <w:pPr>
        <w:widowControl w:val="0"/>
        <w:suppressAutoHyphens/>
        <w:jc w:val="center"/>
        <w:rPr>
          <w:b/>
          <w:bCs/>
          <w:sz w:val="28"/>
          <w:szCs w:val="28"/>
        </w:rPr>
      </w:pPr>
    </w:p>
    <w:p w14:paraId="688E4158" w14:textId="77777777" w:rsidR="009601AE" w:rsidRDefault="00C22070" w:rsidP="009E3730">
      <w:pPr>
        <w:widowControl w:val="0"/>
        <w:suppressAutoHyphens/>
        <w:jc w:val="center"/>
        <w:rPr>
          <w:b/>
          <w:bCs/>
          <w:sz w:val="28"/>
          <w:szCs w:val="28"/>
        </w:rPr>
      </w:pPr>
      <w:r>
        <w:rPr>
          <w:b/>
          <w:bCs/>
          <w:sz w:val="28"/>
          <w:szCs w:val="28"/>
        </w:rPr>
        <w:t>FOURTH INSTALMENT FINAL</w:t>
      </w:r>
      <w:r w:rsidR="009601AE">
        <w:rPr>
          <w:b/>
          <w:bCs/>
          <w:sz w:val="28"/>
          <w:szCs w:val="28"/>
        </w:rPr>
        <w:t xml:space="preserve"> REVIEW MISSION</w:t>
      </w:r>
    </w:p>
    <w:p w14:paraId="346DA9BC" w14:textId="77777777" w:rsidR="009601AE" w:rsidRDefault="009601AE" w:rsidP="009E3730">
      <w:pPr>
        <w:widowControl w:val="0"/>
        <w:suppressAutoHyphens/>
        <w:jc w:val="center"/>
        <w:rPr>
          <w:b/>
          <w:bCs/>
          <w:sz w:val="28"/>
          <w:szCs w:val="28"/>
        </w:rPr>
      </w:pPr>
    </w:p>
    <w:p w14:paraId="6E1556D4" w14:textId="77777777" w:rsidR="009601AE" w:rsidRDefault="00C22070" w:rsidP="009E3730">
      <w:pPr>
        <w:widowControl w:val="0"/>
        <w:suppressAutoHyphens/>
        <w:jc w:val="center"/>
        <w:rPr>
          <w:b/>
          <w:bCs/>
          <w:sz w:val="28"/>
          <w:szCs w:val="28"/>
        </w:rPr>
      </w:pPr>
      <w:r>
        <w:rPr>
          <w:b/>
          <w:bCs/>
          <w:sz w:val="28"/>
          <w:szCs w:val="28"/>
        </w:rPr>
        <w:t>Aide Memoire</w:t>
      </w:r>
    </w:p>
    <w:p w14:paraId="43B0F26F" w14:textId="77777777" w:rsidR="009601AE" w:rsidRDefault="00C22070" w:rsidP="009E3730">
      <w:pPr>
        <w:widowControl w:val="0"/>
        <w:suppressAutoHyphens/>
        <w:jc w:val="center"/>
        <w:rPr>
          <w:b/>
          <w:bCs/>
          <w:sz w:val="28"/>
          <w:szCs w:val="28"/>
        </w:rPr>
      </w:pPr>
      <w:r>
        <w:rPr>
          <w:b/>
          <w:bCs/>
          <w:sz w:val="28"/>
          <w:szCs w:val="28"/>
        </w:rPr>
        <w:t>April</w:t>
      </w:r>
      <w:r w:rsidR="009601AE">
        <w:rPr>
          <w:b/>
          <w:bCs/>
          <w:sz w:val="28"/>
          <w:szCs w:val="28"/>
        </w:rPr>
        <w:t xml:space="preserve"> 201</w:t>
      </w:r>
      <w:r>
        <w:rPr>
          <w:b/>
          <w:bCs/>
          <w:sz w:val="28"/>
          <w:szCs w:val="28"/>
        </w:rPr>
        <w:t>7</w:t>
      </w:r>
    </w:p>
    <w:p w14:paraId="76516A0E" w14:textId="77777777" w:rsidR="009601AE" w:rsidRDefault="009601AE" w:rsidP="009E3730">
      <w:pPr>
        <w:widowControl w:val="0"/>
        <w:suppressAutoHyphens/>
        <w:jc w:val="center"/>
        <w:rPr>
          <w:b/>
          <w:bCs/>
          <w:sz w:val="28"/>
          <w:szCs w:val="28"/>
        </w:rPr>
      </w:pPr>
    </w:p>
    <w:p w14:paraId="2C5EA435" w14:textId="77777777" w:rsidR="009601AE" w:rsidRDefault="009601AE" w:rsidP="009E3730">
      <w:pPr>
        <w:widowControl w:val="0"/>
        <w:suppressAutoHyphens/>
      </w:pPr>
    </w:p>
    <w:p w14:paraId="45CE4851" w14:textId="77777777" w:rsidR="009601AE" w:rsidRDefault="009601AE" w:rsidP="009E3730">
      <w:pPr>
        <w:pStyle w:val="Heading1"/>
        <w:widowControl w:val="0"/>
        <w:suppressAutoHyphens/>
      </w:pPr>
      <w:bookmarkStart w:id="15" w:name="_Toc353527348"/>
      <w:bookmarkStart w:id="16" w:name="_Toc486837749"/>
      <w:r>
        <w:t>1.</w:t>
      </w:r>
      <w:r>
        <w:tab/>
        <w:t>Introduction</w:t>
      </w:r>
      <w:bookmarkEnd w:id="15"/>
      <w:bookmarkEnd w:id="16"/>
    </w:p>
    <w:p w14:paraId="15B914B5" w14:textId="77777777" w:rsidR="009601AE" w:rsidRDefault="009601AE" w:rsidP="009E3730">
      <w:pPr>
        <w:widowControl w:val="0"/>
        <w:suppressAutoHyphens/>
      </w:pPr>
    </w:p>
    <w:p w14:paraId="785C2FF4" w14:textId="2CA325E9" w:rsidR="009601AE" w:rsidRDefault="009601AE" w:rsidP="009E3730">
      <w:pPr>
        <w:widowControl w:val="0"/>
        <w:suppressAutoHyphens/>
      </w:pPr>
      <w:r>
        <w:t>The 201</w:t>
      </w:r>
      <w:r w:rsidR="009D2042">
        <w:t>7</w:t>
      </w:r>
      <w:r>
        <w:t xml:space="preserve"> </w:t>
      </w:r>
      <w:r w:rsidR="009D2042">
        <w:t>Final</w:t>
      </w:r>
      <w:r>
        <w:t xml:space="preserve"> Review Mission (201</w:t>
      </w:r>
      <w:r w:rsidR="009D2042">
        <w:t>7F</w:t>
      </w:r>
      <w:r>
        <w:t>RM)</w:t>
      </w:r>
      <w:r>
        <w:rPr>
          <w:rStyle w:val="FootnoteReference"/>
        </w:rPr>
        <w:footnoteReference w:id="6"/>
      </w:r>
      <w:r>
        <w:t xml:space="preserve"> of the European Union (EU) European Neighbourhood Policy (ENP) EU-Georgia Annual Action Programme 2013 (AAP2013) Sector Reform Contract</w:t>
      </w:r>
      <w:r>
        <w:rPr>
          <w:rStyle w:val="FootnoteReference"/>
        </w:rPr>
        <w:footnoteReference w:id="7"/>
      </w:r>
      <w:r>
        <w:t>: Employment and Vocational Education and Training (SRC EVET), with additional financing under the Eastern Partnership Integration and Cooperation Programme (EaPIC) 2012 and 2013, took place between the 2</w:t>
      </w:r>
      <w:r w:rsidR="009D2042">
        <w:t>3rd March</w:t>
      </w:r>
      <w:r>
        <w:t xml:space="preserve"> and </w:t>
      </w:r>
      <w:r w:rsidR="009D2042">
        <w:t>7</w:t>
      </w:r>
      <w:r>
        <w:t xml:space="preserve">th </w:t>
      </w:r>
      <w:r w:rsidR="009D2042">
        <w:t>April</w:t>
      </w:r>
      <w:r>
        <w:t xml:space="preserve"> 201</w:t>
      </w:r>
      <w:r w:rsidR="009D2042">
        <w:t>7</w:t>
      </w:r>
      <w:r>
        <w:t xml:space="preserve">, but with follow-up </w:t>
      </w:r>
      <w:r w:rsidR="009D2042">
        <w:t xml:space="preserve">discussions on issues and documentary evidence </w:t>
      </w:r>
      <w:r w:rsidR="00104B9C">
        <w:t>through to June 2017</w:t>
      </w:r>
      <w:r>
        <w:t>.</w:t>
      </w:r>
    </w:p>
    <w:p w14:paraId="03A8996F" w14:textId="77777777" w:rsidR="009601AE" w:rsidRDefault="009601AE" w:rsidP="009E3730">
      <w:pPr>
        <w:widowControl w:val="0"/>
        <w:suppressAutoHyphens/>
      </w:pPr>
    </w:p>
    <w:p w14:paraId="7612D91D" w14:textId="7B1D340B" w:rsidR="009601AE" w:rsidRDefault="009601AE" w:rsidP="009E3730">
      <w:pPr>
        <w:widowControl w:val="0"/>
        <w:suppressAutoHyphens/>
      </w:pPr>
      <w:r>
        <w:t>The purpose of the 201</w:t>
      </w:r>
      <w:r w:rsidR="00104B9C">
        <w:t>7F</w:t>
      </w:r>
      <w:r>
        <w:t xml:space="preserve">RM was to examine the status of compliance with the </w:t>
      </w:r>
      <w:r w:rsidR="00104B9C">
        <w:t xml:space="preserve">General and </w:t>
      </w:r>
      <w:r>
        <w:t xml:space="preserve">Specific Conditions for disbursement of the Fourth Instalment (worth up to €7.5mn) and </w:t>
      </w:r>
      <w:r w:rsidR="00104B9C">
        <w:t xml:space="preserve">to make recommendations to the EU on the level of funds for which the Government was eligible. The Fourth Instalment is the final disbursement under the Programme and there are no further opportunities to achieve compliance. As a result, any funds withheld at this stage remain lost to Government irrevocably. </w:t>
      </w:r>
    </w:p>
    <w:p w14:paraId="2B29BBFA" w14:textId="77777777" w:rsidR="00104B9C" w:rsidRDefault="00104B9C" w:rsidP="009E3730">
      <w:pPr>
        <w:widowControl w:val="0"/>
        <w:suppressAutoHyphens/>
      </w:pPr>
    </w:p>
    <w:p w14:paraId="23882A44" w14:textId="77777777" w:rsidR="00104B9C" w:rsidRDefault="00104B9C" w:rsidP="009E3730">
      <w:pPr>
        <w:widowControl w:val="0"/>
        <w:suppressAutoHyphens/>
      </w:pPr>
      <w:r>
        <w:t xml:space="preserve">However, of the three Third Instalment Variable Tranche Indicators considered unfulfilled by EU Headquarters in December 2016 when deciding on the level of Third Instalment funds to be released, the EU agreed that compliance with two could be reassessed at the time of this Fourth Instalment Final Review. As a result, </w:t>
      </w:r>
      <w:r w:rsidR="009D2042">
        <w:t xml:space="preserve">the Review </w:t>
      </w:r>
      <w:r>
        <w:t xml:space="preserve">in addition </w:t>
      </w:r>
      <w:r w:rsidR="009D2042">
        <w:t xml:space="preserve">examined the state of fulfilment of </w:t>
      </w:r>
      <w:r>
        <w:t xml:space="preserve">these two Indicators, with a view to recommending whether the funds previously withheld should now be released along with the Fourth Instalment. </w:t>
      </w:r>
    </w:p>
    <w:p w14:paraId="1B586230" w14:textId="77777777" w:rsidR="00104B9C" w:rsidRDefault="00104B9C" w:rsidP="009E3730">
      <w:pPr>
        <w:widowControl w:val="0"/>
        <w:suppressAutoHyphens/>
      </w:pPr>
    </w:p>
    <w:p w14:paraId="55DFFE67" w14:textId="162EA005" w:rsidR="009D2042" w:rsidRDefault="009D2042" w:rsidP="009E3730">
      <w:pPr>
        <w:widowControl w:val="0"/>
        <w:suppressAutoHyphens/>
      </w:pPr>
      <w:r>
        <w:t>Th</w:t>
      </w:r>
      <w:r w:rsidR="008344A5">
        <w:t>e</w:t>
      </w:r>
      <w:r>
        <w:t xml:space="preserve"> Final Review follow</w:t>
      </w:r>
      <w:r w:rsidR="008344A5">
        <w:t>ed</w:t>
      </w:r>
      <w:r>
        <w:t xml:space="preserve"> an Interim Review in November 2016 designed to highlight</w:t>
      </w:r>
      <w:r w:rsidR="008344A5">
        <w:t xml:space="preserve"> outstanding</w:t>
      </w:r>
      <w:r>
        <w:t xml:space="preserve"> </w:t>
      </w:r>
      <w:r w:rsidR="008344A5">
        <w:t xml:space="preserve">issues for the </w:t>
      </w:r>
      <w:r>
        <w:t>achieve</w:t>
      </w:r>
      <w:r w:rsidR="008344A5">
        <w:t>ment</w:t>
      </w:r>
      <w:r>
        <w:t xml:space="preserve"> of full compliance </w:t>
      </w:r>
      <w:r w:rsidR="008344A5">
        <w:t xml:space="preserve">and support Government actions to rectify these for a positive assessment </w:t>
      </w:r>
      <w:r>
        <w:t xml:space="preserve">by this Final Review. </w:t>
      </w:r>
    </w:p>
    <w:p w14:paraId="4C202AAA" w14:textId="77777777" w:rsidR="009601AE" w:rsidRDefault="009601AE" w:rsidP="009E3730">
      <w:pPr>
        <w:widowControl w:val="0"/>
        <w:suppressAutoHyphens/>
      </w:pPr>
    </w:p>
    <w:p w14:paraId="5AC6D9C4" w14:textId="18658534" w:rsidR="008344A5" w:rsidRDefault="009601AE" w:rsidP="009E3730">
      <w:pPr>
        <w:widowControl w:val="0"/>
        <w:suppressAutoHyphens/>
      </w:pPr>
      <w:r>
        <w:t xml:space="preserve">The </w:t>
      </w:r>
      <w:r w:rsidR="008344A5">
        <w:t>Review</w:t>
      </w:r>
      <w:r>
        <w:t xml:space="preserve"> met with deputy ministers and officials of the Ministries of Education and Science (MoES) and Labour, Health and Social Affairs (MoLHSA), as well as various subsidiary agencies under each ministry (notably the Social Service Agency (SSA), the National Centre </w:t>
      </w:r>
      <w:r>
        <w:lastRenderedPageBreak/>
        <w:t>for Education Quality Enhancement (NCEQE), the Teachers' Professional Development Centre (TPDC)</w:t>
      </w:r>
      <w:r w:rsidR="00091B79">
        <w:t>, and the Education Management Information System (EMIS)</w:t>
      </w:r>
      <w:r>
        <w:t>)</w:t>
      </w:r>
      <w:r w:rsidR="00D75C4A">
        <w:t xml:space="preserve"> The Review also met with</w:t>
      </w:r>
      <w:r>
        <w:t xml:space="preserve"> representatives of </w:t>
      </w:r>
      <w:r w:rsidR="00D75C4A">
        <w:t xml:space="preserve">the Georgian Employers' Association (GFA) and the Georgian Trade Unions Confederation (GTUC), the key social partners, and of </w:t>
      </w:r>
      <w:r>
        <w:t>various technical assistance and twinning projects funded by the EU and other donors</w:t>
      </w:r>
      <w:r w:rsidR="008344A5">
        <w:t xml:space="preserve">. </w:t>
      </w:r>
      <w:r w:rsidR="007144F9">
        <w:t>Visits were made to several VET</w:t>
      </w:r>
      <w:r w:rsidR="00AF7134">
        <w:t xml:space="preserve"> providers (colleges in </w:t>
      </w:r>
      <w:r w:rsidR="00E55184">
        <w:t>Akhaltsikhe</w:t>
      </w:r>
      <w:r w:rsidR="00AF7134">
        <w:t>, Gori, Mtskheta, Rustavi</w:t>
      </w:r>
      <w:r w:rsidR="00091B79">
        <w:t xml:space="preserve"> and Tbilisi,</w:t>
      </w:r>
      <w:r w:rsidR="00AF7134">
        <w:t xml:space="preserve"> and universities in </w:t>
      </w:r>
      <w:r w:rsidR="00E55184">
        <w:t>Akhaltsikhe</w:t>
      </w:r>
      <w:r w:rsidR="00AF7134">
        <w:t>, Gori, and Tbilisi)</w:t>
      </w:r>
      <w:r w:rsidR="007144F9">
        <w:t xml:space="preserve"> and SSA offices</w:t>
      </w:r>
      <w:r w:rsidR="00AF7134">
        <w:t xml:space="preserve"> (in </w:t>
      </w:r>
      <w:r w:rsidR="00E55184">
        <w:t>Akhaltsikhe</w:t>
      </w:r>
      <w:r w:rsidR="00AF7134">
        <w:t>, Gori, Rustavi and Tbilisi)</w:t>
      </w:r>
      <w:r w:rsidR="007144F9">
        <w:t xml:space="preserve">. </w:t>
      </w:r>
      <w:r w:rsidR="008344A5">
        <w:t>A full list of those contacted is provided</w:t>
      </w:r>
      <w:r>
        <w:t xml:space="preserve"> in Appendix 1.</w:t>
      </w:r>
    </w:p>
    <w:p w14:paraId="3927EE0F" w14:textId="77777777" w:rsidR="008344A5" w:rsidRDefault="008344A5" w:rsidP="009E3730">
      <w:pPr>
        <w:widowControl w:val="0"/>
        <w:suppressAutoHyphens/>
      </w:pPr>
    </w:p>
    <w:p w14:paraId="0911A2CA" w14:textId="05C264D1" w:rsidR="009601AE" w:rsidRDefault="009601AE" w:rsidP="009E3730">
      <w:pPr>
        <w:widowControl w:val="0"/>
        <w:suppressAutoHyphens/>
      </w:pPr>
      <w:r>
        <w:t>The team would like to thank the Government and the various individuals contacted for their assistance and courtesy.</w:t>
      </w:r>
      <w:r w:rsidR="00091B79">
        <w:t xml:space="preserve"> Particular thanks are due to the VET Department in MoES, the Labour and Employment Policy Department in MoLHSA, SSA and EMIS.</w:t>
      </w:r>
    </w:p>
    <w:p w14:paraId="049EC97F" w14:textId="77777777" w:rsidR="009601AE" w:rsidRDefault="009601AE" w:rsidP="009E3730">
      <w:pPr>
        <w:widowControl w:val="0"/>
        <w:suppressAutoHyphens/>
      </w:pPr>
    </w:p>
    <w:p w14:paraId="5AA4C3C2" w14:textId="77777777" w:rsidR="009601AE" w:rsidRDefault="009601AE" w:rsidP="009E3730">
      <w:pPr>
        <w:pStyle w:val="Heading1"/>
        <w:widowControl w:val="0"/>
        <w:suppressAutoHyphens/>
      </w:pPr>
      <w:bookmarkStart w:id="17" w:name="_Toc353527349"/>
      <w:bookmarkStart w:id="18" w:name="_Toc486837750"/>
      <w:r>
        <w:t>2.</w:t>
      </w:r>
      <w:r>
        <w:tab/>
        <w:t>ENP AAP2013 SPSP: Employment and VET</w:t>
      </w:r>
      <w:bookmarkEnd w:id="17"/>
      <w:bookmarkEnd w:id="18"/>
    </w:p>
    <w:p w14:paraId="7DF6D346" w14:textId="77777777" w:rsidR="009601AE" w:rsidRDefault="009601AE" w:rsidP="009E3730">
      <w:pPr>
        <w:widowControl w:val="0"/>
        <w:suppressAutoHyphens/>
      </w:pPr>
    </w:p>
    <w:p w14:paraId="52F35A12" w14:textId="77777777" w:rsidR="00313B2D" w:rsidRDefault="009601AE" w:rsidP="009E3730">
      <w:pPr>
        <w:widowControl w:val="0"/>
        <w:suppressAutoHyphens/>
      </w:pPr>
      <w:r>
        <w:t>The Financing Agreement (FA) for the ENP AAP2013 SRC EVET was signed in December 2013</w:t>
      </w:r>
      <w:r>
        <w:rPr>
          <w:rStyle w:val="FootnoteReference"/>
        </w:rPr>
        <w:footnoteReference w:id="8"/>
      </w:r>
      <w:r>
        <w:t>. It include</w:t>
      </w:r>
      <w:r w:rsidR="008A1DE2">
        <w:t>s</w:t>
      </w:r>
      <w:r>
        <w:t xml:space="preserve"> funding from the 2012 and 2013 allocations to Georgia under the EaPIC programme as well as the ENPI. The FA provide</w:t>
      </w:r>
      <w:r w:rsidR="008A1DE2">
        <w:t>d</w:t>
      </w:r>
      <w:r>
        <w:t xml:space="preserve"> for a grant </w:t>
      </w:r>
      <w:r w:rsidR="008A1DE2">
        <w:t>of €27mn, of which up to €20mn i</w:t>
      </w:r>
      <w:r>
        <w:t>s in the f</w:t>
      </w:r>
      <w:r w:rsidR="008A1DE2">
        <w:t>orm of budget support and €7mn i</w:t>
      </w:r>
      <w:r>
        <w:t xml:space="preserve">s for complementary assistance in the form of technical assistance, twinning projects, </w:t>
      </w:r>
      <w:r w:rsidR="008A1DE2">
        <w:t xml:space="preserve">and grants. </w:t>
      </w:r>
    </w:p>
    <w:p w14:paraId="3009D588" w14:textId="77777777" w:rsidR="00313B2D" w:rsidRDefault="00313B2D" w:rsidP="009E3730">
      <w:pPr>
        <w:widowControl w:val="0"/>
        <w:suppressAutoHyphens/>
      </w:pPr>
    </w:p>
    <w:p w14:paraId="51696B48" w14:textId="02EE4951" w:rsidR="00031204" w:rsidRDefault="008A1DE2" w:rsidP="009E3730">
      <w:pPr>
        <w:widowControl w:val="0"/>
        <w:suppressAutoHyphens/>
      </w:pPr>
      <w:r>
        <w:t>The budget support i</w:t>
      </w:r>
      <w:r w:rsidR="009601AE">
        <w:t>s to be disbursed through four annual instalments of €3.0mn, €4.0mn, €5.5mn, and €7.5mn respectively</w:t>
      </w:r>
      <w:r w:rsidR="009601AE">
        <w:rPr>
          <w:rStyle w:val="FootnoteReference"/>
        </w:rPr>
        <w:footnoteReference w:id="9"/>
      </w:r>
      <w:r w:rsidR="009601AE">
        <w:t xml:space="preserve">. </w:t>
      </w:r>
      <w:r w:rsidR="00031204">
        <w:t>Disbursement of budget support instalments under the Programme depends upon the Government's timely compliance with the General and Specific Conditions for the release of funds, as detailed in the Technical and Administrative Provisions (TAPs), Annex 2 of the FA. Compliance with the General Conditions (as set out in Table B of the Appendix to the TAPs) is a precondition for eligibility to receive any funds under the Programme.</w:t>
      </w:r>
    </w:p>
    <w:p w14:paraId="0885F069" w14:textId="77777777" w:rsidR="00031204" w:rsidRDefault="00031204" w:rsidP="009E3730">
      <w:pPr>
        <w:widowControl w:val="0"/>
        <w:suppressAutoHyphens/>
      </w:pPr>
    </w:p>
    <w:p w14:paraId="04518A6B" w14:textId="07CE8728" w:rsidR="00313B2D" w:rsidRDefault="00313B2D" w:rsidP="009E3730">
      <w:pPr>
        <w:widowControl w:val="0"/>
        <w:suppressAutoHyphens/>
      </w:pPr>
      <w:r>
        <w:t>The First Instalment comprises a Fixed Tranche of €3.0mn. Subsequent Instalments include a Fixed Tranche of €1.0mn and suc</w:t>
      </w:r>
      <w:r w:rsidR="00031204">
        <w:t>c</w:t>
      </w:r>
      <w:r>
        <w:t xml:space="preserve">essive Variable Tranches of €3.0mn, €4.5mn, and €6.5mn. Fixed Tranches are released in full on compliance with </w:t>
      </w:r>
      <w:r w:rsidR="00A85E8D">
        <w:t xml:space="preserve">the </w:t>
      </w:r>
      <w:r>
        <w:t xml:space="preserve">General Conditions </w:t>
      </w:r>
      <w:r w:rsidR="00031204">
        <w:t>(</w:t>
      </w:r>
      <w:r w:rsidR="00A85E8D">
        <w:t xml:space="preserve">detailed in Table B of the Appendix to TAPs). Variable Tranches can be released in full or in part based on the level of compliance with </w:t>
      </w:r>
      <w:r w:rsidR="00031204">
        <w:t xml:space="preserve">the </w:t>
      </w:r>
      <w:r w:rsidR="00A85E8D">
        <w:t xml:space="preserve">Specific Conditions </w:t>
      </w:r>
      <w:r w:rsidR="00031204">
        <w:t>(</w:t>
      </w:r>
      <w:r w:rsidR="00A85E8D">
        <w:t>detailed in Table C of the Appendix to the TAPs</w:t>
      </w:r>
      <w:r w:rsidR="00031204">
        <w:t>)</w:t>
      </w:r>
      <w:r w:rsidR="00A85E8D">
        <w:t xml:space="preserve">, assessed on the basis of fulfilment of Indicators related to each Specific Condition for each Instalment. Compliance with the requirements for release of the </w:t>
      </w:r>
      <w:r w:rsidR="00031204">
        <w:t xml:space="preserve">related </w:t>
      </w:r>
      <w:r w:rsidR="00A85E8D">
        <w:t xml:space="preserve">Fixed Tranche </w:t>
      </w:r>
      <w:r w:rsidR="00031204">
        <w:t>is a pre-condition for consideration of release of each Variable Tranche.</w:t>
      </w:r>
    </w:p>
    <w:p w14:paraId="41F35696" w14:textId="77777777" w:rsidR="009601AE" w:rsidRDefault="009601AE" w:rsidP="009E3730">
      <w:pPr>
        <w:widowControl w:val="0"/>
        <w:suppressAutoHyphens/>
      </w:pPr>
    </w:p>
    <w:p w14:paraId="2F4D94CE" w14:textId="6DC4D70C" w:rsidR="009601AE" w:rsidRDefault="009601AE" w:rsidP="009E3730">
      <w:pPr>
        <w:widowControl w:val="0"/>
        <w:suppressAutoHyphens/>
      </w:pPr>
      <w:r>
        <w:t xml:space="preserve">The </w:t>
      </w:r>
      <w:r w:rsidR="00EB4A98">
        <w:t xml:space="preserve">four </w:t>
      </w:r>
      <w:r>
        <w:t>General Conditions relate to satisfactory progress in the review and implementation of labour market and VET reform strategies (and the establishment of an EVET Coordination Council</w:t>
      </w:r>
      <w:r>
        <w:rPr>
          <w:rStyle w:val="FootnoteReference"/>
        </w:rPr>
        <w:footnoteReference w:id="10"/>
      </w:r>
      <w:r>
        <w:t xml:space="preserve">); maintenance of a stability orientated macroeconomic policy; satisfactory progress in the implementation of the PFM reform programme; and maintenance or improvement in the transparency and oversight of the budget. General Conditions are assessed as either met or not met, there being no opportunity for an assessment of partial compliance. Furthermore, release of the Fixed Tranche requires all four General Conditions to be met, a precondition </w:t>
      </w:r>
      <w:r>
        <w:lastRenderedPageBreak/>
        <w:t>also for release of any funds under the Variable Tranche. Thus failure to comply with any of the four General Conditions means both the loss of all the funds associated with the Fixed Tranche, and also the loss of any funds associated with the Variable Tranche.</w:t>
      </w:r>
    </w:p>
    <w:p w14:paraId="4E527448" w14:textId="77777777" w:rsidR="009601AE" w:rsidRDefault="009601AE" w:rsidP="009E3730">
      <w:pPr>
        <w:widowControl w:val="0"/>
        <w:suppressAutoHyphens/>
      </w:pPr>
    </w:p>
    <w:p w14:paraId="4C43D901" w14:textId="77777777" w:rsidR="009601AE" w:rsidRDefault="009601AE" w:rsidP="009E3730">
      <w:pPr>
        <w:widowControl w:val="0"/>
        <w:suppressAutoHyphens/>
      </w:pPr>
      <w:r>
        <w:t>The Specific Conditions are grouped under three Components, each related to a Specific Objective of the Programme. These Components are: 1. Effective Labour Market Management (two Specific Conditions, primarily the responsibility of MoLHSA); 2. Enhanced Quality and Relevance of the VET System (two Specific Conditions, primarily the responsibility of MoES); and 3. Efficient Transition from Training to Employment (three Specific Conditions, under the joint responsibility of MoLHSA and MoES). Assessment of compliance with each Specific Condition is based upon fulfilment of a number of criteria or indicators (the number ranging from 13 to 15 depending on the instalment). Compliance with a Specific Condition is assessed as full when all related indicators are met (allowing release of all the related funds), as partial when over half but not all of the indicators are met (allowing release of 50% of the related funds), or as non-compliant when half or less of the indicators are met (in which case no funds are released). Funds relate to compliance with Specific Conditions not fulfilment of assessment criteria/indicators. The FA does not allow for partial fulfilment of a criterion/indicator enabling the release of a part of the funds. Indicators have no financial value in their own right. They are considered as either fulfilled or not fulfilled, and as such contributing to the assessment of compliance with the Specific Condition.</w:t>
      </w:r>
    </w:p>
    <w:p w14:paraId="61E8D5F3" w14:textId="77777777" w:rsidR="009601AE" w:rsidRDefault="009601AE" w:rsidP="009E3730">
      <w:pPr>
        <w:widowControl w:val="0"/>
        <w:suppressAutoHyphens/>
      </w:pPr>
    </w:p>
    <w:p w14:paraId="3C64BC45" w14:textId="1F5F59B7" w:rsidR="009601AE" w:rsidRDefault="009601AE" w:rsidP="009E3730">
      <w:pPr>
        <w:widowControl w:val="0"/>
        <w:suppressAutoHyphens/>
      </w:pPr>
      <w:r>
        <w:t>Details of the disbursement conditions and the allocation of funds to the various instalments and tranches, and against each Specific Condition are shown in Appendix 2</w:t>
      </w:r>
      <w:r w:rsidR="00031204">
        <w:t xml:space="preserve"> of this Aide Memoire</w:t>
      </w:r>
      <w:r>
        <w:t xml:space="preserve">. Expected results of the Programme are shown in Appendix 3. </w:t>
      </w:r>
    </w:p>
    <w:p w14:paraId="7F97799B" w14:textId="77777777" w:rsidR="009601AE" w:rsidRDefault="009601AE" w:rsidP="009E3730">
      <w:pPr>
        <w:widowControl w:val="0"/>
        <w:suppressAutoHyphens/>
      </w:pPr>
    </w:p>
    <w:p w14:paraId="15A821ED" w14:textId="1AC5BFB7" w:rsidR="00EB4A98" w:rsidRDefault="00EB4A98" w:rsidP="009E3730">
      <w:pPr>
        <w:widowControl w:val="0"/>
        <w:suppressAutoHyphens/>
      </w:pPr>
      <w:r>
        <w:t xml:space="preserve">The indicative schedule for release of the Instalments is shown in the FA as the second quarter of 2014 to 2017 respectively. Although not specified in the FA, achievement of compliance with relevant performance criteria was understood from the outset to be </w:t>
      </w:r>
      <w:r w:rsidR="00052A8C">
        <w:t xml:space="preserve">required </w:t>
      </w:r>
      <w:r>
        <w:t>during the previous calendar year</w:t>
      </w:r>
      <w:r w:rsidR="00052A8C">
        <w:t>, although in some instances modified through agreement with the EU</w:t>
      </w:r>
      <w:r>
        <w:t xml:space="preserve">. </w:t>
      </w:r>
    </w:p>
    <w:p w14:paraId="6E2A4C9F" w14:textId="77777777" w:rsidR="00EB4A98" w:rsidRDefault="00EB4A98" w:rsidP="009E3730">
      <w:pPr>
        <w:widowControl w:val="0"/>
        <w:suppressAutoHyphens/>
      </w:pPr>
    </w:p>
    <w:p w14:paraId="51EF8B6E" w14:textId="2DEA3D2C" w:rsidR="00EB4A98" w:rsidRDefault="00EB4A98" w:rsidP="009E3730">
      <w:pPr>
        <w:widowControl w:val="0"/>
        <w:suppressAutoHyphens/>
      </w:pPr>
      <w:r>
        <w:t>The First Instalment, comprising a fixed tranche of €3.0mn, was released in the first quarter of 2014 following signature of the FA. The subsequent three Instalments include both a fixed tranche of €1.0mn and a variable tranche, the potential amount of which progressively increases over the course of the Programme from €3.0mn in 2015, to €4.5mn in 2016 and €6.5mn in 2017. The Second Instalment of €5.5mn was released in full in June 2015 on the basis of compliance at the end of December 2014 (assessed by the Review in March 2015). The Third Instalment was released in late December 2016, following an assessment of compliance by the Review in April 2016. €1.75mn of the Third Instalment was withheld by the EU after a conclusion that three Indicators were not adequately fulfilled</w:t>
      </w:r>
      <w:r w:rsidR="00052A8C">
        <w:t>, but with the opportunity for release with the Fourth Instalment after reassessment at the time of the Fourth Instalment Review</w:t>
      </w:r>
      <w:r>
        <w:t>.</w:t>
      </w:r>
    </w:p>
    <w:p w14:paraId="08BB8A85" w14:textId="77777777" w:rsidR="00EB4A98" w:rsidRDefault="00EB4A98" w:rsidP="009E3730">
      <w:pPr>
        <w:widowControl w:val="0"/>
        <w:suppressAutoHyphens/>
      </w:pPr>
    </w:p>
    <w:p w14:paraId="712127A4" w14:textId="77777777" w:rsidR="009601AE" w:rsidRDefault="009601AE" w:rsidP="009E3730">
      <w:pPr>
        <w:pStyle w:val="Heading1"/>
        <w:widowControl w:val="0"/>
        <w:suppressAutoHyphens/>
      </w:pPr>
      <w:bookmarkStart w:id="19" w:name="_Toc486837751"/>
      <w:r>
        <w:t>3.</w:t>
      </w:r>
      <w:r>
        <w:tab/>
        <w:t>Conditions for Release of the Fourth Instalment</w:t>
      </w:r>
      <w:bookmarkEnd w:id="19"/>
    </w:p>
    <w:p w14:paraId="1FFAB3FE" w14:textId="77777777" w:rsidR="009601AE" w:rsidRDefault="009601AE" w:rsidP="009E3730">
      <w:pPr>
        <w:widowControl w:val="0"/>
        <w:suppressAutoHyphens/>
      </w:pPr>
    </w:p>
    <w:p w14:paraId="6FD7E306" w14:textId="77777777" w:rsidR="009601AE" w:rsidRDefault="009601AE" w:rsidP="009E3730">
      <w:pPr>
        <w:widowControl w:val="0"/>
        <w:suppressAutoHyphens/>
      </w:pPr>
      <w:r>
        <w:t>The Fourth Instalment comprises the Fourth Fixed Tranche (worth €1mn) and the Third Variable Tranche (worth up to €6.5mn).</w:t>
      </w:r>
    </w:p>
    <w:p w14:paraId="482D4F85" w14:textId="77777777" w:rsidR="009601AE" w:rsidRDefault="009601AE" w:rsidP="009E3730">
      <w:pPr>
        <w:widowControl w:val="0"/>
        <w:suppressAutoHyphens/>
      </w:pPr>
    </w:p>
    <w:p w14:paraId="0D50825A" w14:textId="77777777" w:rsidR="009601AE" w:rsidRDefault="009601AE" w:rsidP="009E3730">
      <w:pPr>
        <w:widowControl w:val="0"/>
        <w:suppressAutoHyphens/>
      </w:pPr>
      <w:r>
        <w:t xml:space="preserve">For any disbursement of the Fourth Instalment a precondition is compliance with all four General Conditions, considered by the EU as eligibility criteria for budget support. These cover progress in the implementation of credible and relevant medium-term employment and VET strategies, and the Government's public finance management reform programme, improvements in budget transparency and oversight, and the maintenance of a stability orientated macroeconomic policy. </w:t>
      </w:r>
    </w:p>
    <w:p w14:paraId="64A572C9" w14:textId="77777777" w:rsidR="009601AE" w:rsidRDefault="009601AE" w:rsidP="009E3730">
      <w:pPr>
        <w:widowControl w:val="0"/>
        <w:suppressAutoHyphens/>
      </w:pPr>
    </w:p>
    <w:p w14:paraId="3A317CC9" w14:textId="77777777" w:rsidR="009601AE" w:rsidRDefault="009601AE" w:rsidP="009E3730">
      <w:pPr>
        <w:widowControl w:val="0"/>
        <w:suppressAutoHyphens/>
      </w:pPr>
      <w:r>
        <w:t xml:space="preserve">Disbursement of the Fourth Fixed Tranche of the AAP2013 SRC EVET requires compliance with these same four General Conditions. Government must be in full compliance with all four General Conditions, there is no room for an assessment of partial compliance, and the Fixed Tranche is released in full or not at all. </w:t>
      </w:r>
    </w:p>
    <w:p w14:paraId="178CF6DA" w14:textId="77777777" w:rsidR="009601AE" w:rsidRDefault="009601AE" w:rsidP="009E3730">
      <w:pPr>
        <w:widowControl w:val="0"/>
        <w:suppressAutoHyphens/>
      </w:pPr>
    </w:p>
    <w:p w14:paraId="15E6B5C8" w14:textId="7E7F1F39" w:rsidR="009601AE" w:rsidRDefault="009601AE" w:rsidP="009E3730">
      <w:pPr>
        <w:widowControl w:val="0"/>
        <w:suppressAutoHyphens/>
      </w:pPr>
      <w:r>
        <w:t>Disbursement of the Third Variable Tranche</w:t>
      </w:r>
      <w:r w:rsidR="00824987">
        <w:t xml:space="preserve"> under the Fourth Instalment</w:t>
      </w:r>
      <w:r>
        <w:t xml:space="preserve"> requires compliance, first, with the General Conditions for release of the Fixed Tranche and, second, with the seven Specific Conditions under the three Components: Effective Labour Market Management, Enhanced Quality and Relevance of the VET System, and Efficient Transition from Training into Employment. Assessment of compliance with each Specific Condition is based upon fulfilment of a number of criteria or indicators, of which for the Third Variable Tranche there are 15 overall. Release of the funds depends on the number of relevant criteria/indicators fulfilled for each Specific Condition: fulfilment of all related criteria allows 100% of the related funds to be released, fulfilment of more than half the criteria for 50% to be released, and fulfilment of half or less than half the criteria for none to be released. The amounts related to each Specific Condition for the Third Variable Tranche under the Fourth Instalment are shown in Table 1.</w:t>
      </w:r>
    </w:p>
    <w:p w14:paraId="4ED8700E" w14:textId="77777777" w:rsidR="009601AE" w:rsidRDefault="009601AE" w:rsidP="009E3730">
      <w:pPr>
        <w:widowControl w:val="0"/>
        <w:suppressAutoHyphens/>
      </w:pPr>
    </w:p>
    <w:p w14:paraId="604F9DFA" w14:textId="75F7E1AB" w:rsidR="009601AE" w:rsidRDefault="009601AE" w:rsidP="009E3730">
      <w:pPr>
        <w:widowControl w:val="0"/>
        <w:suppressAutoHyphens/>
        <w:jc w:val="center"/>
        <w:rPr>
          <w:b/>
          <w:bCs/>
        </w:rPr>
      </w:pPr>
      <w:r>
        <w:rPr>
          <w:b/>
          <w:bCs/>
        </w:rPr>
        <w:t xml:space="preserve">Table 1: Amounts Allocated for Potential Disbursement under the </w:t>
      </w:r>
      <w:r w:rsidR="006668A4">
        <w:rPr>
          <w:b/>
          <w:bCs/>
        </w:rPr>
        <w:t>Fourth</w:t>
      </w:r>
      <w:r>
        <w:rPr>
          <w:b/>
          <w:bCs/>
        </w:rPr>
        <w:t xml:space="preserve"> Instalment</w:t>
      </w:r>
    </w:p>
    <w:p w14:paraId="696C784E" w14:textId="77777777" w:rsidR="009601AE" w:rsidRDefault="009601AE" w:rsidP="009E3730">
      <w:pPr>
        <w:widowControl w:val="0"/>
        <w:suppressAutoHyphens/>
      </w:pPr>
    </w:p>
    <w:tbl>
      <w:tblPr>
        <w:tblW w:w="88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1678"/>
        <w:gridCol w:w="1701"/>
      </w:tblGrid>
      <w:tr w:rsidR="009601AE" w:rsidRPr="00690428" w14:paraId="0F7F8327" w14:textId="77777777" w:rsidTr="00C90833">
        <w:trPr>
          <w:jc w:val="center"/>
        </w:trPr>
        <w:tc>
          <w:tcPr>
            <w:tcW w:w="5508" w:type="dxa"/>
          </w:tcPr>
          <w:p w14:paraId="0150252D" w14:textId="77777777" w:rsidR="009601AE" w:rsidRPr="00690428" w:rsidRDefault="009601AE" w:rsidP="009E3730">
            <w:pPr>
              <w:widowControl w:val="0"/>
              <w:suppressAutoHyphens/>
              <w:rPr>
                <w:b/>
                <w:bCs/>
                <w:sz w:val="20"/>
                <w:szCs w:val="20"/>
              </w:rPr>
            </w:pPr>
          </w:p>
          <w:p w14:paraId="7AAEE4D8" w14:textId="77777777" w:rsidR="009601AE" w:rsidRPr="00690428" w:rsidRDefault="009601AE" w:rsidP="009E3730">
            <w:pPr>
              <w:widowControl w:val="0"/>
              <w:suppressAutoHyphens/>
              <w:jc w:val="center"/>
              <w:rPr>
                <w:b/>
                <w:bCs/>
                <w:sz w:val="20"/>
                <w:szCs w:val="20"/>
              </w:rPr>
            </w:pPr>
            <w:r w:rsidRPr="00690428">
              <w:rPr>
                <w:b/>
                <w:bCs/>
                <w:sz w:val="20"/>
                <w:szCs w:val="20"/>
              </w:rPr>
              <w:t>Condition</w:t>
            </w:r>
          </w:p>
        </w:tc>
        <w:tc>
          <w:tcPr>
            <w:tcW w:w="1678" w:type="dxa"/>
          </w:tcPr>
          <w:p w14:paraId="228E26D6" w14:textId="77777777" w:rsidR="009601AE" w:rsidRPr="00690428" w:rsidRDefault="009601AE" w:rsidP="009E3730">
            <w:pPr>
              <w:widowControl w:val="0"/>
              <w:suppressAutoHyphens/>
              <w:jc w:val="center"/>
              <w:rPr>
                <w:b/>
                <w:bCs/>
                <w:sz w:val="20"/>
                <w:szCs w:val="20"/>
              </w:rPr>
            </w:pPr>
            <w:r w:rsidRPr="00690428">
              <w:rPr>
                <w:b/>
                <w:bCs/>
                <w:sz w:val="20"/>
                <w:szCs w:val="20"/>
              </w:rPr>
              <w:t>% total instalment</w:t>
            </w:r>
          </w:p>
        </w:tc>
        <w:tc>
          <w:tcPr>
            <w:tcW w:w="1701" w:type="dxa"/>
          </w:tcPr>
          <w:p w14:paraId="4274A234" w14:textId="77777777" w:rsidR="009601AE" w:rsidRPr="00690428" w:rsidRDefault="009601AE" w:rsidP="009E3730">
            <w:pPr>
              <w:widowControl w:val="0"/>
              <w:suppressAutoHyphens/>
              <w:jc w:val="center"/>
              <w:rPr>
                <w:b/>
                <w:bCs/>
                <w:sz w:val="20"/>
                <w:szCs w:val="20"/>
              </w:rPr>
            </w:pPr>
            <w:r w:rsidRPr="00690428">
              <w:rPr>
                <w:b/>
                <w:bCs/>
                <w:sz w:val="20"/>
                <w:szCs w:val="20"/>
              </w:rPr>
              <w:t>Possible Value €mn</w:t>
            </w:r>
          </w:p>
        </w:tc>
      </w:tr>
      <w:tr w:rsidR="009601AE" w:rsidRPr="00690428" w14:paraId="5759A523" w14:textId="77777777" w:rsidTr="00C90833">
        <w:trPr>
          <w:jc w:val="center"/>
        </w:trPr>
        <w:tc>
          <w:tcPr>
            <w:tcW w:w="5508" w:type="dxa"/>
            <w:shd w:val="clear" w:color="auto" w:fill="E0E0E0"/>
          </w:tcPr>
          <w:p w14:paraId="29D735FA" w14:textId="77777777" w:rsidR="009601AE" w:rsidRPr="00690428" w:rsidRDefault="009601AE" w:rsidP="009E3730">
            <w:pPr>
              <w:widowControl w:val="0"/>
              <w:suppressAutoHyphens/>
              <w:jc w:val="left"/>
              <w:rPr>
                <w:b/>
                <w:bCs/>
                <w:sz w:val="20"/>
                <w:szCs w:val="20"/>
              </w:rPr>
            </w:pPr>
            <w:r w:rsidRPr="00690428">
              <w:rPr>
                <w:b/>
                <w:bCs/>
                <w:sz w:val="20"/>
                <w:szCs w:val="20"/>
              </w:rPr>
              <w:t>A. Fixed Tranche</w:t>
            </w:r>
          </w:p>
        </w:tc>
        <w:tc>
          <w:tcPr>
            <w:tcW w:w="1678" w:type="dxa"/>
            <w:shd w:val="clear" w:color="auto" w:fill="E0E0E0"/>
          </w:tcPr>
          <w:p w14:paraId="403E843F" w14:textId="77777777" w:rsidR="009601AE" w:rsidRPr="00690428" w:rsidRDefault="009601AE" w:rsidP="009E3730">
            <w:pPr>
              <w:widowControl w:val="0"/>
              <w:suppressAutoHyphens/>
              <w:jc w:val="center"/>
              <w:rPr>
                <w:b/>
                <w:bCs/>
                <w:sz w:val="20"/>
                <w:szCs w:val="20"/>
              </w:rPr>
            </w:pPr>
            <w:r w:rsidRPr="00690428">
              <w:rPr>
                <w:b/>
                <w:bCs/>
                <w:sz w:val="20"/>
                <w:szCs w:val="20"/>
              </w:rPr>
              <w:t>13.3</w:t>
            </w:r>
          </w:p>
        </w:tc>
        <w:tc>
          <w:tcPr>
            <w:tcW w:w="1701" w:type="dxa"/>
            <w:shd w:val="clear" w:color="auto" w:fill="E0E0E0"/>
          </w:tcPr>
          <w:p w14:paraId="39644937" w14:textId="77777777" w:rsidR="009601AE" w:rsidRPr="00690428" w:rsidRDefault="009601AE" w:rsidP="009E3730">
            <w:pPr>
              <w:widowControl w:val="0"/>
              <w:suppressAutoHyphens/>
              <w:jc w:val="center"/>
              <w:rPr>
                <w:b/>
                <w:bCs/>
                <w:sz w:val="20"/>
                <w:szCs w:val="20"/>
              </w:rPr>
            </w:pPr>
            <w:r w:rsidRPr="00690428">
              <w:rPr>
                <w:b/>
                <w:bCs/>
                <w:sz w:val="20"/>
                <w:szCs w:val="20"/>
              </w:rPr>
              <w:t>1.0</w:t>
            </w:r>
          </w:p>
        </w:tc>
      </w:tr>
      <w:tr w:rsidR="009601AE" w:rsidRPr="00690428" w14:paraId="1193362E" w14:textId="77777777" w:rsidTr="00C90833">
        <w:trPr>
          <w:jc w:val="center"/>
        </w:trPr>
        <w:tc>
          <w:tcPr>
            <w:tcW w:w="5508" w:type="dxa"/>
            <w:shd w:val="clear" w:color="auto" w:fill="E0E0E0"/>
          </w:tcPr>
          <w:p w14:paraId="2521079C" w14:textId="77777777" w:rsidR="009601AE" w:rsidRPr="00690428" w:rsidRDefault="009601AE" w:rsidP="009E3730">
            <w:pPr>
              <w:widowControl w:val="0"/>
              <w:suppressAutoHyphens/>
              <w:jc w:val="left"/>
              <w:rPr>
                <w:b/>
                <w:bCs/>
                <w:sz w:val="20"/>
                <w:szCs w:val="20"/>
              </w:rPr>
            </w:pPr>
            <w:r w:rsidRPr="00690428">
              <w:rPr>
                <w:b/>
                <w:bCs/>
                <w:sz w:val="20"/>
                <w:szCs w:val="20"/>
              </w:rPr>
              <w:t>B. Variable Tranche</w:t>
            </w:r>
          </w:p>
        </w:tc>
        <w:tc>
          <w:tcPr>
            <w:tcW w:w="1678" w:type="dxa"/>
            <w:shd w:val="clear" w:color="auto" w:fill="E0E0E0"/>
          </w:tcPr>
          <w:p w14:paraId="7F2DA19E" w14:textId="77777777" w:rsidR="009601AE" w:rsidRPr="00690428" w:rsidRDefault="009601AE" w:rsidP="009E3730">
            <w:pPr>
              <w:widowControl w:val="0"/>
              <w:suppressAutoHyphens/>
              <w:jc w:val="center"/>
              <w:rPr>
                <w:b/>
                <w:bCs/>
                <w:sz w:val="20"/>
                <w:szCs w:val="20"/>
              </w:rPr>
            </w:pPr>
          </w:p>
        </w:tc>
        <w:tc>
          <w:tcPr>
            <w:tcW w:w="1701" w:type="dxa"/>
            <w:shd w:val="clear" w:color="auto" w:fill="E0E0E0"/>
          </w:tcPr>
          <w:p w14:paraId="149E2236" w14:textId="77777777" w:rsidR="009601AE" w:rsidRPr="00690428" w:rsidRDefault="009601AE" w:rsidP="009E3730">
            <w:pPr>
              <w:widowControl w:val="0"/>
              <w:suppressAutoHyphens/>
              <w:jc w:val="center"/>
              <w:rPr>
                <w:b/>
                <w:bCs/>
                <w:sz w:val="20"/>
                <w:szCs w:val="20"/>
              </w:rPr>
            </w:pPr>
          </w:p>
        </w:tc>
      </w:tr>
      <w:tr w:rsidR="009601AE" w:rsidRPr="00690428" w14:paraId="205DB3CB" w14:textId="77777777" w:rsidTr="00C90833">
        <w:trPr>
          <w:cantSplit/>
          <w:jc w:val="center"/>
        </w:trPr>
        <w:tc>
          <w:tcPr>
            <w:tcW w:w="8887" w:type="dxa"/>
            <w:gridSpan w:val="3"/>
            <w:shd w:val="clear" w:color="auto" w:fill="F3F3F3"/>
          </w:tcPr>
          <w:p w14:paraId="57923DE7" w14:textId="77777777" w:rsidR="009601AE" w:rsidRPr="00690428" w:rsidRDefault="009601AE" w:rsidP="009E3730">
            <w:pPr>
              <w:widowControl w:val="0"/>
              <w:suppressAutoHyphens/>
              <w:jc w:val="left"/>
              <w:rPr>
                <w:b/>
                <w:bCs/>
                <w:sz w:val="20"/>
                <w:szCs w:val="20"/>
              </w:rPr>
            </w:pPr>
            <w:r w:rsidRPr="00690428">
              <w:rPr>
                <w:b/>
                <w:bCs/>
                <w:sz w:val="20"/>
                <w:szCs w:val="20"/>
                <w:lang w:eastAsia="en-GB"/>
              </w:rPr>
              <w:t>Component 1: Effective Labour Market Management</w:t>
            </w:r>
            <w:r w:rsidRPr="00690428">
              <w:rPr>
                <w:b/>
                <w:bCs/>
                <w:sz w:val="20"/>
                <w:szCs w:val="20"/>
              </w:rPr>
              <w:t xml:space="preserve"> (26.7%)</w:t>
            </w:r>
          </w:p>
        </w:tc>
      </w:tr>
      <w:tr w:rsidR="009601AE" w:rsidRPr="00690428" w14:paraId="75484ACD" w14:textId="77777777" w:rsidTr="00C90833">
        <w:trPr>
          <w:jc w:val="center"/>
        </w:trPr>
        <w:tc>
          <w:tcPr>
            <w:tcW w:w="5508" w:type="dxa"/>
          </w:tcPr>
          <w:p w14:paraId="45C7234D" w14:textId="77777777" w:rsidR="009601AE" w:rsidRPr="00690428" w:rsidRDefault="009601AE" w:rsidP="007C295F">
            <w:pPr>
              <w:widowControl w:val="0"/>
              <w:numPr>
                <w:ilvl w:val="0"/>
                <w:numId w:val="3"/>
              </w:numPr>
              <w:suppressAutoHyphens/>
              <w:autoSpaceDE w:val="0"/>
              <w:autoSpaceDN w:val="0"/>
              <w:jc w:val="left"/>
              <w:rPr>
                <w:i/>
                <w:iCs/>
                <w:sz w:val="20"/>
                <w:szCs w:val="20"/>
              </w:rPr>
            </w:pPr>
            <w:r w:rsidRPr="00690428">
              <w:rPr>
                <w:i/>
                <w:iCs/>
                <w:sz w:val="20"/>
                <w:szCs w:val="20"/>
                <w:lang w:eastAsia="en-GB"/>
              </w:rPr>
              <w:t>Reliable and sustainable labour market information and forecasting</w:t>
            </w:r>
            <w:r w:rsidRPr="00690428">
              <w:rPr>
                <w:i/>
                <w:iCs/>
                <w:sz w:val="20"/>
                <w:szCs w:val="20"/>
              </w:rPr>
              <w:t>.</w:t>
            </w:r>
          </w:p>
        </w:tc>
        <w:tc>
          <w:tcPr>
            <w:tcW w:w="1678" w:type="dxa"/>
          </w:tcPr>
          <w:p w14:paraId="03A20F6D" w14:textId="77777777" w:rsidR="009601AE" w:rsidRPr="00690428" w:rsidRDefault="009601AE" w:rsidP="009E3730">
            <w:pPr>
              <w:widowControl w:val="0"/>
              <w:suppressAutoHyphens/>
              <w:jc w:val="center"/>
              <w:rPr>
                <w:sz w:val="20"/>
                <w:szCs w:val="20"/>
              </w:rPr>
            </w:pPr>
            <w:r w:rsidRPr="00690428">
              <w:rPr>
                <w:sz w:val="20"/>
                <w:szCs w:val="20"/>
              </w:rPr>
              <w:t>13.3</w:t>
            </w:r>
          </w:p>
        </w:tc>
        <w:tc>
          <w:tcPr>
            <w:tcW w:w="1701" w:type="dxa"/>
          </w:tcPr>
          <w:p w14:paraId="7B3682E3" w14:textId="77777777" w:rsidR="009601AE" w:rsidRPr="00690428" w:rsidRDefault="009601AE" w:rsidP="009E3730">
            <w:pPr>
              <w:widowControl w:val="0"/>
              <w:suppressAutoHyphens/>
              <w:jc w:val="center"/>
              <w:rPr>
                <w:sz w:val="20"/>
                <w:szCs w:val="20"/>
              </w:rPr>
            </w:pPr>
            <w:r w:rsidRPr="00690428">
              <w:rPr>
                <w:sz w:val="20"/>
                <w:szCs w:val="20"/>
              </w:rPr>
              <w:t>1.0</w:t>
            </w:r>
          </w:p>
        </w:tc>
      </w:tr>
      <w:tr w:rsidR="009601AE" w:rsidRPr="00690428" w14:paraId="47C4290B" w14:textId="77777777" w:rsidTr="00C90833">
        <w:trPr>
          <w:jc w:val="center"/>
        </w:trPr>
        <w:tc>
          <w:tcPr>
            <w:tcW w:w="5508" w:type="dxa"/>
          </w:tcPr>
          <w:p w14:paraId="716AA2EA" w14:textId="77777777" w:rsidR="009601AE" w:rsidRPr="00690428" w:rsidRDefault="009601AE" w:rsidP="007C295F">
            <w:pPr>
              <w:widowControl w:val="0"/>
              <w:numPr>
                <w:ilvl w:val="0"/>
                <w:numId w:val="3"/>
              </w:numPr>
              <w:suppressAutoHyphens/>
              <w:autoSpaceDE w:val="0"/>
              <w:autoSpaceDN w:val="0"/>
              <w:jc w:val="left"/>
              <w:rPr>
                <w:i/>
                <w:iCs/>
                <w:sz w:val="20"/>
                <w:szCs w:val="20"/>
              </w:rPr>
            </w:pPr>
            <w:r w:rsidRPr="00690428">
              <w:rPr>
                <w:i/>
                <w:iCs/>
                <w:sz w:val="20"/>
                <w:szCs w:val="20"/>
                <w:lang w:eastAsia="en-GB"/>
              </w:rPr>
              <w:t>Improved Quality of Employment Support Services</w:t>
            </w:r>
            <w:r w:rsidRPr="00690428">
              <w:rPr>
                <w:i/>
                <w:iCs/>
                <w:sz w:val="20"/>
                <w:szCs w:val="20"/>
              </w:rPr>
              <w:t>.</w:t>
            </w:r>
          </w:p>
        </w:tc>
        <w:tc>
          <w:tcPr>
            <w:tcW w:w="1678" w:type="dxa"/>
          </w:tcPr>
          <w:p w14:paraId="22F8E25F" w14:textId="77777777" w:rsidR="009601AE" w:rsidRPr="00690428" w:rsidRDefault="009601AE" w:rsidP="009E3730">
            <w:pPr>
              <w:widowControl w:val="0"/>
              <w:suppressAutoHyphens/>
              <w:jc w:val="center"/>
              <w:rPr>
                <w:sz w:val="20"/>
                <w:szCs w:val="20"/>
              </w:rPr>
            </w:pPr>
            <w:r w:rsidRPr="00690428">
              <w:rPr>
                <w:sz w:val="20"/>
                <w:szCs w:val="20"/>
              </w:rPr>
              <w:t>13.3</w:t>
            </w:r>
          </w:p>
        </w:tc>
        <w:tc>
          <w:tcPr>
            <w:tcW w:w="1701" w:type="dxa"/>
          </w:tcPr>
          <w:p w14:paraId="411117A0" w14:textId="77777777" w:rsidR="009601AE" w:rsidRPr="00690428" w:rsidRDefault="009601AE" w:rsidP="009E3730">
            <w:pPr>
              <w:widowControl w:val="0"/>
              <w:suppressAutoHyphens/>
              <w:jc w:val="center"/>
              <w:rPr>
                <w:sz w:val="20"/>
                <w:szCs w:val="20"/>
              </w:rPr>
            </w:pPr>
            <w:r w:rsidRPr="00690428">
              <w:rPr>
                <w:sz w:val="20"/>
                <w:szCs w:val="20"/>
              </w:rPr>
              <w:t>1.0</w:t>
            </w:r>
          </w:p>
        </w:tc>
      </w:tr>
      <w:tr w:rsidR="009601AE" w:rsidRPr="00690428" w14:paraId="5B181A72" w14:textId="77777777" w:rsidTr="00C90833">
        <w:trPr>
          <w:cantSplit/>
          <w:jc w:val="center"/>
        </w:trPr>
        <w:tc>
          <w:tcPr>
            <w:tcW w:w="8887" w:type="dxa"/>
            <w:gridSpan w:val="3"/>
            <w:shd w:val="clear" w:color="auto" w:fill="F3F3F3"/>
          </w:tcPr>
          <w:p w14:paraId="4B67759E" w14:textId="77777777" w:rsidR="009601AE" w:rsidRPr="00690428" w:rsidRDefault="009601AE" w:rsidP="009E3730">
            <w:pPr>
              <w:widowControl w:val="0"/>
              <w:suppressAutoHyphens/>
              <w:jc w:val="left"/>
              <w:rPr>
                <w:b/>
                <w:bCs/>
                <w:sz w:val="20"/>
                <w:szCs w:val="20"/>
              </w:rPr>
            </w:pPr>
            <w:r w:rsidRPr="00690428">
              <w:rPr>
                <w:b/>
                <w:bCs/>
                <w:sz w:val="20"/>
                <w:szCs w:val="20"/>
                <w:lang w:eastAsia="en-GB"/>
              </w:rPr>
              <w:t>Component 2: Enhanced Quality and Relevance of VET System</w:t>
            </w:r>
            <w:r w:rsidRPr="00690428">
              <w:rPr>
                <w:b/>
                <w:bCs/>
                <w:sz w:val="20"/>
                <w:szCs w:val="20"/>
              </w:rPr>
              <w:t xml:space="preserve"> (26.7%)</w:t>
            </w:r>
          </w:p>
        </w:tc>
      </w:tr>
      <w:tr w:rsidR="009601AE" w:rsidRPr="00690428" w14:paraId="5310022A" w14:textId="77777777" w:rsidTr="00C90833">
        <w:trPr>
          <w:jc w:val="center"/>
        </w:trPr>
        <w:tc>
          <w:tcPr>
            <w:tcW w:w="5508" w:type="dxa"/>
          </w:tcPr>
          <w:p w14:paraId="46BB5E68" w14:textId="77777777" w:rsidR="009601AE" w:rsidRPr="00690428" w:rsidRDefault="009601AE" w:rsidP="007C295F">
            <w:pPr>
              <w:widowControl w:val="0"/>
              <w:numPr>
                <w:ilvl w:val="0"/>
                <w:numId w:val="4"/>
              </w:numPr>
              <w:suppressAutoHyphens/>
              <w:autoSpaceDE w:val="0"/>
              <w:autoSpaceDN w:val="0"/>
              <w:jc w:val="left"/>
              <w:rPr>
                <w:i/>
                <w:iCs/>
                <w:sz w:val="20"/>
                <w:szCs w:val="20"/>
              </w:rPr>
            </w:pPr>
            <w:r w:rsidRPr="00690428">
              <w:rPr>
                <w:i/>
                <w:iCs/>
                <w:sz w:val="20"/>
                <w:szCs w:val="20"/>
                <w:lang w:eastAsia="en-GB"/>
              </w:rPr>
              <w:t>Enhanced matching of skills provided by the VET system with the needs of the labour market</w:t>
            </w:r>
            <w:r w:rsidRPr="00690428">
              <w:rPr>
                <w:i/>
                <w:iCs/>
                <w:sz w:val="20"/>
                <w:szCs w:val="20"/>
              </w:rPr>
              <w:t>.</w:t>
            </w:r>
          </w:p>
        </w:tc>
        <w:tc>
          <w:tcPr>
            <w:tcW w:w="1678" w:type="dxa"/>
          </w:tcPr>
          <w:p w14:paraId="1D219134" w14:textId="77777777" w:rsidR="009601AE" w:rsidRPr="00690428" w:rsidRDefault="009601AE" w:rsidP="009E3730">
            <w:pPr>
              <w:widowControl w:val="0"/>
              <w:suppressAutoHyphens/>
              <w:jc w:val="center"/>
              <w:rPr>
                <w:sz w:val="20"/>
                <w:szCs w:val="20"/>
              </w:rPr>
            </w:pPr>
            <w:r w:rsidRPr="00690428">
              <w:rPr>
                <w:sz w:val="20"/>
                <w:szCs w:val="20"/>
              </w:rPr>
              <w:t>13.3</w:t>
            </w:r>
          </w:p>
        </w:tc>
        <w:tc>
          <w:tcPr>
            <w:tcW w:w="1701" w:type="dxa"/>
          </w:tcPr>
          <w:p w14:paraId="2BCC2E11" w14:textId="77777777" w:rsidR="009601AE" w:rsidRPr="00690428" w:rsidRDefault="009601AE" w:rsidP="009E3730">
            <w:pPr>
              <w:widowControl w:val="0"/>
              <w:suppressAutoHyphens/>
              <w:jc w:val="center"/>
              <w:rPr>
                <w:sz w:val="20"/>
                <w:szCs w:val="20"/>
              </w:rPr>
            </w:pPr>
            <w:r w:rsidRPr="00690428">
              <w:rPr>
                <w:sz w:val="20"/>
                <w:szCs w:val="20"/>
              </w:rPr>
              <w:t>1.0</w:t>
            </w:r>
          </w:p>
        </w:tc>
      </w:tr>
      <w:tr w:rsidR="009601AE" w:rsidRPr="00690428" w14:paraId="5F7E8BA9" w14:textId="77777777" w:rsidTr="00C90833">
        <w:trPr>
          <w:jc w:val="center"/>
        </w:trPr>
        <w:tc>
          <w:tcPr>
            <w:tcW w:w="5508" w:type="dxa"/>
          </w:tcPr>
          <w:p w14:paraId="282FE3BF" w14:textId="77777777" w:rsidR="009601AE" w:rsidRPr="00690428" w:rsidRDefault="009601AE" w:rsidP="007C295F">
            <w:pPr>
              <w:widowControl w:val="0"/>
              <w:numPr>
                <w:ilvl w:val="0"/>
                <w:numId w:val="4"/>
              </w:numPr>
              <w:suppressAutoHyphens/>
              <w:autoSpaceDE w:val="0"/>
              <w:autoSpaceDN w:val="0"/>
              <w:jc w:val="left"/>
              <w:rPr>
                <w:i/>
                <w:iCs/>
                <w:sz w:val="20"/>
                <w:szCs w:val="20"/>
              </w:rPr>
            </w:pPr>
            <w:r w:rsidRPr="00690428">
              <w:rPr>
                <w:i/>
                <w:iCs/>
                <w:sz w:val="20"/>
                <w:szCs w:val="20"/>
                <w:lang w:eastAsia="en-GB"/>
              </w:rPr>
              <w:t>Improved quality of VET qualifications.</w:t>
            </w:r>
          </w:p>
        </w:tc>
        <w:tc>
          <w:tcPr>
            <w:tcW w:w="1678" w:type="dxa"/>
          </w:tcPr>
          <w:p w14:paraId="5040CBBC" w14:textId="77777777" w:rsidR="009601AE" w:rsidRPr="00690428" w:rsidRDefault="009601AE" w:rsidP="009E3730">
            <w:pPr>
              <w:widowControl w:val="0"/>
              <w:suppressAutoHyphens/>
              <w:jc w:val="center"/>
              <w:rPr>
                <w:sz w:val="20"/>
                <w:szCs w:val="20"/>
              </w:rPr>
            </w:pPr>
            <w:r w:rsidRPr="00690428">
              <w:rPr>
                <w:sz w:val="20"/>
                <w:szCs w:val="20"/>
              </w:rPr>
              <w:t>13.3</w:t>
            </w:r>
          </w:p>
        </w:tc>
        <w:tc>
          <w:tcPr>
            <w:tcW w:w="1701" w:type="dxa"/>
          </w:tcPr>
          <w:p w14:paraId="60D4D1B9" w14:textId="77777777" w:rsidR="009601AE" w:rsidRPr="00690428" w:rsidRDefault="009601AE" w:rsidP="009E3730">
            <w:pPr>
              <w:widowControl w:val="0"/>
              <w:suppressAutoHyphens/>
              <w:jc w:val="center"/>
              <w:rPr>
                <w:sz w:val="20"/>
                <w:szCs w:val="20"/>
              </w:rPr>
            </w:pPr>
            <w:r w:rsidRPr="00690428">
              <w:rPr>
                <w:sz w:val="20"/>
                <w:szCs w:val="20"/>
              </w:rPr>
              <w:t>1.0</w:t>
            </w:r>
          </w:p>
        </w:tc>
      </w:tr>
      <w:tr w:rsidR="009601AE" w:rsidRPr="00690428" w14:paraId="3E460F59" w14:textId="77777777" w:rsidTr="00C90833">
        <w:trPr>
          <w:cantSplit/>
          <w:jc w:val="center"/>
        </w:trPr>
        <w:tc>
          <w:tcPr>
            <w:tcW w:w="8887" w:type="dxa"/>
            <w:gridSpan w:val="3"/>
            <w:shd w:val="clear" w:color="auto" w:fill="F3F3F3"/>
          </w:tcPr>
          <w:p w14:paraId="14C0A9FD" w14:textId="77777777" w:rsidR="009601AE" w:rsidRPr="00690428" w:rsidRDefault="009601AE" w:rsidP="009E3730">
            <w:pPr>
              <w:widowControl w:val="0"/>
              <w:suppressAutoHyphens/>
              <w:jc w:val="left"/>
              <w:rPr>
                <w:b/>
                <w:bCs/>
                <w:sz w:val="20"/>
                <w:szCs w:val="20"/>
              </w:rPr>
            </w:pPr>
            <w:r w:rsidRPr="00690428">
              <w:rPr>
                <w:b/>
                <w:bCs/>
                <w:sz w:val="20"/>
                <w:szCs w:val="20"/>
                <w:lang w:eastAsia="en-GB"/>
              </w:rPr>
              <w:t>Component 3: Efficient Transition from Training into Employment</w:t>
            </w:r>
            <w:r w:rsidRPr="00690428">
              <w:rPr>
                <w:b/>
                <w:bCs/>
                <w:sz w:val="20"/>
                <w:szCs w:val="20"/>
              </w:rPr>
              <w:t xml:space="preserve"> (33.3%)</w:t>
            </w:r>
          </w:p>
        </w:tc>
      </w:tr>
      <w:tr w:rsidR="009601AE" w:rsidRPr="00690428" w14:paraId="6303A15B" w14:textId="77777777" w:rsidTr="00C90833">
        <w:trPr>
          <w:jc w:val="center"/>
        </w:trPr>
        <w:tc>
          <w:tcPr>
            <w:tcW w:w="5508" w:type="dxa"/>
          </w:tcPr>
          <w:p w14:paraId="20C7AB44" w14:textId="77777777" w:rsidR="009601AE" w:rsidRPr="00690428" w:rsidRDefault="009601AE" w:rsidP="007C295F">
            <w:pPr>
              <w:widowControl w:val="0"/>
              <w:numPr>
                <w:ilvl w:val="0"/>
                <w:numId w:val="5"/>
              </w:numPr>
              <w:suppressAutoHyphens/>
              <w:autoSpaceDE w:val="0"/>
              <w:autoSpaceDN w:val="0"/>
              <w:jc w:val="left"/>
              <w:rPr>
                <w:i/>
                <w:iCs/>
                <w:sz w:val="20"/>
                <w:szCs w:val="20"/>
              </w:rPr>
            </w:pPr>
            <w:r w:rsidRPr="00690428">
              <w:rPr>
                <w:i/>
                <w:iCs/>
                <w:sz w:val="20"/>
                <w:szCs w:val="20"/>
                <w:lang w:eastAsia="en-GB"/>
              </w:rPr>
              <w:t>Efficient transition from training to employment.</w:t>
            </w:r>
          </w:p>
        </w:tc>
        <w:tc>
          <w:tcPr>
            <w:tcW w:w="1678" w:type="dxa"/>
          </w:tcPr>
          <w:p w14:paraId="270212B1" w14:textId="77777777" w:rsidR="009601AE" w:rsidRPr="00690428" w:rsidRDefault="009601AE" w:rsidP="009E3730">
            <w:pPr>
              <w:widowControl w:val="0"/>
              <w:suppressAutoHyphens/>
              <w:jc w:val="center"/>
              <w:rPr>
                <w:sz w:val="20"/>
                <w:szCs w:val="20"/>
              </w:rPr>
            </w:pPr>
            <w:r w:rsidRPr="00690428">
              <w:rPr>
                <w:sz w:val="20"/>
                <w:szCs w:val="20"/>
              </w:rPr>
              <w:t>13.3</w:t>
            </w:r>
          </w:p>
        </w:tc>
        <w:tc>
          <w:tcPr>
            <w:tcW w:w="1701" w:type="dxa"/>
          </w:tcPr>
          <w:p w14:paraId="1593D29E" w14:textId="77777777" w:rsidR="009601AE" w:rsidRPr="00690428" w:rsidRDefault="009601AE" w:rsidP="009E3730">
            <w:pPr>
              <w:widowControl w:val="0"/>
              <w:suppressAutoHyphens/>
              <w:jc w:val="center"/>
              <w:rPr>
                <w:sz w:val="20"/>
                <w:szCs w:val="20"/>
              </w:rPr>
            </w:pPr>
            <w:r w:rsidRPr="00690428">
              <w:rPr>
                <w:sz w:val="20"/>
                <w:szCs w:val="20"/>
              </w:rPr>
              <w:t>1.0</w:t>
            </w:r>
          </w:p>
        </w:tc>
      </w:tr>
      <w:tr w:rsidR="009601AE" w:rsidRPr="00690428" w14:paraId="724817C8" w14:textId="77777777" w:rsidTr="00C90833">
        <w:trPr>
          <w:jc w:val="center"/>
        </w:trPr>
        <w:tc>
          <w:tcPr>
            <w:tcW w:w="5508" w:type="dxa"/>
          </w:tcPr>
          <w:p w14:paraId="1D521579" w14:textId="77777777" w:rsidR="009601AE" w:rsidRPr="00690428" w:rsidRDefault="009601AE" w:rsidP="007C295F">
            <w:pPr>
              <w:widowControl w:val="0"/>
              <w:numPr>
                <w:ilvl w:val="0"/>
                <w:numId w:val="5"/>
              </w:numPr>
              <w:suppressAutoHyphens/>
              <w:autoSpaceDE w:val="0"/>
              <w:autoSpaceDN w:val="0"/>
              <w:jc w:val="left"/>
              <w:rPr>
                <w:i/>
                <w:iCs/>
                <w:sz w:val="20"/>
                <w:szCs w:val="20"/>
              </w:rPr>
            </w:pPr>
            <w:r w:rsidRPr="00690428">
              <w:rPr>
                <w:i/>
                <w:iCs/>
                <w:sz w:val="20"/>
                <w:szCs w:val="20"/>
                <w:lang w:eastAsia="en-GB"/>
              </w:rPr>
              <w:t>Increased awareness of VET amongst potential students and employers.</w:t>
            </w:r>
          </w:p>
        </w:tc>
        <w:tc>
          <w:tcPr>
            <w:tcW w:w="1678" w:type="dxa"/>
          </w:tcPr>
          <w:p w14:paraId="710E8EA2" w14:textId="77777777" w:rsidR="009601AE" w:rsidRPr="00690428" w:rsidRDefault="009601AE" w:rsidP="009E3730">
            <w:pPr>
              <w:widowControl w:val="0"/>
              <w:suppressAutoHyphens/>
              <w:jc w:val="center"/>
              <w:rPr>
                <w:sz w:val="20"/>
                <w:szCs w:val="20"/>
              </w:rPr>
            </w:pPr>
            <w:r w:rsidRPr="00690428">
              <w:rPr>
                <w:sz w:val="20"/>
                <w:szCs w:val="20"/>
              </w:rPr>
              <w:t>13.3</w:t>
            </w:r>
          </w:p>
        </w:tc>
        <w:tc>
          <w:tcPr>
            <w:tcW w:w="1701" w:type="dxa"/>
          </w:tcPr>
          <w:p w14:paraId="5682C839" w14:textId="77777777" w:rsidR="009601AE" w:rsidRPr="00690428" w:rsidRDefault="009601AE" w:rsidP="009E3730">
            <w:pPr>
              <w:widowControl w:val="0"/>
              <w:suppressAutoHyphens/>
              <w:jc w:val="center"/>
              <w:rPr>
                <w:sz w:val="20"/>
                <w:szCs w:val="20"/>
              </w:rPr>
            </w:pPr>
            <w:r w:rsidRPr="00690428">
              <w:rPr>
                <w:sz w:val="20"/>
                <w:szCs w:val="20"/>
              </w:rPr>
              <w:t>1.0</w:t>
            </w:r>
          </w:p>
        </w:tc>
      </w:tr>
      <w:tr w:rsidR="009601AE" w:rsidRPr="00690428" w14:paraId="43F1127E" w14:textId="77777777" w:rsidTr="00C90833">
        <w:trPr>
          <w:jc w:val="center"/>
        </w:trPr>
        <w:tc>
          <w:tcPr>
            <w:tcW w:w="5508" w:type="dxa"/>
          </w:tcPr>
          <w:p w14:paraId="52C55522" w14:textId="77777777" w:rsidR="009601AE" w:rsidRPr="00690428" w:rsidRDefault="009601AE" w:rsidP="007C295F">
            <w:pPr>
              <w:widowControl w:val="0"/>
              <w:numPr>
                <w:ilvl w:val="0"/>
                <w:numId w:val="5"/>
              </w:numPr>
              <w:suppressAutoHyphens/>
              <w:autoSpaceDE w:val="0"/>
              <w:autoSpaceDN w:val="0"/>
              <w:jc w:val="left"/>
              <w:rPr>
                <w:i/>
                <w:iCs/>
                <w:sz w:val="20"/>
                <w:szCs w:val="20"/>
              </w:rPr>
            </w:pPr>
            <w:r w:rsidRPr="00690428">
              <w:rPr>
                <w:i/>
                <w:iCs/>
                <w:sz w:val="20"/>
                <w:szCs w:val="20"/>
                <w:lang w:eastAsia="en-GB"/>
              </w:rPr>
              <w:t>Enhanced social partnership.</w:t>
            </w:r>
          </w:p>
        </w:tc>
        <w:tc>
          <w:tcPr>
            <w:tcW w:w="1678" w:type="dxa"/>
          </w:tcPr>
          <w:p w14:paraId="775FCE64" w14:textId="77777777" w:rsidR="009601AE" w:rsidRPr="00690428" w:rsidRDefault="009601AE" w:rsidP="009E3730">
            <w:pPr>
              <w:widowControl w:val="0"/>
              <w:suppressAutoHyphens/>
              <w:jc w:val="center"/>
              <w:rPr>
                <w:sz w:val="20"/>
                <w:szCs w:val="20"/>
              </w:rPr>
            </w:pPr>
            <w:r w:rsidRPr="00690428">
              <w:rPr>
                <w:sz w:val="20"/>
                <w:szCs w:val="20"/>
              </w:rPr>
              <w:t>6.7</w:t>
            </w:r>
          </w:p>
        </w:tc>
        <w:tc>
          <w:tcPr>
            <w:tcW w:w="1701" w:type="dxa"/>
          </w:tcPr>
          <w:p w14:paraId="317DD8C0" w14:textId="77777777" w:rsidR="009601AE" w:rsidRPr="00690428" w:rsidRDefault="009601AE" w:rsidP="009E3730">
            <w:pPr>
              <w:widowControl w:val="0"/>
              <w:suppressAutoHyphens/>
              <w:jc w:val="center"/>
              <w:rPr>
                <w:sz w:val="20"/>
                <w:szCs w:val="20"/>
              </w:rPr>
            </w:pPr>
            <w:r w:rsidRPr="00690428">
              <w:rPr>
                <w:sz w:val="20"/>
                <w:szCs w:val="20"/>
              </w:rPr>
              <w:t>0.5</w:t>
            </w:r>
          </w:p>
        </w:tc>
      </w:tr>
      <w:tr w:rsidR="009601AE" w:rsidRPr="00690428" w14:paraId="7559EA28" w14:textId="77777777" w:rsidTr="00C90833">
        <w:trPr>
          <w:jc w:val="center"/>
        </w:trPr>
        <w:tc>
          <w:tcPr>
            <w:tcW w:w="5508" w:type="dxa"/>
            <w:shd w:val="clear" w:color="auto" w:fill="E0E0E0"/>
          </w:tcPr>
          <w:p w14:paraId="125F5653" w14:textId="77777777" w:rsidR="009601AE" w:rsidRPr="00690428" w:rsidRDefault="009601AE" w:rsidP="009E3730">
            <w:pPr>
              <w:widowControl w:val="0"/>
              <w:suppressAutoHyphens/>
              <w:jc w:val="left"/>
              <w:rPr>
                <w:b/>
                <w:bCs/>
                <w:sz w:val="20"/>
                <w:szCs w:val="20"/>
              </w:rPr>
            </w:pPr>
            <w:r w:rsidRPr="00690428">
              <w:rPr>
                <w:b/>
                <w:bCs/>
                <w:sz w:val="20"/>
                <w:szCs w:val="20"/>
              </w:rPr>
              <w:t>Total Potential Variable Tranche for Release</w:t>
            </w:r>
          </w:p>
          <w:p w14:paraId="6E7F6CDD" w14:textId="77777777" w:rsidR="009601AE" w:rsidRPr="00690428" w:rsidRDefault="009601AE" w:rsidP="009E3730">
            <w:pPr>
              <w:widowControl w:val="0"/>
              <w:suppressAutoHyphens/>
              <w:jc w:val="left"/>
              <w:rPr>
                <w:b/>
                <w:bCs/>
                <w:sz w:val="20"/>
                <w:szCs w:val="20"/>
              </w:rPr>
            </w:pPr>
            <w:r w:rsidRPr="00690428">
              <w:rPr>
                <w:sz w:val="20"/>
                <w:szCs w:val="20"/>
              </w:rPr>
              <w:t>(assumes full compliance for fixed tranche)</w:t>
            </w:r>
          </w:p>
        </w:tc>
        <w:tc>
          <w:tcPr>
            <w:tcW w:w="1678" w:type="dxa"/>
            <w:shd w:val="clear" w:color="auto" w:fill="E0E0E0"/>
          </w:tcPr>
          <w:p w14:paraId="29805BC3" w14:textId="77777777" w:rsidR="009601AE" w:rsidRPr="00690428" w:rsidRDefault="009601AE" w:rsidP="009E3730">
            <w:pPr>
              <w:widowControl w:val="0"/>
              <w:suppressAutoHyphens/>
              <w:jc w:val="center"/>
              <w:rPr>
                <w:b/>
                <w:bCs/>
                <w:sz w:val="20"/>
                <w:szCs w:val="20"/>
              </w:rPr>
            </w:pPr>
            <w:r w:rsidRPr="00690428">
              <w:rPr>
                <w:b/>
                <w:bCs/>
                <w:sz w:val="20"/>
                <w:szCs w:val="20"/>
              </w:rPr>
              <w:t>86.7</w:t>
            </w:r>
          </w:p>
        </w:tc>
        <w:tc>
          <w:tcPr>
            <w:tcW w:w="1701" w:type="dxa"/>
            <w:shd w:val="clear" w:color="auto" w:fill="E0E0E0"/>
          </w:tcPr>
          <w:p w14:paraId="3C4D1CE2" w14:textId="77777777" w:rsidR="009601AE" w:rsidRPr="00690428" w:rsidRDefault="009601AE" w:rsidP="009E3730">
            <w:pPr>
              <w:widowControl w:val="0"/>
              <w:suppressAutoHyphens/>
              <w:jc w:val="center"/>
              <w:rPr>
                <w:b/>
                <w:bCs/>
                <w:sz w:val="20"/>
                <w:szCs w:val="20"/>
              </w:rPr>
            </w:pPr>
            <w:r w:rsidRPr="00690428">
              <w:rPr>
                <w:b/>
                <w:bCs/>
                <w:sz w:val="20"/>
                <w:szCs w:val="20"/>
              </w:rPr>
              <w:t>6.5</w:t>
            </w:r>
          </w:p>
        </w:tc>
      </w:tr>
      <w:tr w:rsidR="009601AE" w:rsidRPr="00690428" w14:paraId="3C799AF8" w14:textId="77777777" w:rsidTr="00C90833">
        <w:trPr>
          <w:jc w:val="center"/>
        </w:trPr>
        <w:tc>
          <w:tcPr>
            <w:tcW w:w="5508" w:type="dxa"/>
            <w:shd w:val="clear" w:color="auto" w:fill="E0E0E0"/>
          </w:tcPr>
          <w:p w14:paraId="1578FB7E" w14:textId="77777777" w:rsidR="009601AE" w:rsidRPr="00690428" w:rsidRDefault="009601AE" w:rsidP="009E3730">
            <w:pPr>
              <w:widowControl w:val="0"/>
              <w:suppressAutoHyphens/>
              <w:jc w:val="left"/>
              <w:rPr>
                <w:b/>
                <w:bCs/>
                <w:sz w:val="20"/>
                <w:szCs w:val="20"/>
              </w:rPr>
            </w:pPr>
            <w:r w:rsidRPr="00690428">
              <w:rPr>
                <w:b/>
                <w:bCs/>
                <w:sz w:val="20"/>
                <w:szCs w:val="20"/>
              </w:rPr>
              <w:t xml:space="preserve">Total Fourth Instalment Funds for Release </w:t>
            </w:r>
          </w:p>
        </w:tc>
        <w:tc>
          <w:tcPr>
            <w:tcW w:w="1678" w:type="dxa"/>
            <w:shd w:val="clear" w:color="auto" w:fill="E0E0E0"/>
          </w:tcPr>
          <w:p w14:paraId="5D54C718" w14:textId="77777777" w:rsidR="009601AE" w:rsidRPr="00690428" w:rsidRDefault="009601AE" w:rsidP="009E3730">
            <w:pPr>
              <w:widowControl w:val="0"/>
              <w:suppressAutoHyphens/>
              <w:jc w:val="center"/>
              <w:rPr>
                <w:b/>
                <w:sz w:val="20"/>
                <w:szCs w:val="20"/>
              </w:rPr>
            </w:pPr>
            <w:r w:rsidRPr="00690428">
              <w:rPr>
                <w:b/>
                <w:sz w:val="20"/>
                <w:szCs w:val="20"/>
              </w:rPr>
              <w:t>100.0</w:t>
            </w:r>
          </w:p>
        </w:tc>
        <w:tc>
          <w:tcPr>
            <w:tcW w:w="1701" w:type="dxa"/>
            <w:shd w:val="clear" w:color="auto" w:fill="E0E0E0"/>
          </w:tcPr>
          <w:p w14:paraId="1866D803" w14:textId="77777777" w:rsidR="009601AE" w:rsidRPr="00690428" w:rsidRDefault="009601AE" w:rsidP="009E3730">
            <w:pPr>
              <w:widowControl w:val="0"/>
              <w:suppressAutoHyphens/>
              <w:jc w:val="center"/>
              <w:rPr>
                <w:b/>
                <w:bCs/>
                <w:sz w:val="20"/>
                <w:szCs w:val="20"/>
              </w:rPr>
            </w:pPr>
            <w:r w:rsidRPr="00690428">
              <w:rPr>
                <w:b/>
                <w:bCs/>
                <w:sz w:val="20"/>
                <w:szCs w:val="20"/>
              </w:rPr>
              <w:t>7.5</w:t>
            </w:r>
          </w:p>
        </w:tc>
      </w:tr>
    </w:tbl>
    <w:p w14:paraId="203AF88F" w14:textId="77777777" w:rsidR="009601AE" w:rsidRDefault="009601AE" w:rsidP="009E3730">
      <w:pPr>
        <w:widowControl w:val="0"/>
        <w:suppressAutoHyphens/>
      </w:pPr>
    </w:p>
    <w:p w14:paraId="115E3EF9" w14:textId="55A7F278" w:rsidR="009601AE" w:rsidRDefault="009601AE" w:rsidP="009E3730">
      <w:pPr>
        <w:widowControl w:val="0"/>
        <w:suppressAutoHyphens/>
      </w:pPr>
      <w:r>
        <w:t>The absolute deadline for fulfilment of criteria is t</w:t>
      </w:r>
      <w:r w:rsidR="00254CE6">
        <w:t>he fielding of the Final Review, but</w:t>
      </w:r>
      <w:r>
        <w:t xml:space="preserve"> throughout the EVET programme there has been an understanding between Government and the EU that compliance should be achieved within the respective calendar year, which for the Fourth Instalment is 2016. Although a deadline of 31st December is not supported by the text of the FA, which makes no reference to a particular date for overall compliance, the wording of many indicators are understood to refer to actions or performance within a particular calendar year. </w:t>
      </w:r>
      <w:r w:rsidR="00254CE6">
        <w:t>Naturally where compliance involves the presentation of a report on activities during 2016</w:t>
      </w:r>
      <w:r w:rsidR="00775C7E">
        <w:t xml:space="preserve">, expectations are that these would be available early in the following year, making allowance for the extended holiday period in January due to the </w:t>
      </w:r>
      <w:r w:rsidR="00E55184">
        <w:t>timing</w:t>
      </w:r>
      <w:r w:rsidR="00775C7E">
        <w:t xml:space="preserve"> of Orthodox Christmas and New Year. </w:t>
      </w:r>
    </w:p>
    <w:p w14:paraId="67A292B3" w14:textId="77777777" w:rsidR="009601AE" w:rsidRDefault="009601AE" w:rsidP="009E3730">
      <w:pPr>
        <w:widowControl w:val="0"/>
        <w:suppressAutoHyphens/>
      </w:pPr>
    </w:p>
    <w:p w14:paraId="62E2B85D" w14:textId="77777777" w:rsidR="009601AE" w:rsidRDefault="009601AE" w:rsidP="009E3730">
      <w:pPr>
        <w:pStyle w:val="Heading1"/>
        <w:widowControl w:val="0"/>
        <w:suppressAutoHyphens/>
      </w:pPr>
      <w:bookmarkStart w:id="20" w:name="_Toc404511338"/>
      <w:bookmarkStart w:id="21" w:name="_Toc413019042"/>
      <w:bookmarkStart w:id="22" w:name="_Toc486837752"/>
      <w:r>
        <w:t>4.</w:t>
      </w:r>
      <w:r>
        <w:tab/>
        <w:t>Compliance with the General Conditions</w:t>
      </w:r>
      <w:bookmarkEnd w:id="20"/>
      <w:bookmarkEnd w:id="21"/>
      <w:bookmarkEnd w:id="22"/>
    </w:p>
    <w:p w14:paraId="2EC7B1BC" w14:textId="77777777" w:rsidR="009601AE" w:rsidRDefault="009601AE" w:rsidP="009E3730">
      <w:pPr>
        <w:widowControl w:val="0"/>
        <w:suppressAutoHyphens/>
      </w:pPr>
    </w:p>
    <w:p w14:paraId="2620DAB4" w14:textId="5FDF4B23" w:rsidR="00EF7D74" w:rsidRDefault="009601AE" w:rsidP="009E3730">
      <w:pPr>
        <w:widowControl w:val="0"/>
        <w:suppressAutoHyphens/>
      </w:pPr>
      <w:r>
        <w:lastRenderedPageBreak/>
        <w:t>Compliance with the General Conditions is a continuing requirement</w:t>
      </w:r>
      <w:r w:rsidR="00EF7D74">
        <w:t xml:space="preserve"> under the Programme</w:t>
      </w:r>
      <w:r>
        <w:t xml:space="preserve">, but is assessed at the time of </w:t>
      </w:r>
      <w:r w:rsidR="00EF7D74">
        <w:t xml:space="preserve">each </w:t>
      </w:r>
      <w:r>
        <w:t xml:space="preserve">disbursement. </w:t>
      </w:r>
      <w:r w:rsidR="00EF7D74">
        <w:t xml:space="preserve">There are four General Conditions that have been applicable to all EU budget support programmes since 2012, </w:t>
      </w:r>
      <w:r w:rsidR="00375687">
        <w:t xml:space="preserve">considered </w:t>
      </w:r>
      <w:r w:rsidR="00EF7D74">
        <w:t xml:space="preserve">as minimum requirements for budget support to be effective, and hence as eligibility requirements for </w:t>
      </w:r>
      <w:r w:rsidR="00375687">
        <w:t xml:space="preserve">both signature of </w:t>
      </w:r>
      <w:r w:rsidR="00EF7D74">
        <w:t>budget support</w:t>
      </w:r>
      <w:r w:rsidR="00375687">
        <w:t xml:space="preserve"> agreements and for the release of funds under them</w:t>
      </w:r>
      <w:r w:rsidR="00EF7D74">
        <w:t xml:space="preserve">. </w:t>
      </w:r>
      <w:r w:rsidR="00375687">
        <w:t xml:space="preserve">The four General Conditions </w:t>
      </w:r>
      <w:r w:rsidR="00EF7D74">
        <w:t xml:space="preserve">relate to progress in the implementation of public policy </w:t>
      </w:r>
      <w:r w:rsidR="00375687">
        <w:t>for the sector, prior determined in applicable Government adopted strategies and action plans for their implementation; maintenance of a stability orientated macroeconomic policy; progress in the implementation of Public Finance Management (PFM) system reforms; and improvements in budget transparency and oversight. The General Conditions for the AAP2014 EVET SRC are detailed in Table B of the Appendix to the TAPs (see Appendix 2 of this Aide Memoire).</w:t>
      </w:r>
    </w:p>
    <w:p w14:paraId="36AE105A" w14:textId="77777777" w:rsidR="00EF7D74" w:rsidRDefault="00EF7D74" w:rsidP="009E3730">
      <w:pPr>
        <w:widowControl w:val="0"/>
        <w:suppressAutoHyphens/>
      </w:pPr>
    </w:p>
    <w:p w14:paraId="6EF22D0F" w14:textId="45C8687A" w:rsidR="00FD2EA3" w:rsidRDefault="00FD2EA3" w:rsidP="009E3730">
      <w:pPr>
        <w:widowControl w:val="0"/>
        <w:suppressAutoHyphens/>
      </w:pPr>
      <w:r>
        <w:t xml:space="preserve">The Review has determined that the Government is compliant with these General Conditions and, therefore, eligible both for receipt of the </w:t>
      </w:r>
      <w:r w:rsidR="00E75D1F">
        <w:t>Fourth Fixed Tranche</w:t>
      </w:r>
      <w:r>
        <w:t xml:space="preserve"> and for compliance with the Specific Conditions for the </w:t>
      </w:r>
      <w:r w:rsidR="00E75D1F">
        <w:t>Third</w:t>
      </w:r>
      <w:r>
        <w:t xml:space="preserve"> Variable Tranche to be considered.</w:t>
      </w:r>
    </w:p>
    <w:p w14:paraId="5BB79667" w14:textId="77777777" w:rsidR="00FD2EA3" w:rsidRDefault="00FD2EA3" w:rsidP="009E3730">
      <w:pPr>
        <w:widowControl w:val="0"/>
        <w:suppressAutoHyphens/>
      </w:pPr>
    </w:p>
    <w:p w14:paraId="2D11D44C" w14:textId="77777777" w:rsidR="00FD2EA3" w:rsidRDefault="00FD2EA3" w:rsidP="009E3730">
      <w:pPr>
        <w:pStyle w:val="Heading2"/>
        <w:widowControl w:val="0"/>
        <w:suppressAutoHyphens/>
      </w:pPr>
      <w:bookmarkStart w:id="23" w:name="_Toc456280453"/>
      <w:bookmarkStart w:id="24" w:name="_Toc486837753"/>
      <w:r>
        <w:t>a)</w:t>
      </w:r>
      <w:r>
        <w:tab/>
        <w:t>Employment and VET Policy</w:t>
      </w:r>
      <w:bookmarkEnd w:id="23"/>
      <w:bookmarkEnd w:id="24"/>
    </w:p>
    <w:p w14:paraId="200A2A26" w14:textId="77777777" w:rsidR="00FD2EA3" w:rsidRDefault="00FD2EA3" w:rsidP="009E3730">
      <w:pPr>
        <w:widowControl w:val="0"/>
        <w:suppressAutoHyphens/>
      </w:pPr>
    </w:p>
    <w:p w14:paraId="40FFB2AB" w14:textId="77777777" w:rsidR="00FD2EA3" w:rsidRPr="00F518F3" w:rsidRDefault="00FD2EA3" w:rsidP="009E3730">
      <w:pPr>
        <w:widowControl w:val="0"/>
        <w:suppressAutoHyphens/>
        <w:rPr>
          <w:b/>
          <w:bCs/>
          <w:iCs/>
        </w:rPr>
      </w:pPr>
      <w:r w:rsidRPr="00F278A9">
        <w:rPr>
          <w:b/>
          <w:u w:val="single"/>
        </w:rPr>
        <w:t>General Condition</w:t>
      </w:r>
      <w:r w:rsidRPr="00F278A9">
        <w:rPr>
          <w:u w:val="single"/>
        </w:rPr>
        <w:t xml:space="preserve"> </w:t>
      </w:r>
      <w:r w:rsidRPr="00F278A9">
        <w:rPr>
          <w:b/>
          <w:bCs/>
          <w:u w:val="single"/>
        </w:rPr>
        <w:t>1</w:t>
      </w:r>
      <w:r>
        <w:rPr>
          <w:b/>
          <w:bCs/>
        </w:rPr>
        <w:t xml:space="preserve">: </w:t>
      </w:r>
      <w:r>
        <w:rPr>
          <w:b/>
          <w:bCs/>
          <w:i/>
          <w:iCs/>
        </w:rPr>
        <w:t>Satisfactory progress in the review and implementation of relevant and credible medium-term Labour Market and VET reform strategies.</w:t>
      </w:r>
    </w:p>
    <w:p w14:paraId="2C76332C" w14:textId="77777777" w:rsidR="00FD2EA3" w:rsidRDefault="00FD2EA3" w:rsidP="009E3730">
      <w:pPr>
        <w:widowControl w:val="0"/>
        <w:suppressAutoHyphens/>
        <w:rPr>
          <w:b/>
          <w:bCs/>
          <w:iCs/>
        </w:rPr>
      </w:pPr>
    </w:p>
    <w:p w14:paraId="4D95EBC9" w14:textId="77777777" w:rsidR="00FD2EA3" w:rsidRDefault="00FD2EA3" w:rsidP="009E3730">
      <w:pPr>
        <w:widowControl w:val="0"/>
        <w:suppressAutoHyphens/>
        <w:rPr>
          <w:b/>
          <w:bCs/>
        </w:rPr>
      </w:pPr>
      <w:r w:rsidRPr="00721309">
        <w:rPr>
          <w:b/>
          <w:bCs/>
          <w:u w:val="single"/>
        </w:rPr>
        <w:t>Review Assessment</w:t>
      </w:r>
      <w:r>
        <w:rPr>
          <w:b/>
          <w:bCs/>
        </w:rPr>
        <w:t xml:space="preserve">: </w:t>
      </w:r>
      <w:r w:rsidRPr="00F278A9">
        <w:rPr>
          <w:b/>
          <w:bCs/>
          <w:u w:val="single"/>
        </w:rPr>
        <w:t>compliance</w:t>
      </w:r>
      <w:r>
        <w:rPr>
          <w:b/>
          <w:bCs/>
        </w:rPr>
        <w:t>.</w:t>
      </w:r>
    </w:p>
    <w:p w14:paraId="0B835ED5" w14:textId="77777777" w:rsidR="00FD2EA3" w:rsidRDefault="00FD2EA3" w:rsidP="009E3730">
      <w:pPr>
        <w:widowControl w:val="0"/>
        <w:suppressAutoHyphens/>
        <w:rPr>
          <w:b/>
          <w:bCs/>
          <w:iCs/>
        </w:rPr>
      </w:pPr>
    </w:p>
    <w:p w14:paraId="49D9B891" w14:textId="77777777" w:rsidR="00FD2EA3" w:rsidRDefault="00FD2EA3" w:rsidP="009E3730">
      <w:pPr>
        <w:pStyle w:val="Heading3"/>
        <w:widowControl w:val="0"/>
        <w:suppressAutoHyphens/>
      </w:pPr>
      <w:bookmarkStart w:id="25" w:name="_Toc456280454"/>
      <w:bookmarkStart w:id="26" w:name="_Toc486837754"/>
      <w:r>
        <w:t>i)</w:t>
      </w:r>
      <w:r>
        <w:tab/>
        <w:t>Labour Market/Employment Policy</w:t>
      </w:r>
      <w:bookmarkEnd w:id="25"/>
      <w:bookmarkEnd w:id="26"/>
    </w:p>
    <w:p w14:paraId="408A6C71" w14:textId="77777777" w:rsidR="00FD2EA3" w:rsidRDefault="00FD2EA3" w:rsidP="009E3730">
      <w:pPr>
        <w:widowControl w:val="0"/>
        <w:suppressAutoHyphens/>
        <w:rPr>
          <w:b/>
          <w:bCs/>
          <w:iCs/>
        </w:rPr>
      </w:pPr>
    </w:p>
    <w:p w14:paraId="196EF5C2" w14:textId="77777777" w:rsidR="00FD2EA3" w:rsidRDefault="00FD2EA3" w:rsidP="009E3730">
      <w:pPr>
        <w:widowControl w:val="0"/>
        <w:suppressAutoHyphens/>
        <w:rPr>
          <w:i/>
          <w:iCs/>
        </w:rPr>
      </w:pPr>
      <w:r w:rsidRPr="00F278A9">
        <w:rPr>
          <w:b/>
          <w:iCs/>
          <w:u w:val="single"/>
        </w:rPr>
        <w:t>Indicator 1</w:t>
      </w:r>
      <w:r w:rsidRPr="00F278A9">
        <w:rPr>
          <w:b/>
          <w:iCs/>
        </w:rPr>
        <w:t>:</w:t>
      </w:r>
      <w:r>
        <w:rPr>
          <w:i/>
          <w:iCs/>
        </w:rPr>
        <w:t xml:space="preserve"> </w:t>
      </w:r>
      <w:r>
        <w:rPr>
          <w:i/>
          <w:iCs/>
          <w:lang w:eastAsia="en-GB"/>
        </w:rPr>
        <w:t>The Ministry of Labour, Health and Social Affairs: monitors, updates, assesses and publishes on its web-site a relevant and credible medium-term Labour Market reform strategy together with the costed Action Plan, reflected in the Ministry’s annual budget proposal to be submitted to the Ministry of Finance, and subsequently as part of the Basic Data and Directions Document to the Government of Georgia and in the annual budget law to the Parliament.</w:t>
      </w:r>
    </w:p>
    <w:p w14:paraId="50D6CAA0" w14:textId="77777777" w:rsidR="00FD2EA3" w:rsidRDefault="00FD2EA3" w:rsidP="009E3730">
      <w:pPr>
        <w:widowControl w:val="0"/>
        <w:suppressAutoHyphens/>
      </w:pPr>
    </w:p>
    <w:p w14:paraId="5B2829F9" w14:textId="77777777" w:rsidR="00FD2EA3" w:rsidRDefault="00FD2EA3" w:rsidP="009E3730">
      <w:pPr>
        <w:widowControl w:val="0"/>
        <w:suppressAutoHyphens/>
        <w:rPr>
          <w:i/>
          <w:iCs/>
        </w:rPr>
      </w:pPr>
      <w:r>
        <w:rPr>
          <w:i/>
          <w:iCs/>
        </w:rPr>
        <w:t>Source of Verification:</w:t>
      </w:r>
    </w:p>
    <w:p w14:paraId="2EDF2B19" w14:textId="77777777" w:rsidR="00FD2EA3" w:rsidRDefault="00FD2EA3" w:rsidP="007C295F">
      <w:pPr>
        <w:widowControl w:val="0"/>
        <w:numPr>
          <w:ilvl w:val="0"/>
          <w:numId w:val="21"/>
        </w:numPr>
        <w:suppressAutoHyphens/>
        <w:rPr>
          <w:i/>
          <w:iCs/>
        </w:rPr>
      </w:pPr>
      <w:r>
        <w:rPr>
          <w:i/>
          <w:iCs/>
          <w:lang w:eastAsia="en-GB"/>
        </w:rPr>
        <w:t>MoLHSA Labour Market Strategy and Action Plan for 2014-2017;</w:t>
      </w:r>
    </w:p>
    <w:p w14:paraId="4285184D" w14:textId="77777777" w:rsidR="00FD2EA3" w:rsidRDefault="00FD2EA3" w:rsidP="007C295F">
      <w:pPr>
        <w:widowControl w:val="0"/>
        <w:numPr>
          <w:ilvl w:val="0"/>
          <w:numId w:val="21"/>
        </w:numPr>
        <w:suppressAutoHyphens/>
        <w:rPr>
          <w:i/>
          <w:iCs/>
        </w:rPr>
      </w:pPr>
      <w:r>
        <w:rPr>
          <w:i/>
          <w:iCs/>
          <w:lang w:eastAsia="en-GB"/>
        </w:rPr>
        <w:t>Government of Georgia/MoLHSA budget proposal;</w:t>
      </w:r>
    </w:p>
    <w:p w14:paraId="070220FC" w14:textId="77777777" w:rsidR="00FD2EA3" w:rsidRDefault="00FD2EA3" w:rsidP="007C295F">
      <w:pPr>
        <w:widowControl w:val="0"/>
        <w:numPr>
          <w:ilvl w:val="0"/>
          <w:numId w:val="21"/>
        </w:numPr>
        <w:suppressAutoHyphens/>
        <w:rPr>
          <w:i/>
          <w:iCs/>
        </w:rPr>
      </w:pPr>
      <w:r>
        <w:rPr>
          <w:i/>
          <w:iCs/>
          <w:lang w:eastAsia="en-GB"/>
        </w:rPr>
        <w:t>MoLHSA Annual Reports (2015, 2016, 2017 on implementation of the Labour Market Strategy Action Plan, including statistical data linked to the indicators included in the Action Plan;</w:t>
      </w:r>
    </w:p>
    <w:p w14:paraId="77B8234F" w14:textId="77777777" w:rsidR="00FD2EA3" w:rsidRDefault="00FD2EA3" w:rsidP="007C295F">
      <w:pPr>
        <w:widowControl w:val="0"/>
        <w:numPr>
          <w:ilvl w:val="0"/>
          <w:numId w:val="21"/>
        </w:numPr>
        <w:suppressAutoHyphens/>
        <w:rPr>
          <w:i/>
          <w:iCs/>
        </w:rPr>
      </w:pPr>
      <w:r>
        <w:rPr>
          <w:i/>
          <w:iCs/>
          <w:lang w:eastAsia="en-GB"/>
        </w:rPr>
        <w:t>MoLHSA website.</w:t>
      </w:r>
    </w:p>
    <w:p w14:paraId="6E2F7DA4" w14:textId="77777777" w:rsidR="00FD2EA3" w:rsidRDefault="00FD2EA3" w:rsidP="009E3730">
      <w:pPr>
        <w:widowControl w:val="0"/>
        <w:suppressAutoHyphens/>
      </w:pPr>
    </w:p>
    <w:p w14:paraId="2EF3E4CE" w14:textId="77777777" w:rsidR="00FD2EA3" w:rsidRDefault="00FD2EA3" w:rsidP="009E3730">
      <w:pPr>
        <w:widowControl w:val="0"/>
        <w:suppressAutoHyphens/>
        <w:rPr>
          <w:b/>
          <w:bCs/>
        </w:rPr>
      </w:pPr>
      <w:r w:rsidRPr="00721309">
        <w:rPr>
          <w:b/>
          <w:bCs/>
          <w:u w:val="single"/>
        </w:rPr>
        <w:t>Review Assessment</w:t>
      </w:r>
      <w:r>
        <w:rPr>
          <w:b/>
          <w:bCs/>
        </w:rPr>
        <w:t xml:space="preserve">: </w:t>
      </w:r>
      <w:r w:rsidRPr="00F278A9">
        <w:rPr>
          <w:b/>
          <w:bCs/>
          <w:u w:val="single"/>
        </w:rPr>
        <w:t>fulfilled</w:t>
      </w:r>
      <w:r>
        <w:rPr>
          <w:b/>
          <w:bCs/>
        </w:rPr>
        <w:t>.</w:t>
      </w:r>
    </w:p>
    <w:p w14:paraId="5D9D7FC9" w14:textId="77777777" w:rsidR="00FD2EA3" w:rsidRDefault="00FD2EA3" w:rsidP="009E3730">
      <w:pPr>
        <w:widowControl w:val="0"/>
        <w:suppressAutoHyphens/>
      </w:pPr>
    </w:p>
    <w:p w14:paraId="7E3C30C3" w14:textId="77777777" w:rsidR="00FD2EA3" w:rsidRPr="00C618F2" w:rsidRDefault="00FD2EA3" w:rsidP="009E3730">
      <w:pPr>
        <w:widowControl w:val="0"/>
        <w:suppressAutoHyphens/>
      </w:pPr>
      <w:r>
        <w:t>The "State Strategy for the Formation of the Georgian Labour Market", and its associated Action Plan for 2013-2014 was approved by Government Decree No.199 of August 2nd 2013, and subsequently amended and its coverage extended, together with an Action Plan for 2015-2018, by Government Decree No.732 of December 26th 2014</w:t>
      </w:r>
      <w:r>
        <w:rPr>
          <w:rStyle w:val="FootnoteReference"/>
        </w:rPr>
        <w:footnoteReference w:id="11"/>
      </w:r>
      <w:r>
        <w:t>. B</w:t>
      </w:r>
      <w:r w:rsidRPr="00C618F2">
        <w:t>oth the revised Strategy and Action Plan were published on the MoLHSA website.</w:t>
      </w:r>
    </w:p>
    <w:p w14:paraId="66279483" w14:textId="77777777" w:rsidR="00FD2EA3" w:rsidRDefault="00FD2EA3" w:rsidP="009E3730">
      <w:pPr>
        <w:widowControl w:val="0"/>
        <w:suppressAutoHyphens/>
      </w:pPr>
    </w:p>
    <w:p w14:paraId="1779402E" w14:textId="77777777" w:rsidR="00FD2EA3" w:rsidRDefault="00FD2EA3" w:rsidP="009E3730">
      <w:pPr>
        <w:widowControl w:val="0"/>
        <w:suppressAutoHyphens/>
      </w:pPr>
      <w:r>
        <w:t>The goals of the Strategy are defined as</w:t>
      </w:r>
    </w:p>
    <w:p w14:paraId="219FEF57" w14:textId="77777777" w:rsidR="00FD2EA3" w:rsidRDefault="00FD2EA3" w:rsidP="009E3730">
      <w:pPr>
        <w:widowControl w:val="0"/>
        <w:suppressAutoHyphens/>
      </w:pPr>
    </w:p>
    <w:p w14:paraId="0FADB327" w14:textId="77777777" w:rsidR="00FD2EA3" w:rsidRPr="00220C2B" w:rsidRDefault="00FD2EA3" w:rsidP="009E3730">
      <w:pPr>
        <w:widowControl w:val="0"/>
        <w:suppressAutoHyphens/>
        <w:adjustRightInd w:val="0"/>
        <w:ind w:left="340"/>
        <w:jc w:val="left"/>
        <w:rPr>
          <w:color w:val="000000"/>
          <w:lang w:eastAsia="en-GB"/>
        </w:rPr>
      </w:pPr>
      <w:r w:rsidRPr="00220C2B">
        <w:rPr>
          <w:color w:val="000000"/>
          <w:lang w:eastAsia="en-GB"/>
        </w:rPr>
        <w:t>a) Legal base improvement in the field of labo</w:t>
      </w:r>
      <w:r>
        <w:rPr>
          <w:color w:val="000000"/>
          <w:lang w:eastAsia="en-GB"/>
        </w:rPr>
        <w:t>u</w:t>
      </w:r>
      <w:r w:rsidRPr="00220C2B">
        <w:rPr>
          <w:color w:val="000000"/>
          <w:lang w:eastAsia="en-GB"/>
        </w:rPr>
        <w:t xml:space="preserve">r and employment; </w:t>
      </w:r>
    </w:p>
    <w:p w14:paraId="15BE8AC7" w14:textId="77777777" w:rsidR="00FD2EA3" w:rsidRPr="00220C2B" w:rsidRDefault="00FD2EA3" w:rsidP="009E3730">
      <w:pPr>
        <w:widowControl w:val="0"/>
        <w:suppressAutoHyphens/>
        <w:adjustRightInd w:val="0"/>
        <w:ind w:left="340"/>
        <w:jc w:val="left"/>
        <w:rPr>
          <w:color w:val="000000"/>
          <w:lang w:eastAsia="en-GB"/>
        </w:rPr>
      </w:pPr>
      <w:r w:rsidRPr="00220C2B">
        <w:rPr>
          <w:color w:val="000000"/>
          <w:lang w:eastAsia="en-GB"/>
        </w:rPr>
        <w:t xml:space="preserve">b) Support of effective employment; </w:t>
      </w:r>
    </w:p>
    <w:p w14:paraId="49DEC331" w14:textId="77777777" w:rsidR="00FD2EA3" w:rsidRPr="00220C2B" w:rsidRDefault="00FD2EA3" w:rsidP="009E3730">
      <w:pPr>
        <w:widowControl w:val="0"/>
        <w:suppressAutoHyphens/>
        <w:adjustRightInd w:val="0"/>
        <w:ind w:left="340"/>
        <w:jc w:val="left"/>
        <w:rPr>
          <w:color w:val="000000"/>
          <w:lang w:eastAsia="en-GB"/>
        </w:rPr>
      </w:pPr>
      <w:r w:rsidRPr="00220C2B">
        <w:rPr>
          <w:color w:val="000000"/>
          <w:lang w:eastAsia="en-GB"/>
        </w:rPr>
        <w:t>c) Ensure decent working conditions and labo</w:t>
      </w:r>
      <w:r>
        <w:rPr>
          <w:color w:val="000000"/>
          <w:lang w:eastAsia="en-GB"/>
        </w:rPr>
        <w:t>u</w:t>
      </w:r>
      <w:r w:rsidRPr="00220C2B">
        <w:rPr>
          <w:color w:val="000000"/>
          <w:lang w:eastAsia="en-GB"/>
        </w:rPr>
        <w:t xml:space="preserve">r rights </w:t>
      </w:r>
      <w:r>
        <w:rPr>
          <w:color w:val="000000"/>
          <w:lang w:eastAsia="en-GB"/>
        </w:rPr>
        <w:t xml:space="preserve">as </w:t>
      </w:r>
      <w:r w:rsidRPr="00220C2B">
        <w:rPr>
          <w:color w:val="000000"/>
          <w:lang w:eastAsia="en-GB"/>
        </w:rPr>
        <w:t xml:space="preserve">defined by law; </w:t>
      </w:r>
      <w:r>
        <w:rPr>
          <w:color w:val="000000"/>
          <w:lang w:eastAsia="en-GB"/>
        </w:rPr>
        <w:t xml:space="preserve">and </w:t>
      </w:r>
    </w:p>
    <w:p w14:paraId="01F312E9" w14:textId="77777777" w:rsidR="00FD2EA3" w:rsidRPr="00220C2B" w:rsidRDefault="00FD2EA3" w:rsidP="009E3730">
      <w:pPr>
        <w:widowControl w:val="0"/>
        <w:suppressAutoHyphens/>
        <w:ind w:left="340"/>
      </w:pPr>
      <w:r w:rsidRPr="00220C2B">
        <w:rPr>
          <w:color w:val="000000"/>
          <w:lang w:eastAsia="en-GB"/>
        </w:rPr>
        <w:t xml:space="preserve">d) Human capacity building. </w:t>
      </w:r>
    </w:p>
    <w:p w14:paraId="65291B88" w14:textId="77777777" w:rsidR="00FD2EA3" w:rsidRDefault="00FD2EA3" w:rsidP="009E3730">
      <w:pPr>
        <w:widowControl w:val="0"/>
        <w:suppressAutoHyphens/>
      </w:pPr>
    </w:p>
    <w:p w14:paraId="751214A9" w14:textId="77777777" w:rsidR="00FD2EA3" w:rsidRDefault="00FD2EA3" w:rsidP="009E3730">
      <w:pPr>
        <w:widowControl w:val="0"/>
        <w:suppressAutoHyphens/>
      </w:pPr>
      <w:r>
        <w:t>The priorities defined by the Strategy, reflected in the grouping of activities in the Action Plan, are</w:t>
      </w:r>
    </w:p>
    <w:p w14:paraId="51AF8996" w14:textId="77777777" w:rsidR="00FD2EA3" w:rsidRDefault="00FD2EA3" w:rsidP="009E3730">
      <w:pPr>
        <w:widowControl w:val="0"/>
        <w:suppressAutoHyphens/>
      </w:pPr>
    </w:p>
    <w:p w14:paraId="563E1270" w14:textId="77777777" w:rsidR="00FD2EA3" w:rsidRDefault="00FD2EA3" w:rsidP="007C295F">
      <w:pPr>
        <w:widowControl w:val="0"/>
        <w:numPr>
          <w:ilvl w:val="0"/>
          <w:numId w:val="27"/>
        </w:numPr>
        <w:suppressAutoHyphens/>
        <w:autoSpaceDE w:val="0"/>
        <w:autoSpaceDN w:val="0"/>
      </w:pPr>
      <w:r>
        <w:t>drafting/revising the legal base;</w:t>
      </w:r>
    </w:p>
    <w:p w14:paraId="26562F73" w14:textId="77777777" w:rsidR="00FD2EA3" w:rsidRDefault="00FD2EA3" w:rsidP="007C295F">
      <w:pPr>
        <w:widowControl w:val="0"/>
        <w:numPr>
          <w:ilvl w:val="0"/>
          <w:numId w:val="27"/>
        </w:numPr>
        <w:suppressAutoHyphens/>
        <w:autoSpaceDE w:val="0"/>
        <w:autoSpaceDN w:val="0"/>
      </w:pPr>
      <w:r>
        <w:t>implementation of international labour safety standards;</w:t>
      </w:r>
    </w:p>
    <w:p w14:paraId="536723AC" w14:textId="77777777" w:rsidR="00FD2EA3" w:rsidRDefault="00FD2EA3" w:rsidP="007C295F">
      <w:pPr>
        <w:widowControl w:val="0"/>
        <w:numPr>
          <w:ilvl w:val="0"/>
          <w:numId w:val="27"/>
        </w:numPr>
        <w:suppressAutoHyphens/>
        <w:autoSpaceDE w:val="0"/>
        <w:autoSpaceDN w:val="0"/>
      </w:pPr>
      <w:r>
        <w:t>development of employment services, supporting the employment of jobseekers;</w:t>
      </w:r>
    </w:p>
    <w:p w14:paraId="36D04F9B" w14:textId="77777777" w:rsidR="00FD2EA3" w:rsidRDefault="00FD2EA3" w:rsidP="007C295F">
      <w:pPr>
        <w:widowControl w:val="0"/>
        <w:numPr>
          <w:ilvl w:val="0"/>
          <w:numId w:val="27"/>
        </w:numPr>
        <w:suppressAutoHyphens/>
        <w:autoSpaceDE w:val="0"/>
        <w:autoSpaceDN w:val="0"/>
      </w:pPr>
      <w:r>
        <w:t>institutionalisation of labour market research and development/improvement of the information base;</w:t>
      </w:r>
    </w:p>
    <w:p w14:paraId="708ACA24" w14:textId="77777777" w:rsidR="00FD2EA3" w:rsidRDefault="00FD2EA3" w:rsidP="007C295F">
      <w:pPr>
        <w:widowControl w:val="0"/>
        <w:numPr>
          <w:ilvl w:val="0"/>
          <w:numId w:val="27"/>
        </w:numPr>
        <w:suppressAutoHyphens/>
        <w:autoSpaceDE w:val="0"/>
        <w:autoSpaceDN w:val="0"/>
      </w:pPr>
      <w:r>
        <w:t>supporting labour market needs-orientated professional training system development;</w:t>
      </w:r>
    </w:p>
    <w:p w14:paraId="1779C94E" w14:textId="77777777" w:rsidR="00FD2EA3" w:rsidRDefault="00FD2EA3" w:rsidP="007C295F">
      <w:pPr>
        <w:widowControl w:val="0"/>
        <w:numPr>
          <w:ilvl w:val="0"/>
          <w:numId w:val="27"/>
        </w:numPr>
        <w:suppressAutoHyphens/>
        <w:autoSpaceDE w:val="0"/>
        <w:autoSpaceDN w:val="0"/>
      </w:pPr>
      <w:r>
        <w:t>adjustment and management of labour migration;</w:t>
      </w:r>
    </w:p>
    <w:p w14:paraId="362C837D" w14:textId="77777777" w:rsidR="00FD2EA3" w:rsidRDefault="00FD2EA3" w:rsidP="007C295F">
      <w:pPr>
        <w:widowControl w:val="0"/>
        <w:numPr>
          <w:ilvl w:val="0"/>
          <w:numId w:val="27"/>
        </w:numPr>
        <w:suppressAutoHyphens/>
        <w:autoSpaceDE w:val="0"/>
        <w:autoSpaceDN w:val="0"/>
      </w:pPr>
      <w:r>
        <w:t>enhancing social partnership institutionalisation; and</w:t>
      </w:r>
    </w:p>
    <w:p w14:paraId="64BD1731" w14:textId="77777777" w:rsidR="00FD2EA3" w:rsidRDefault="00FD2EA3" w:rsidP="007C295F">
      <w:pPr>
        <w:widowControl w:val="0"/>
        <w:numPr>
          <w:ilvl w:val="0"/>
          <w:numId w:val="27"/>
        </w:numPr>
        <w:suppressAutoHyphens/>
        <w:autoSpaceDE w:val="0"/>
        <w:autoSpaceDN w:val="0"/>
      </w:pPr>
      <w:r>
        <w:t>enhancing communication and awareness-raising;</w:t>
      </w:r>
    </w:p>
    <w:p w14:paraId="452FA943" w14:textId="77777777" w:rsidR="00FD2EA3" w:rsidRDefault="00FD2EA3" w:rsidP="009E3730">
      <w:pPr>
        <w:widowControl w:val="0"/>
        <w:suppressAutoHyphens/>
      </w:pPr>
    </w:p>
    <w:p w14:paraId="507D4FD9" w14:textId="77777777" w:rsidR="00FD2EA3" w:rsidRDefault="00FD2EA3" w:rsidP="009E3730">
      <w:pPr>
        <w:widowControl w:val="0"/>
        <w:suppressAutoHyphens/>
      </w:pPr>
      <w:r>
        <w:t xml:space="preserve">The Action Plan specifies 45 different actions to be completed over four years, and indicates which years particularly actions will be extended over, and therefore by implication the year in which they will be completed (rather than the separate element of each activity that will be completed each year), with estimated implementation costs for each year for each activity. </w:t>
      </w:r>
    </w:p>
    <w:p w14:paraId="726D0FDF" w14:textId="77777777" w:rsidR="00FD2EA3" w:rsidRDefault="00FD2EA3" w:rsidP="009E3730">
      <w:pPr>
        <w:widowControl w:val="0"/>
        <w:suppressAutoHyphens/>
      </w:pPr>
    </w:p>
    <w:p w14:paraId="5D06C842" w14:textId="7979F4EA" w:rsidR="00FD2EA3" w:rsidRDefault="00FD2EA3" w:rsidP="009E3730">
      <w:pPr>
        <w:widowControl w:val="0"/>
        <w:suppressAutoHyphens/>
      </w:pPr>
      <w:r w:rsidRPr="00E01D2B">
        <w:t>Approval of the 2015-2018 Action Plan at the end of December mean</w:t>
      </w:r>
      <w:r w:rsidR="005715F3">
        <w:t>t</w:t>
      </w:r>
      <w:r w:rsidRPr="00E01D2B">
        <w:t xml:space="preserve"> that it could not be reflected as such in the BDD for FY2015-2018 and Budget for FY2015, adopted by Parliament in December 2014. Nonetheless, it is clear that elements of the Action Plan were already among the strategic priorities that were included in the BDD, and indeed the overall cost of GEL4mn was mirrored in the adopted FY2015 budget. For 2016, an extract from the Budget Law, approved December 2015 show</w:t>
      </w:r>
      <w:r w:rsidR="005715F3">
        <w:t>ed</w:t>
      </w:r>
      <w:r w:rsidRPr="00E01D2B">
        <w:t xml:space="preserve"> just over GEL4mn allocated for the 'Programme of Reforms of the Labour and Employment System' (35-07) in 2016, and a forecast allocation of GEL4.5mn for each of 2017, 2018, and 2019</w:t>
      </w:r>
      <w:r w:rsidR="003024F1">
        <w:t xml:space="preserve">, </w:t>
      </w:r>
      <w:r w:rsidR="001A029D">
        <w:t>broadly</w:t>
      </w:r>
      <w:r w:rsidR="003024F1">
        <w:t xml:space="preserve"> reflecting the costing in the Action Plan</w:t>
      </w:r>
      <w:r w:rsidR="001A029D">
        <w:t xml:space="preserve"> (GEL4.0mn for 2015 and GEL4.5mn for each of 2016 through 2018), but recognizing underspending due to implementation delays in 2015 (see below)</w:t>
      </w:r>
      <w:r w:rsidRPr="00E01D2B">
        <w:t>.</w:t>
      </w:r>
    </w:p>
    <w:p w14:paraId="06EAE8E5" w14:textId="77777777" w:rsidR="005715F3" w:rsidRDefault="005715F3" w:rsidP="009E3730">
      <w:pPr>
        <w:widowControl w:val="0"/>
        <w:suppressAutoHyphens/>
      </w:pPr>
    </w:p>
    <w:p w14:paraId="7CF556EE" w14:textId="3FF17C5E" w:rsidR="005715F3" w:rsidRDefault="005715F3" w:rsidP="009E3730">
      <w:pPr>
        <w:widowControl w:val="0"/>
        <w:suppressAutoHyphens/>
      </w:pPr>
      <w:r>
        <w:t xml:space="preserve">Performance in terms of budgetary expenditure has, however, differed markedly from these budget allocations, as shown in Table </w:t>
      </w:r>
      <w:r w:rsidR="00E55184">
        <w:t>2</w:t>
      </w:r>
      <w:r>
        <w:t>.</w:t>
      </w:r>
      <w:r w:rsidR="00886316">
        <w:t xml:space="preserve"> In both 2015 and 2016, the budget allocation for the Labour and Employment System Reform Programme</w:t>
      </w:r>
      <w:r w:rsidR="00BB3122">
        <w:t xml:space="preserve"> for reduced substantially in amended budgets during the year.</w:t>
      </w:r>
    </w:p>
    <w:p w14:paraId="6B14DC13" w14:textId="77777777" w:rsidR="005715F3" w:rsidRDefault="005715F3" w:rsidP="009E3730">
      <w:pPr>
        <w:widowControl w:val="0"/>
        <w:suppressAutoHyphens/>
      </w:pPr>
    </w:p>
    <w:p w14:paraId="63A81EAA" w14:textId="59A8D96C" w:rsidR="005715F3" w:rsidRPr="005715F3" w:rsidRDefault="005715F3" w:rsidP="005715F3">
      <w:pPr>
        <w:widowControl w:val="0"/>
        <w:suppressAutoHyphens/>
        <w:jc w:val="center"/>
        <w:rPr>
          <w:b/>
        </w:rPr>
      </w:pPr>
      <w:r w:rsidRPr="005715F3">
        <w:rPr>
          <w:b/>
        </w:rPr>
        <w:t xml:space="preserve">Table </w:t>
      </w:r>
      <w:r w:rsidR="00E55184">
        <w:rPr>
          <w:b/>
        </w:rPr>
        <w:t>2</w:t>
      </w:r>
      <w:r w:rsidRPr="005715F3">
        <w:rPr>
          <w:b/>
        </w:rPr>
        <w:t>: Budget and Spending for Labour Market Reform Programme</w:t>
      </w:r>
    </w:p>
    <w:p w14:paraId="683D7BB1" w14:textId="77777777" w:rsidR="00FD2EA3" w:rsidRDefault="00FD2EA3" w:rsidP="009E3730">
      <w:pPr>
        <w:widowControl w:val="0"/>
        <w:suppressAutoHyphens/>
      </w:pPr>
    </w:p>
    <w:tbl>
      <w:tblPr>
        <w:tblStyle w:val="TableGrid"/>
        <w:tblW w:w="0" w:type="auto"/>
        <w:tblLayout w:type="fixed"/>
        <w:tblLook w:val="04A0" w:firstRow="1" w:lastRow="0" w:firstColumn="1" w:lastColumn="0" w:noHBand="0" w:noVBand="1"/>
      </w:tblPr>
      <w:tblGrid>
        <w:gridCol w:w="1101"/>
        <w:gridCol w:w="2976"/>
        <w:gridCol w:w="1134"/>
        <w:gridCol w:w="1134"/>
        <w:gridCol w:w="993"/>
        <w:gridCol w:w="992"/>
        <w:gridCol w:w="973"/>
      </w:tblGrid>
      <w:tr w:rsidR="00965FD0" w:rsidRPr="00965FD0" w14:paraId="19DBBA5F" w14:textId="77777777" w:rsidTr="00F56006">
        <w:tc>
          <w:tcPr>
            <w:tcW w:w="1101" w:type="dxa"/>
            <w:vAlign w:val="center"/>
          </w:tcPr>
          <w:p w14:paraId="60A47100" w14:textId="4C187266" w:rsidR="00965FD0" w:rsidRPr="00965FD0" w:rsidRDefault="00965FD0" w:rsidP="00965FD0">
            <w:pPr>
              <w:widowControl w:val="0"/>
              <w:suppressAutoHyphens/>
              <w:jc w:val="center"/>
              <w:rPr>
                <w:rFonts w:ascii="Arial" w:hAnsi="Arial" w:cs="Arial"/>
                <w:b/>
              </w:rPr>
            </w:pPr>
            <w:r w:rsidRPr="00965FD0">
              <w:rPr>
                <w:rFonts w:ascii="Arial" w:hAnsi="Arial" w:cs="Arial"/>
                <w:b/>
              </w:rPr>
              <w:t>Budget Code</w:t>
            </w:r>
          </w:p>
        </w:tc>
        <w:tc>
          <w:tcPr>
            <w:tcW w:w="2976" w:type="dxa"/>
            <w:vAlign w:val="center"/>
          </w:tcPr>
          <w:p w14:paraId="1F8FF9B9" w14:textId="60E99522" w:rsidR="00965FD0" w:rsidRPr="00965FD0" w:rsidRDefault="00965FD0" w:rsidP="00965FD0">
            <w:pPr>
              <w:widowControl w:val="0"/>
              <w:suppressAutoHyphens/>
              <w:jc w:val="center"/>
              <w:rPr>
                <w:rFonts w:ascii="Arial" w:hAnsi="Arial" w:cs="Arial"/>
                <w:b/>
              </w:rPr>
            </w:pPr>
            <w:r w:rsidRPr="00965FD0">
              <w:rPr>
                <w:rFonts w:ascii="Arial" w:hAnsi="Arial" w:cs="Arial"/>
                <w:b/>
              </w:rPr>
              <w:t>Programme</w:t>
            </w:r>
          </w:p>
        </w:tc>
        <w:tc>
          <w:tcPr>
            <w:tcW w:w="1134" w:type="dxa"/>
            <w:vAlign w:val="center"/>
          </w:tcPr>
          <w:p w14:paraId="716BF72F" w14:textId="7C0B30A2" w:rsidR="00965FD0" w:rsidRPr="00965FD0" w:rsidRDefault="00965FD0" w:rsidP="00965FD0">
            <w:pPr>
              <w:widowControl w:val="0"/>
              <w:suppressAutoHyphens/>
              <w:jc w:val="center"/>
              <w:rPr>
                <w:rFonts w:ascii="Arial" w:hAnsi="Arial" w:cs="Arial"/>
                <w:b/>
              </w:rPr>
            </w:pPr>
            <w:r w:rsidRPr="00965FD0">
              <w:rPr>
                <w:rFonts w:ascii="Arial" w:hAnsi="Arial" w:cs="Arial"/>
                <w:b/>
              </w:rPr>
              <w:t>Adopted Budget</w:t>
            </w:r>
          </w:p>
        </w:tc>
        <w:tc>
          <w:tcPr>
            <w:tcW w:w="1134" w:type="dxa"/>
            <w:vAlign w:val="center"/>
          </w:tcPr>
          <w:p w14:paraId="55F6C321" w14:textId="5455BDA6" w:rsidR="00965FD0" w:rsidRPr="00965FD0" w:rsidRDefault="00965FD0" w:rsidP="00965FD0">
            <w:pPr>
              <w:widowControl w:val="0"/>
              <w:suppressAutoHyphens/>
              <w:jc w:val="center"/>
              <w:rPr>
                <w:rFonts w:ascii="Arial" w:hAnsi="Arial" w:cs="Arial"/>
                <w:b/>
              </w:rPr>
            </w:pPr>
            <w:r w:rsidRPr="00965FD0">
              <w:rPr>
                <w:rFonts w:ascii="Arial" w:hAnsi="Arial" w:cs="Arial"/>
                <w:b/>
              </w:rPr>
              <w:t>Amended Budget</w:t>
            </w:r>
          </w:p>
        </w:tc>
        <w:tc>
          <w:tcPr>
            <w:tcW w:w="2958" w:type="dxa"/>
            <w:gridSpan w:val="3"/>
            <w:vAlign w:val="center"/>
          </w:tcPr>
          <w:p w14:paraId="732CD45C" w14:textId="67054387" w:rsidR="00965FD0" w:rsidRPr="00965FD0" w:rsidRDefault="00965FD0" w:rsidP="00965FD0">
            <w:pPr>
              <w:widowControl w:val="0"/>
              <w:suppressAutoHyphens/>
              <w:jc w:val="center"/>
              <w:rPr>
                <w:rFonts w:ascii="Arial" w:hAnsi="Arial" w:cs="Arial"/>
                <w:b/>
              </w:rPr>
            </w:pPr>
            <w:r w:rsidRPr="00965FD0">
              <w:rPr>
                <w:rFonts w:ascii="Arial" w:hAnsi="Arial" w:cs="Arial"/>
                <w:b/>
              </w:rPr>
              <w:t>Execution</w:t>
            </w:r>
          </w:p>
        </w:tc>
      </w:tr>
      <w:tr w:rsidR="00965FD0" w:rsidRPr="00965FD0" w14:paraId="11204349" w14:textId="77777777" w:rsidTr="00965FD0">
        <w:tc>
          <w:tcPr>
            <w:tcW w:w="1101" w:type="dxa"/>
            <w:vAlign w:val="center"/>
          </w:tcPr>
          <w:p w14:paraId="4A92DB6D" w14:textId="77777777" w:rsidR="001B6D04" w:rsidRPr="00965FD0" w:rsidRDefault="001B6D04" w:rsidP="00965FD0">
            <w:pPr>
              <w:widowControl w:val="0"/>
              <w:suppressAutoHyphens/>
              <w:rPr>
                <w:rFonts w:ascii="Arial" w:hAnsi="Arial" w:cs="Arial"/>
                <w:sz w:val="18"/>
                <w:szCs w:val="18"/>
              </w:rPr>
            </w:pPr>
          </w:p>
        </w:tc>
        <w:tc>
          <w:tcPr>
            <w:tcW w:w="2976" w:type="dxa"/>
            <w:vAlign w:val="center"/>
          </w:tcPr>
          <w:p w14:paraId="7EF8D330" w14:textId="77777777" w:rsidR="001B6D04" w:rsidRPr="00965FD0" w:rsidRDefault="001B6D04" w:rsidP="00965FD0">
            <w:pPr>
              <w:widowControl w:val="0"/>
              <w:suppressAutoHyphens/>
              <w:rPr>
                <w:rFonts w:ascii="Arial" w:hAnsi="Arial" w:cs="Arial"/>
                <w:sz w:val="18"/>
                <w:szCs w:val="18"/>
              </w:rPr>
            </w:pPr>
          </w:p>
        </w:tc>
        <w:tc>
          <w:tcPr>
            <w:tcW w:w="1134" w:type="dxa"/>
            <w:vAlign w:val="center"/>
          </w:tcPr>
          <w:p w14:paraId="2ACADC8A" w14:textId="1DC204F7" w:rsidR="001B6D04" w:rsidRPr="00965FD0" w:rsidRDefault="001B6D04" w:rsidP="00965FD0">
            <w:pPr>
              <w:widowControl w:val="0"/>
              <w:suppressAutoHyphens/>
              <w:jc w:val="center"/>
              <w:rPr>
                <w:rFonts w:ascii="Arial" w:hAnsi="Arial" w:cs="Arial"/>
                <w:sz w:val="18"/>
                <w:szCs w:val="18"/>
              </w:rPr>
            </w:pPr>
            <w:r w:rsidRPr="00965FD0">
              <w:rPr>
                <w:rFonts w:ascii="Arial" w:hAnsi="Arial" w:cs="Arial"/>
                <w:sz w:val="18"/>
                <w:szCs w:val="18"/>
              </w:rPr>
              <w:t>GEL '000</w:t>
            </w:r>
          </w:p>
        </w:tc>
        <w:tc>
          <w:tcPr>
            <w:tcW w:w="1134" w:type="dxa"/>
            <w:vAlign w:val="center"/>
          </w:tcPr>
          <w:p w14:paraId="437B569A" w14:textId="7346E58B" w:rsidR="001B6D04" w:rsidRPr="00965FD0" w:rsidRDefault="001B6D04" w:rsidP="00965FD0">
            <w:pPr>
              <w:widowControl w:val="0"/>
              <w:suppressAutoHyphens/>
              <w:jc w:val="center"/>
              <w:rPr>
                <w:rFonts w:ascii="Arial" w:hAnsi="Arial" w:cs="Arial"/>
                <w:sz w:val="18"/>
                <w:szCs w:val="18"/>
              </w:rPr>
            </w:pPr>
            <w:r w:rsidRPr="00965FD0">
              <w:rPr>
                <w:rFonts w:ascii="Arial" w:hAnsi="Arial" w:cs="Arial"/>
                <w:sz w:val="18"/>
                <w:szCs w:val="18"/>
              </w:rPr>
              <w:t>GEL '000</w:t>
            </w:r>
          </w:p>
        </w:tc>
        <w:tc>
          <w:tcPr>
            <w:tcW w:w="993" w:type="dxa"/>
            <w:vAlign w:val="center"/>
          </w:tcPr>
          <w:p w14:paraId="6DB61BD2" w14:textId="01E1058D" w:rsidR="001B6D04" w:rsidRPr="00965FD0" w:rsidRDefault="001B6D04" w:rsidP="00965FD0">
            <w:pPr>
              <w:widowControl w:val="0"/>
              <w:suppressAutoHyphens/>
              <w:jc w:val="center"/>
              <w:rPr>
                <w:rFonts w:ascii="Arial" w:hAnsi="Arial" w:cs="Arial"/>
                <w:sz w:val="18"/>
                <w:szCs w:val="18"/>
              </w:rPr>
            </w:pPr>
            <w:r w:rsidRPr="00965FD0">
              <w:rPr>
                <w:rFonts w:ascii="Arial" w:hAnsi="Arial" w:cs="Arial"/>
                <w:sz w:val="18"/>
                <w:szCs w:val="18"/>
              </w:rPr>
              <w:t>GEL '000</w:t>
            </w:r>
          </w:p>
        </w:tc>
        <w:tc>
          <w:tcPr>
            <w:tcW w:w="992" w:type="dxa"/>
            <w:vAlign w:val="center"/>
          </w:tcPr>
          <w:p w14:paraId="7E564B3C" w14:textId="2A3D1096" w:rsidR="001B6D04" w:rsidRPr="00965FD0" w:rsidRDefault="001B6D04" w:rsidP="00965FD0">
            <w:pPr>
              <w:widowControl w:val="0"/>
              <w:suppressAutoHyphens/>
              <w:jc w:val="center"/>
              <w:rPr>
                <w:rFonts w:ascii="Arial" w:hAnsi="Arial" w:cs="Arial"/>
                <w:sz w:val="18"/>
                <w:szCs w:val="18"/>
              </w:rPr>
            </w:pPr>
            <w:r w:rsidRPr="00965FD0">
              <w:rPr>
                <w:rFonts w:ascii="Arial" w:hAnsi="Arial" w:cs="Arial"/>
                <w:sz w:val="18"/>
                <w:szCs w:val="18"/>
              </w:rPr>
              <w:t>% adopted</w:t>
            </w:r>
          </w:p>
        </w:tc>
        <w:tc>
          <w:tcPr>
            <w:tcW w:w="973" w:type="dxa"/>
            <w:vAlign w:val="center"/>
          </w:tcPr>
          <w:p w14:paraId="4F91380E" w14:textId="03B2149A" w:rsidR="001B6D04" w:rsidRPr="00965FD0" w:rsidRDefault="001B6D04" w:rsidP="00965FD0">
            <w:pPr>
              <w:widowControl w:val="0"/>
              <w:suppressAutoHyphens/>
              <w:jc w:val="center"/>
              <w:rPr>
                <w:rFonts w:ascii="Arial" w:hAnsi="Arial" w:cs="Arial"/>
                <w:sz w:val="18"/>
                <w:szCs w:val="18"/>
              </w:rPr>
            </w:pPr>
            <w:r w:rsidRPr="00965FD0">
              <w:rPr>
                <w:rFonts w:ascii="Arial" w:hAnsi="Arial" w:cs="Arial"/>
                <w:sz w:val="18"/>
                <w:szCs w:val="18"/>
              </w:rPr>
              <w:t>% amended</w:t>
            </w:r>
          </w:p>
        </w:tc>
      </w:tr>
      <w:tr w:rsidR="00965FD0" w:rsidRPr="00965FD0" w14:paraId="0E236403" w14:textId="77777777" w:rsidTr="00965FD0">
        <w:tc>
          <w:tcPr>
            <w:tcW w:w="1101" w:type="dxa"/>
            <w:vAlign w:val="center"/>
          </w:tcPr>
          <w:p w14:paraId="1D898609" w14:textId="7A5C904A" w:rsidR="005715F3" w:rsidRPr="00965FD0" w:rsidRDefault="005715F3" w:rsidP="00965FD0">
            <w:pPr>
              <w:widowControl w:val="0"/>
              <w:suppressAutoHyphens/>
              <w:rPr>
                <w:rFonts w:ascii="Arial" w:hAnsi="Arial" w:cs="Arial"/>
                <w:b/>
              </w:rPr>
            </w:pPr>
            <w:r w:rsidRPr="00965FD0">
              <w:rPr>
                <w:rFonts w:ascii="Arial" w:hAnsi="Arial" w:cs="Arial"/>
                <w:b/>
              </w:rPr>
              <w:t>2015</w:t>
            </w:r>
          </w:p>
        </w:tc>
        <w:tc>
          <w:tcPr>
            <w:tcW w:w="2976" w:type="dxa"/>
            <w:vAlign w:val="center"/>
          </w:tcPr>
          <w:p w14:paraId="3FE7D199" w14:textId="77777777" w:rsidR="005715F3" w:rsidRPr="00965FD0" w:rsidRDefault="005715F3" w:rsidP="00965FD0">
            <w:pPr>
              <w:widowControl w:val="0"/>
              <w:suppressAutoHyphens/>
              <w:rPr>
                <w:rFonts w:ascii="Arial" w:hAnsi="Arial" w:cs="Arial"/>
                <w:b/>
              </w:rPr>
            </w:pPr>
          </w:p>
        </w:tc>
        <w:tc>
          <w:tcPr>
            <w:tcW w:w="1134" w:type="dxa"/>
            <w:vAlign w:val="center"/>
          </w:tcPr>
          <w:p w14:paraId="3B60BB9D" w14:textId="77777777" w:rsidR="005715F3" w:rsidRPr="00965FD0" w:rsidRDefault="005715F3" w:rsidP="00965FD0">
            <w:pPr>
              <w:widowControl w:val="0"/>
              <w:suppressAutoHyphens/>
              <w:jc w:val="center"/>
              <w:rPr>
                <w:rFonts w:ascii="Arial" w:hAnsi="Arial" w:cs="Arial"/>
                <w:b/>
              </w:rPr>
            </w:pPr>
          </w:p>
        </w:tc>
        <w:tc>
          <w:tcPr>
            <w:tcW w:w="1134" w:type="dxa"/>
            <w:vAlign w:val="center"/>
          </w:tcPr>
          <w:p w14:paraId="090A587F" w14:textId="77777777" w:rsidR="005715F3" w:rsidRPr="00965FD0" w:rsidRDefault="005715F3" w:rsidP="00965FD0">
            <w:pPr>
              <w:widowControl w:val="0"/>
              <w:suppressAutoHyphens/>
              <w:jc w:val="center"/>
              <w:rPr>
                <w:rFonts w:ascii="Arial" w:hAnsi="Arial" w:cs="Arial"/>
                <w:b/>
              </w:rPr>
            </w:pPr>
          </w:p>
        </w:tc>
        <w:tc>
          <w:tcPr>
            <w:tcW w:w="993" w:type="dxa"/>
            <w:vAlign w:val="center"/>
          </w:tcPr>
          <w:p w14:paraId="6CF1A72C" w14:textId="77777777" w:rsidR="005715F3" w:rsidRPr="00965FD0" w:rsidRDefault="005715F3" w:rsidP="00965FD0">
            <w:pPr>
              <w:widowControl w:val="0"/>
              <w:suppressAutoHyphens/>
              <w:jc w:val="center"/>
              <w:rPr>
                <w:rFonts w:ascii="Arial" w:hAnsi="Arial" w:cs="Arial"/>
                <w:b/>
              </w:rPr>
            </w:pPr>
          </w:p>
        </w:tc>
        <w:tc>
          <w:tcPr>
            <w:tcW w:w="992" w:type="dxa"/>
            <w:vAlign w:val="center"/>
          </w:tcPr>
          <w:p w14:paraId="0DA7352E" w14:textId="77777777" w:rsidR="005715F3" w:rsidRPr="00965FD0" w:rsidRDefault="005715F3" w:rsidP="00965FD0">
            <w:pPr>
              <w:widowControl w:val="0"/>
              <w:suppressAutoHyphens/>
              <w:jc w:val="center"/>
              <w:rPr>
                <w:rFonts w:ascii="Arial" w:hAnsi="Arial" w:cs="Arial"/>
                <w:b/>
              </w:rPr>
            </w:pPr>
          </w:p>
        </w:tc>
        <w:tc>
          <w:tcPr>
            <w:tcW w:w="973" w:type="dxa"/>
            <w:vAlign w:val="center"/>
          </w:tcPr>
          <w:p w14:paraId="62AFD24B" w14:textId="77777777" w:rsidR="005715F3" w:rsidRPr="00965FD0" w:rsidRDefault="005715F3" w:rsidP="00965FD0">
            <w:pPr>
              <w:widowControl w:val="0"/>
              <w:suppressAutoHyphens/>
              <w:jc w:val="center"/>
              <w:rPr>
                <w:rFonts w:ascii="Arial" w:hAnsi="Arial" w:cs="Arial"/>
                <w:b/>
              </w:rPr>
            </w:pPr>
          </w:p>
        </w:tc>
      </w:tr>
      <w:tr w:rsidR="00965FD0" w:rsidRPr="00965FD0" w14:paraId="4D026560" w14:textId="77777777" w:rsidTr="00965FD0">
        <w:tc>
          <w:tcPr>
            <w:tcW w:w="1101" w:type="dxa"/>
            <w:vAlign w:val="center"/>
          </w:tcPr>
          <w:p w14:paraId="7EC0759E" w14:textId="61CCFDB5" w:rsidR="005715F3" w:rsidRPr="00965FD0" w:rsidRDefault="001B6D04" w:rsidP="00965FD0">
            <w:pPr>
              <w:widowControl w:val="0"/>
              <w:suppressAutoHyphens/>
              <w:rPr>
                <w:rFonts w:ascii="Arial" w:hAnsi="Arial" w:cs="Arial"/>
              </w:rPr>
            </w:pPr>
            <w:r w:rsidRPr="00965FD0">
              <w:rPr>
                <w:rFonts w:ascii="Arial" w:hAnsi="Arial" w:cs="Arial"/>
              </w:rPr>
              <w:t>35.05</w:t>
            </w:r>
          </w:p>
        </w:tc>
        <w:tc>
          <w:tcPr>
            <w:tcW w:w="2976" w:type="dxa"/>
            <w:vAlign w:val="center"/>
          </w:tcPr>
          <w:p w14:paraId="386D26E2" w14:textId="102DF793" w:rsidR="005715F3" w:rsidRPr="00965FD0" w:rsidRDefault="001B6D04" w:rsidP="00965FD0">
            <w:pPr>
              <w:widowControl w:val="0"/>
              <w:suppressAutoHyphens/>
              <w:rPr>
                <w:rFonts w:ascii="Arial" w:hAnsi="Arial" w:cs="Arial"/>
              </w:rPr>
            </w:pPr>
            <w:r w:rsidRPr="00965FD0">
              <w:rPr>
                <w:rFonts w:ascii="Arial" w:hAnsi="Arial" w:cs="Arial"/>
              </w:rPr>
              <w:t>Labour and Employment System Reform Programme</w:t>
            </w:r>
          </w:p>
        </w:tc>
        <w:tc>
          <w:tcPr>
            <w:tcW w:w="1134" w:type="dxa"/>
            <w:vAlign w:val="center"/>
          </w:tcPr>
          <w:p w14:paraId="4E7988F0" w14:textId="5EFC80B2" w:rsidR="005715F3" w:rsidRPr="00965FD0" w:rsidRDefault="001B6D04" w:rsidP="00965FD0">
            <w:pPr>
              <w:widowControl w:val="0"/>
              <w:suppressAutoHyphens/>
              <w:jc w:val="center"/>
              <w:rPr>
                <w:rFonts w:ascii="Arial" w:hAnsi="Arial" w:cs="Arial"/>
              </w:rPr>
            </w:pPr>
            <w:r w:rsidRPr="00965FD0">
              <w:rPr>
                <w:rFonts w:ascii="Arial" w:hAnsi="Arial" w:cs="Arial"/>
              </w:rPr>
              <w:t>4000.0</w:t>
            </w:r>
          </w:p>
        </w:tc>
        <w:tc>
          <w:tcPr>
            <w:tcW w:w="1134" w:type="dxa"/>
            <w:vAlign w:val="center"/>
          </w:tcPr>
          <w:p w14:paraId="27873B0D" w14:textId="0E917F9B" w:rsidR="005715F3" w:rsidRPr="00965FD0" w:rsidRDefault="001B6D04" w:rsidP="00965FD0">
            <w:pPr>
              <w:widowControl w:val="0"/>
              <w:suppressAutoHyphens/>
              <w:jc w:val="center"/>
              <w:rPr>
                <w:rFonts w:ascii="Arial" w:hAnsi="Arial" w:cs="Arial"/>
              </w:rPr>
            </w:pPr>
            <w:r w:rsidRPr="00965FD0">
              <w:rPr>
                <w:rFonts w:ascii="Arial" w:hAnsi="Arial" w:cs="Arial"/>
              </w:rPr>
              <w:t>766.4</w:t>
            </w:r>
          </w:p>
        </w:tc>
        <w:tc>
          <w:tcPr>
            <w:tcW w:w="993" w:type="dxa"/>
            <w:vAlign w:val="center"/>
          </w:tcPr>
          <w:p w14:paraId="09F12FBA" w14:textId="7ED92157" w:rsidR="005715F3" w:rsidRPr="00965FD0" w:rsidRDefault="001B6D04" w:rsidP="00965FD0">
            <w:pPr>
              <w:widowControl w:val="0"/>
              <w:suppressAutoHyphens/>
              <w:jc w:val="center"/>
              <w:rPr>
                <w:rFonts w:ascii="Arial" w:hAnsi="Arial" w:cs="Arial"/>
              </w:rPr>
            </w:pPr>
            <w:r w:rsidRPr="00965FD0">
              <w:rPr>
                <w:rFonts w:ascii="Arial" w:hAnsi="Arial" w:cs="Arial"/>
              </w:rPr>
              <w:t>721.5</w:t>
            </w:r>
          </w:p>
        </w:tc>
        <w:tc>
          <w:tcPr>
            <w:tcW w:w="992" w:type="dxa"/>
            <w:vAlign w:val="center"/>
          </w:tcPr>
          <w:p w14:paraId="04C0A96C" w14:textId="58550E4D" w:rsidR="005715F3" w:rsidRPr="00965FD0" w:rsidRDefault="00DE7F96" w:rsidP="00965FD0">
            <w:pPr>
              <w:widowControl w:val="0"/>
              <w:suppressAutoHyphens/>
              <w:jc w:val="center"/>
              <w:rPr>
                <w:rFonts w:ascii="Arial" w:hAnsi="Arial" w:cs="Arial"/>
              </w:rPr>
            </w:pPr>
            <w:r w:rsidRPr="00965FD0">
              <w:rPr>
                <w:rFonts w:ascii="Arial" w:hAnsi="Arial" w:cs="Arial"/>
              </w:rPr>
              <w:t>18.0</w:t>
            </w:r>
          </w:p>
        </w:tc>
        <w:tc>
          <w:tcPr>
            <w:tcW w:w="973" w:type="dxa"/>
            <w:vAlign w:val="center"/>
          </w:tcPr>
          <w:p w14:paraId="6E304636" w14:textId="5212729E" w:rsidR="005715F3" w:rsidRPr="00965FD0" w:rsidRDefault="00DE7F96" w:rsidP="00965FD0">
            <w:pPr>
              <w:widowControl w:val="0"/>
              <w:suppressAutoHyphens/>
              <w:jc w:val="center"/>
              <w:rPr>
                <w:rFonts w:ascii="Arial" w:hAnsi="Arial" w:cs="Arial"/>
              </w:rPr>
            </w:pPr>
            <w:r w:rsidRPr="00965FD0">
              <w:rPr>
                <w:rFonts w:ascii="Arial" w:hAnsi="Arial" w:cs="Arial"/>
              </w:rPr>
              <w:t>94.1</w:t>
            </w:r>
          </w:p>
        </w:tc>
      </w:tr>
      <w:tr w:rsidR="00965FD0" w:rsidRPr="00965FD0" w14:paraId="3C6B6F1C" w14:textId="77777777" w:rsidTr="00965FD0">
        <w:tc>
          <w:tcPr>
            <w:tcW w:w="1101" w:type="dxa"/>
            <w:vAlign w:val="center"/>
          </w:tcPr>
          <w:p w14:paraId="6FF7F2F5" w14:textId="6343DEE4" w:rsidR="005715F3" w:rsidRPr="00965FD0" w:rsidRDefault="001B6D04" w:rsidP="00965FD0">
            <w:pPr>
              <w:widowControl w:val="0"/>
              <w:suppressAutoHyphens/>
              <w:rPr>
                <w:rFonts w:ascii="Arial" w:hAnsi="Arial" w:cs="Arial"/>
              </w:rPr>
            </w:pPr>
            <w:r w:rsidRPr="00965FD0">
              <w:rPr>
                <w:rFonts w:ascii="Arial" w:hAnsi="Arial" w:cs="Arial"/>
              </w:rPr>
              <w:t>35.05.01</w:t>
            </w:r>
          </w:p>
        </w:tc>
        <w:tc>
          <w:tcPr>
            <w:tcW w:w="2976" w:type="dxa"/>
            <w:vAlign w:val="center"/>
          </w:tcPr>
          <w:p w14:paraId="16308E1A" w14:textId="020F181C" w:rsidR="005715F3" w:rsidRPr="00965FD0" w:rsidRDefault="001B6D04" w:rsidP="00965FD0">
            <w:pPr>
              <w:widowControl w:val="0"/>
              <w:suppressAutoHyphens/>
              <w:rPr>
                <w:rFonts w:ascii="Arial" w:hAnsi="Arial" w:cs="Arial"/>
              </w:rPr>
            </w:pPr>
            <w:r w:rsidRPr="00965FD0">
              <w:rPr>
                <w:rFonts w:ascii="Arial" w:hAnsi="Arial" w:cs="Arial"/>
              </w:rPr>
              <w:t>Labour and Employment System Reform Programme</w:t>
            </w:r>
          </w:p>
        </w:tc>
        <w:tc>
          <w:tcPr>
            <w:tcW w:w="1134" w:type="dxa"/>
            <w:vAlign w:val="center"/>
          </w:tcPr>
          <w:p w14:paraId="5FC840E7" w14:textId="17E223CE" w:rsidR="005715F3" w:rsidRPr="00965FD0" w:rsidRDefault="001B6D04" w:rsidP="00965FD0">
            <w:pPr>
              <w:widowControl w:val="0"/>
              <w:suppressAutoHyphens/>
              <w:jc w:val="center"/>
              <w:rPr>
                <w:rFonts w:ascii="Arial" w:hAnsi="Arial" w:cs="Arial"/>
              </w:rPr>
            </w:pPr>
            <w:r w:rsidRPr="00965FD0">
              <w:rPr>
                <w:rFonts w:ascii="Arial" w:hAnsi="Arial" w:cs="Arial"/>
              </w:rPr>
              <w:t>4000.0</w:t>
            </w:r>
          </w:p>
        </w:tc>
        <w:tc>
          <w:tcPr>
            <w:tcW w:w="1134" w:type="dxa"/>
            <w:vAlign w:val="center"/>
          </w:tcPr>
          <w:p w14:paraId="206EC65F" w14:textId="1BED133D" w:rsidR="005715F3" w:rsidRPr="00965FD0" w:rsidRDefault="001B6D04" w:rsidP="00965FD0">
            <w:pPr>
              <w:widowControl w:val="0"/>
              <w:suppressAutoHyphens/>
              <w:jc w:val="center"/>
              <w:rPr>
                <w:rFonts w:ascii="Arial" w:hAnsi="Arial" w:cs="Arial"/>
              </w:rPr>
            </w:pPr>
            <w:r w:rsidRPr="00965FD0">
              <w:rPr>
                <w:rFonts w:ascii="Arial" w:hAnsi="Arial" w:cs="Arial"/>
              </w:rPr>
              <w:t>406.4</w:t>
            </w:r>
          </w:p>
        </w:tc>
        <w:tc>
          <w:tcPr>
            <w:tcW w:w="993" w:type="dxa"/>
            <w:vAlign w:val="center"/>
          </w:tcPr>
          <w:p w14:paraId="54BCE5EE" w14:textId="7107D79A" w:rsidR="005715F3" w:rsidRPr="00965FD0" w:rsidRDefault="001B6D04" w:rsidP="00965FD0">
            <w:pPr>
              <w:widowControl w:val="0"/>
              <w:suppressAutoHyphens/>
              <w:jc w:val="center"/>
              <w:rPr>
                <w:rFonts w:ascii="Arial" w:hAnsi="Arial" w:cs="Arial"/>
              </w:rPr>
            </w:pPr>
            <w:r w:rsidRPr="00965FD0">
              <w:rPr>
                <w:rFonts w:ascii="Arial" w:hAnsi="Arial" w:cs="Arial"/>
              </w:rPr>
              <w:t>401.4</w:t>
            </w:r>
          </w:p>
        </w:tc>
        <w:tc>
          <w:tcPr>
            <w:tcW w:w="992" w:type="dxa"/>
            <w:vAlign w:val="center"/>
          </w:tcPr>
          <w:p w14:paraId="6DCDB6DF" w14:textId="28C3FEA7" w:rsidR="005715F3" w:rsidRPr="00965FD0" w:rsidRDefault="00DE7F96" w:rsidP="00965FD0">
            <w:pPr>
              <w:widowControl w:val="0"/>
              <w:suppressAutoHyphens/>
              <w:jc w:val="center"/>
              <w:rPr>
                <w:rFonts w:ascii="Arial" w:hAnsi="Arial" w:cs="Arial"/>
              </w:rPr>
            </w:pPr>
            <w:r w:rsidRPr="00965FD0">
              <w:rPr>
                <w:rFonts w:ascii="Arial" w:hAnsi="Arial" w:cs="Arial"/>
              </w:rPr>
              <w:t>10.2</w:t>
            </w:r>
          </w:p>
        </w:tc>
        <w:tc>
          <w:tcPr>
            <w:tcW w:w="973" w:type="dxa"/>
            <w:vAlign w:val="center"/>
          </w:tcPr>
          <w:p w14:paraId="07ED79EF" w14:textId="020D0BB0" w:rsidR="005715F3" w:rsidRPr="00965FD0" w:rsidRDefault="00DE7F96" w:rsidP="00965FD0">
            <w:pPr>
              <w:widowControl w:val="0"/>
              <w:suppressAutoHyphens/>
              <w:jc w:val="center"/>
              <w:rPr>
                <w:rFonts w:ascii="Arial" w:hAnsi="Arial" w:cs="Arial"/>
              </w:rPr>
            </w:pPr>
            <w:r w:rsidRPr="00965FD0">
              <w:rPr>
                <w:rFonts w:ascii="Arial" w:hAnsi="Arial" w:cs="Arial"/>
              </w:rPr>
              <w:t>98.8</w:t>
            </w:r>
          </w:p>
        </w:tc>
      </w:tr>
      <w:tr w:rsidR="00965FD0" w:rsidRPr="00965FD0" w14:paraId="647D3C97" w14:textId="77777777" w:rsidTr="00965FD0">
        <w:tc>
          <w:tcPr>
            <w:tcW w:w="1101" w:type="dxa"/>
            <w:vAlign w:val="center"/>
          </w:tcPr>
          <w:p w14:paraId="0092623D" w14:textId="3DCAC198" w:rsidR="005715F3" w:rsidRPr="00965FD0" w:rsidRDefault="001B6D04" w:rsidP="00965FD0">
            <w:pPr>
              <w:widowControl w:val="0"/>
              <w:suppressAutoHyphens/>
              <w:rPr>
                <w:rFonts w:ascii="Arial" w:hAnsi="Arial" w:cs="Arial"/>
              </w:rPr>
            </w:pPr>
            <w:r w:rsidRPr="00965FD0">
              <w:rPr>
                <w:rFonts w:ascii="Arial" w:hAnsi="Arial" w:cs="Arial"/>
              </w:rPr>
              <w:t>35.05.02</w:t>
            </w:r>
          </w:p>
        </w:tc>
        <w:tc>
          <w:tcPr>
            <w:tcW w:w="2976" w:type="dxa"/>
            <w:vAlign w:val="center"/>
          </w:tcPr>
          <w:p w14:paraId="0ACF6234" w14:textId="2671CC39" w:rsidR="005715F3" w:rsidRPr="00965FD0" w:rsidRDefault="001B6D04" w:rsidP="00965FD0">
            <w:pPr>
              <w:widowControl w:val="0"/>
              <w:suppressAutoHyphens/>
              <w:rPr>
                <w:rFonts w:ascii="Arial" w:hAnsi="Arial" w:cs="Arial"/>
              </w:rPr>
            </w:pPr>
            <w:r w:rsidRPr="00965FD0">
              <w:rPr>
                <w:rFonts w:ascii="Arial" w:hAnsi="Arial" w:cs="Arial"/>
              </w:rPr>
              <w:t>Employment Support Service Programme</w:t>
            </w:r>
          </w:p>
        </w:tc>
        <w:tc>
          <w:tcPr>
            <w:tcW w:w="1134" w:type="dxa"/>
            <w:vAlign w:val="center"/>
          </w:tcPr>
          <w:p w14:paraId="50F72687" w14:textId="76B45EAD" w:rsidR="005715F3" w:rsidRPr="00965FD0" w:rsidRDefault="001B6D04" w:rsidP="00965FD0">
            <w:pPr>
              <w:widowControl w:val="0"/>
              <w:suppressAutoHyphens/>
              <w:jc w:val="center"/>
              <w:rPr>
                <w:rFonts w:ascii="Arial" w:hAnsi="Arial" w:cs="Arial"/>
              </w:rPr>
            </w:pPr>
            <w:r w:rsidRPr="00965FD0">
              <w:rPr>
                <w:rFonts w:ascii="Arial" w:hAnsi="Arial" w:cs="Arial"/>
              </w:rPr>
              <w:t>0.0</w:t>
            </w:r>
          </w:p>
        </w:tc>
        <w:tc>
          <w:tcPr>
            <w:tcW w:w="1134" w:type="dxa"/>
            <w:vAlign w:val="center"/>
          </w:tcPr>
          <w:p w14:paraId="348DF2E1" w14:textId="00A106FE" w:rsidR="005715F3" w:rsidRPr="00965FD0" w:rsidRDefault="001B6D04" w:rsidP="00965FD0">
            <w:pPr>
              <w:widowControl w:val="0"/>
              <w:suppressAutoHyphens/>
              <w:jc w:val="center"/>
              <w:rPr>
                <w:rFonts w:ascii="Arial" w:hAnsi="Arial" w:cs="Arial"/>
              </w:rPr>
            </w:pPr>
            <w:r w:rsidRPr="00965FD0">
              <w:rPr>
                <w:rFonts w:ascii="Arial" w:hAnsi="Arial" w:cs="Arial"/>
              </w:rPr>
              <w:t>115.0</w:t>
            </w:r>
          </w:p>
        </w:tc>
        <w:tc>
          <w:tcPr>
            <w:tcW w:w="993" w:type="dxa"/>
            <w:vAlign w:val="center"/>
          </w:tcPr>
          <w:p w14:paraId="44AB7E33" w14:textId="3C95E037" w:rsidR="005715F3" w:rsidRPr="00965FD0" w:rsidRDefault="001B6D04" w:rsidP="00965FD0">
            <w:pPr>
              <w:widowControl w:val="0"/>
              <w:suppressAutoHyphens/>
              <w:jc w:val="center"/>
              <w:rPr>
                <w:rFonts w:ascii="Arial" w:hAnsi="Arial" w:cs="Arial"/>
              </w:rPr>
            </w:pPr>
            <w:r w:rsidRPr="00965FD0">
              <w:rPr>
                <w:rFonts w:ascii="Arial" w:hAnsi="Arial" w:cs="Arial"/>
              </w:rPr>
              <w:t>87.4</w:t>
            </w:r>
          </w:p>
        </w:tc>
        <w:tc>
          <w:tcPr>
            <w:tcW w:w="992" w:type="dxa"/>
            <w:vAlign w:val="center"/>
          </w:tcPr>
          <w:p w14:paraId="021549EA" w14:textId="49860932" w:rsidR="005715F3" w:rsidRPr="00965FD0" w:rsidRDefault="00DE7F96" w:rsidP="00965FD0">
            <w:pPr>
              <w:widowControl w:val="0"/>
              <w:suppressAutoHyphens/>
              <w:jc w:val="center"/>
              <w:rPr>
                <w:rFonts w:ascii="Arial" w:hAnsi="Arial" w:cs="Arial"/>
              </w:rPr>
            </w:pPr>
            <w:r w:rsidRPr="00965FD0">
              <w:rPr>
                <w:rFonts w:ascii="Arial" w:hAnsi="Arial" w:cs="Arial"/>
              </w:rPr>
              <w:t>n.a.</w:t>
            </w:r>
          </w:p>
        </w:tc>
        <w:tc>
          <w:tcPr>
            <w:tcW w:w="973" w:type="dxa"/>
            <w:vAlign w:val="center"/>
          </w:tcPr>
          <w:p w14:paraId="05C15241" w14:textId="361BAE17" w:rsidR="005715F3" w:rsidRPr="00965FD0" w:rsidRDefault="00DE7F96" w:rsidP="00965FD0">
            <w:pPr>
              <w:widowControl w:val="0"/>
              <w:suppressAutoHyphens/>
              <w:jc w:val="center"/>
              <w:rPr>
                <w:rFonts w:ascii="Arial" w:hAnsi="Arial" w:cs="Arial"/>
              </w:rPr>
            </w:pPr>
            <w:r w:rsidRPr="00965FD0">
              <w:rPr>
                <w:rFonts w:ascii="Arial" w:hAnsi="Arial" w:cs="Arial"/>
              </w:rPr>
              <w:t>76.0</w:t>
            </w:r>
          </w:p>
        </w:tc>
      </w:tr>
      <w:tr w:rsidR="00965FD0" w:rsidRPr="00965FD0" w14:paraId="55F0CA67" w14:textId="77777777" w:rsidTr="00965FD0">
        <w:tc>
          <w:tcPr>
            <w:tcW w:w="1101" w:type="dxa"/>
            <w:vAlign w:val="center"/>
          </w:tcPr>
          <w:p w14:paraId="338A4771" w14:textId="5CC782AF" w:rsidR="005715F3" w:rsidRPr="00965FD0" w:rsidRDefault="001B6D04" w:rsidP="00965FD0">
            <w:pPr>
              <w:widowControl w:val="0"/>
              <w:suppressAutoHyphens/>
              <w:rPr>
                <w:rFonts w:ascii="Arial" w:hAnsi="Arial" w:cs="Arial"/>
              </w:rPr>
            </w:pPr>
            <w:r w:rsidRPr="00965FD0">
              <w:rPr>
                <w:rFonts w:ascii="Arial" w:hAnsi="Arial" w:cs="Arial"/>
              </w:rPr>
              <w:t>35.05.03</w:t>
            </w:r>
          </w:p>
        </w:tc>
        <w:tc>
          <w:tcPr>
            <w:tcW w:w="2976" w:type="dxa"/>
            <w:vAlign w:val="center"/>
          </w:tcPr>
          <w:p w14:paraId="5AE37D09" w14:textId="67132133" w:rsidR="005715F3" w:rsidRPr="00965FD0" w:rsidRDefault="001B6D04" w:rsidP="00965FD0">
            <w:pPr>
              <w:widowControl w:val="0"/>
              <w:suppressAutoHyphens/>
              <w:rPr>
                <w:rFonts w:ascii="Arial" w:hAnsi="Arial" w:cs="Arial"/>
              </w:rPr>
            </w:pPr>
            <w:r w:rsidRPr="00965FD0">
              <w:rPr>
                <w:rFonts w:ascii="Arial" w:hAnsi="Arial" w:cs="Arial"/>
              </w:rPr>
              <w:t>State Programme on Training-Retraining and Qualification-Raising for Jobseekers</w:t>
            </w:r>
          </w:p>
        </w:tc>
        <w:tc>
          <w:tcPr>
            <w:tcW w:w="1134" w:type="dxa"/>
            <w:vAlign w:val="center"/>
          </w:tcPr>
          <w:p w14:paraId="6440AAF1" w14:textId="63ED7F1C" w:rsidR="005715F3" w:rsidRPr="00965FD0" w:rsidRDefault="001B6D04" w:rsidP="00965FD0">
            <w:pPr>
              <w:widowControl w:val="0"/>
              <w:suppressAutoHyphens/>
              <w:jc w:val="center"/>
              <w:rPr>
                <w:rFonts w:ascii="Arial" w:hAnsi="Arial" w:cs="Arial"/>
              </w:rPr>
            </w:pPr>
            <w:r w:rsidRPr="00965FD0">
              <w:rPr>
                <w:rFonts w:ascii="Arial" w:hAnsi="Arial" w:cs="Arial"/>
              </w:rPr>
              <w:t>0.0</w:t>
            </w:r>
          </w:p>
        </w:tc>
        <w:tc>
          <w:tcPr>
            <w:tcW w:w="1134" w:type="dxa"/>
            <w:vAlign w:val="center"/>
          </w:tcPr>
          <w:p w14:paraId="1FEAD63D" w14:textId="2932505B" w:rsidR="005715F3" w:rsidRPr="00965FD0" w:rsidRDefault="001B6D04" w:rsidP="00965FD0">
            <w:pPr>
              <w:widowControl w:val="0"/>
              <w:suppressAutoHyphens/>
              <w:jc w:val="center"/>
              <w:rPr>
                <w:rFonts w:ascii="Arial" w:hAnsi="Arial" w:cs="Arial"/>
              </w:rPr>
            </w:pPr>
            <w:r w:rsidRPr="00965FD0">
              <w:rPr>
                <w:rFonts w:ascii="Arial" w:hAnsi="Arial" w:cs="Arial"/>
              </w:rPr>
              <w:t>245.0</w:t>
            </w:r>
          </w:p>
        </w:tc>
        <w:tc>
          <w:tcPr>
            <w:tcW w:w="993" w:type="dxa"/>
            <w:vAlign w:val="center"/>
          </w:tcPr>
          <w:p w14:paraId="0F29B136" w14:textId="0A417E37" w:rsidR="005715F3" w:rsidRPr="00965FD0" w:rsidRDefault="001B6D04" w:rsidP="00965FD0">
            <w:pPr>
              <w:widowControl w:val="0"/>
              <w:suppressAutoHyphens/>
              <w:jc w:val="center"/>
              <w:rPr>
                <w:rFonts w:ascii="Arial" w:hAnsi="Arial" w:cs="Arial"/>
              </w:rPr>
            </w:pPr>
            <w:r w:rsidRPr="00965FD0">
              <w:rPr>
                <w:rFonts w:ascii="Arial" w:hAnsi="Arial" w:cs="Arial"/>
              </w:rPr>
              <w:t>232.7</w:t>
            </w:r>
          </w:p>
        </w:tc>
        <w:tc>
          <w:tcPr>
            <w:tcW w:w="992" w:type="dxa"/>
            <w:vAlign w:val="center"/>
          </w:tcPr>
          <w:p w14:paraId="4D80304B" w14:textId="5EF27A8D" w:rsidR="005715F3" w:rsidRPr="00965FD0" w:rsidRDefault="00DE7F96" w:rsidP="00965FD0">
            <w:pPr>
              <w:widowControl w:val="0"/>
              <w:suppressAutoHyphens/>
              <w:jc w:val="center"/>
              <w:rPr>
                <w:rFonts w:ascii="Arial" w:hAnsi="Arial" w:cs="Arial"/>
              </w:rPr>
            </w:pPr>
            <w:r w:rsidRPr="00965FD0">
              <w:rPr>
                <w:rFonts w:ascii="Arial" w:hAnsi="Arial" w:cs="Arial"/>
              </w:rPr>
              <w:t>n.a.</w:t>
            </w:r>
          </w:p>
        </w:tc>
        <w:tc>
          <w:tcPr>
            <w:tcW w:w="973" w:type="dxa"/>
            <w:vAlign w:val="center"/>
          </w:tcPr>
          <w:p w14:paraId="49C9989E" w14:textId="17545708" w:rsidR="005715F3" w:rsidRPr="00965FD0" w:rsidRDefault="00DE7F96" w:rsidP="00965FD0">
            <w:pPr>
              <w:widowControl w:val="0"/>
              <w:suppressAutoHyphens/>
              <w:jc w:val="center"/>
              <w:rPr>
                <w:rFonts w:ascii="Arial" w:hAnsi="Arial" w:cs="Arial"/>
              </w:rPr>
            </w:pPr>
            <w:r w:rsidRPr="00965FD0">
              <w:rPr>
                <w:rFonts w:ascii="Arial" w:hAnsi="Arial" w:cs="Arial"/>
              </w:rPr>
              <w:t>95.0</w:t>
            </w:r>
          </w:p>
        </w:tc>
      </w:tr>
      <w:tr w:rsidR="00965FD0" w:rsidRPr="00965FD0" w14:paraId="291541AA" w14:textId="77777777" w:rsidTr="00965FD0">
        <w:tc>
          <w:tcPr>
            <w:tcW w:w="1101" w:type="dxa"/>
            <w:vAlign w:val="center"/>
          </w:tcPr>
          <w:p w14:paraId="1191A591" w14:textId="0D93BE94" w:rsidR="005715F3" w:rsidRPr="00965FD0" w:rsidRDefault="001B6D04" w:rsidP="00965FD0">
            <w:pPr>
              <w:widowControl w:val="0"/>
              <w:suppressAutoHyphens/>
              <w:rPr>
                <w:rFonts w:ascii="Arial" w:hAnsi="Arial" w:cs="Arial"/>
                <w:b/>
              </w:rPr>
            </w:pPr>
            <w:r w:rsidRPr="00965FD0">
              <w:rPr>
                <w:rFonts w:ascii="Arial" w:hAnsi="Arial" w:cs="Arial"/>
                <w:b/>
              </w:rPr>
              <w:lastRenderedPageBreak/>
              <w:t>2016</w:t>
            </w:r>
          </w:p>
        </w:tc>
        <w:tc>
          <w:tcPr>
            <w:tcW w:w="2976" w:type="dxa"/>
            <w:vAlign w:val="center"/>
          </w:tcPr>
          <w:p w14:paraId="1B895E7B" w14:textId="77777777" w:rsidR="005715F3" w:rsidRPr="00965FD0" w:rsidRDefault="005715F3" w:rsidP="00965FD0">
            <w:pPr>
              <w:widowControl w:val="0"/>
              <w:suppressAutoHyphens/>
              <w:rPr>
                <w:rFonts w:ascii="Arial" w:hAnsi="Arial" w:cs="Arial"/>
                <w:b/>
              </w:rPr>
            </w:pPr>
          </w:p>
        </w:tc>
        <w:tc>
          <w:tcPr>
            <w:tcW w:w="1134" w:type="dxa"/>
            <w:vAlign w:val="center"/>
          </w:tcPr>
          <w:p w14:paraId="7FFA4E00" w14:textId="77777777" w:rsidR="005715F3" w:rsidRPr="00965FD0" w:rsidRDefault="005715F3" w:rsidP="00965FD0">
            <w:pPr>
              <w:widowControl w:val="0"/>
              <w:suppressAutoHyphens/>
              <w:jc w:val="center"/>
              <w:rPr>
                <w:rFonts w:ascii="Arial" w:hAnsi="Arial" w:cs="Arial"/>
                <w:b/>
              </w:rPr>
            </w:pPr>
          </w:p>
        </w:tc>
        <w:tc>
          <w:tcPr>
            <w:tcW w:w="1134" w:type="dxa"/>
            <w:vAlign w:val="center"/>
          </w:tcPr>
          <w:p w14:paraId="408F547B" w14:textId="77777777" w:rsidR="005715F3" w:rsidRPr="00965FD0" w:rsidRDefault="005715F3" w:rsidP="00965FD0">
            <w:pPr>
              <w:widowControl w:val="0"/>
              <w:suppressAutoHyphens/>
              <w:jc w:val="center"/>
              <w:rPr>
                <w:rFonts w:ascii="Arial" w:hAnsi="Arial" w:cs="Arial"/>
                <w:b/>
              </w:rPr>
            </w:pPr>
          </w:p>
        </w:tc>
        <w:tc>
          <w:tcPr>
            <w:tcW w:w="993" w:type="dxa"/>
            <w:vAlign w:val="center"/>
          </w:tcPr>
          <w:p w14:paraId="55A8BD89" w14:textId="77777777" w:rsidR="005715F3" w:rsidRPr="00965FD0" w:rsidRDefault="005715F3" w:rsidP="00965FD0">
            <w:pPr>
              <w:widowControl w:val="0"/>
              <w:suppressAutoHyphens/>
              <w:jc w:val="center"/>
              <w:rPr>
                <w:rFonts w:ascii="Arial" w:hAnsi="Arial" w:cs="Arial"/>
                <w:b/>
              </w:rPr>
            </w:pPr>
          </w:p>
        </w:tc>
        <w:tc>
          <w:tcPr>
            <w:tcW w:w="992" w:type="dxa"/>
            <w:vAlign w:val="center"/>
          </w:tcPr>
          <w:p w14:paraId="457C1C37" w14:textId="77777777" w:rsidR="005715F3" w:rsidRPr="00965FD0" w:rsidRDefault="005715F3" w:rsidP="00965FD0">
            <w:pPr>
              <w:widowControl w:val="0"/>
              <w:suppressAutoHyphens/>
              <w:jc w:val="center"/>
              <w:rPr>
                <w:rFonts w:ascii="Arial" w:hAnsi="Arial" w:cs="Arial"/>
                <w:b/>
              </w:rPr>
            </w:pPr>
          </w:p>
        </w:tc>
        <w:tc>
          <w:tcPr>
            <w:tcW w:w="973" w:type="dxa"/>
            <w:vAlign w:val="center"/>
          </w:tcPr>
          <w:p w14:paraId="455355F4" w14:textId="77777777" w:rsidR="005715F3" w:rsidRPr="00965FD0" w:rsidRDefault="005715F3" w:rsidP="00965FD0">
            <w:pPr>
              <w:widowControl w:val="0"/>
              <w:suppressAutoHyphens/>
              <w:jc w:val="center"/>
              <w:rPr>
                <w:rFonts w:ascii="Arial" w:hAnsi="Arial" w:cs="Arial"/>
                <w:b/>
              </w:rPr>
            </w:pPr>
          </w:p>
        </w:tc>
      </w:tr>
      <w:tr w:rsidR="00965FD0" w:rsidRPr="00965FD0" w14:paraId="67586D43" w14:textId="77777777" w:rsidTr="00965FD0">
        <w:tc>
          <w:tcPr>
            <w:tcW w:w="1101" w:type="dxa"/>
            <w:vAlign w:val="center"/>
          </w:tcPr>
          <w:p w14:paraId="2F84F04C" w14:textId="7802E8E3" w:rsidR="005715F3" w:rsidRPr="00965FD0" w:rsidRDefault="001B6D04" w:rsidP="00965FD0">
            <w:pPr>
              <w:widowControl w:val="0"/>
              <w:suppressAutoHyphens/>
              <w:rPr>
                <w:rFonts w:ascii="Arial" w:hAnsi="Arial" w:cs="Arial"/>
              </w:rPr>
            </w:pPr>
            <w:r w:rsidRPr="00965FD0">
              <w:rPr>
                <w:rFonts w:ascii="Arial" w:hAnsi="Arial" w:cs="Arial"/>
              </w:rPr>
              <w:t>35.50</w:t>
            </w:r>
          </w:p>
        </w:tc>
        <w:tc>
          <w:tcPr>
            <w:tcW w:w="2976" w:type="dxa"/>
            <w:vAlign w:val="center"/>
          </w:tcPr>
          <w:p w14:paraId="1A036FC6" w14:textId="3FC3332E" w:rsidR="005715F3" w:rsidRPr="00965FD0" w:rsidRDefault="00DE7F96" w:rsidP="00965FD0">
            <w:pPr>
              <w:widowControl w:val="0"/>
              <w:suppressAutoHyphens/>
              <w:rPr>
                <w:rFonts w:ascii="Arial" w:hAnsi="Arial" w:cs="Arial"/>
              </w:rPr>
            </w:pPr>
            <w:r w:rsidRPr="00965FD0">
              <w:rPr>
                <w:rFonts w:ascii="Arial" w:hAnsi="Arial" w:cs="Arial"/>
              </w:rPr>
              <w:t>Labour and Employment System Reform Programme</w:t>
            </w:r>
          </w:p>
        </w:tc>
        <w:tc>
          <w:tcPr>
            <w:tcW w:w="1134" w:type="dxa"/>
            <w:vAlign w:val="center"/>
          </w:tcPr>
          <w:p w14:paraId="10E3C271" w14:textId="3CCB5158" w:rsidR="005715F3" w:rsidRPr="00965FD0" w:rsidRDefault="001B6D04" w:rsidP="00965FD0">
            <w:pPr>
              <w:widowControl w:val="0"/>
              <w:suppressAutoHyphens/>
              <w:jc w:val="center"/>
              <w:rPr>
                <w:rFonts w:ascii="Arial" w:hAnsi="Arial" w:cs="Arial"/>
              </w:rPr>
            </w:pPr>
            <w:r w:rsidRPr="00965FD0">
              <w:rPr>
                <w:rFonts w:ascii="Arial" w:hAnsi="Arial" w:cs="Arial"/>
              </w:rPr>
              <w:t>4025.0</w:t>
            </w:r>
          </w:p>
        </w:tc>
        <w:tc>
          <w:tcPr>
            <w:tcW w:w="1134" w:type="dxa"/>
            <w:vAlign w:val="center"/>
          </w:tcPr>
          <w:p w14:paraId="0CA735C8" w14:textId="3B8D1446" w:rsidR="005715F3" w:rsidRPr="00965FD0" w:rsidRDefault="001B6D04" w:rsidP="00965FD0">
            <w:pPr>
              <w:widowControl w:val="0"/>
              <w:suppressAutoHyphens/>
              <w:jc w:val="center"/>
              <w:rPr>
                <w:rFonts w:ascii="Arial" w:hAnsi="Arial" w:cs="Arial"/>
              </w:rPr>
            </w:pPr>
            <w:r w:rsidRPr="00965FD0">
              <w:rPr>
                <w:rFonts w:ascii="Arial" w:hAnsi="Arial" w:cs="Arial"/>
              </w:rPr>
              <w:t>2207.2</w:t>
            </w:r>
          </w:p>
        </w:tc>
        <w:tc>
          <w:tcPr>
            <w:tcW w:w="993" w:type="dxa"/>
            <w:vAlign w:val="center"/>
          </w:tcPr>
          <w:p w14:paraId="05C6ED23" w14:textId="77F815F1" w:rsidR="005715F3" w:rsidRPr="00965FD0" w:rsidRDefault="00DE7F96" w:rsidP="00965FD0">
            <w:pPr>
              <w:widowControl w:val="0"/>
              <w:suppressAutoHyphens/>
              <w:jc w:val="center"/>
              <w:rPr>
                <w:rFonts w:ascii="Arial" w:hAnsi="Arial" w:cs="Arial"/>
              </w:rPr>
            </w:pPr>
            <w:r w:rsidRPr="00965FD0">
              <w:rPr>
                <w:rFonts w:ascii="Arial" w:hAnsi="Arial" w:cs="Arial"/>
              </w:rPr>
              <w:t>2191.8</w:t>
            </w:r>
          </w:p>
        </w:tc>
        <w:tc>
          <w:tcPr>
            <w:tcW w:w="992" w:type="dxa"/>
            <w:vAlign w:val="center"/>
          </w:tcPr>
          <w:p w14:paraId="3B840306" w14:textId="199B7F49" w:rsidR="005715F3" w:rsidRPr="00965FD0" w:rsidRDefault="00DE7F96" w:rsidP="00965FD0">
            <w:pPr>
              <w:widowControl w:val="0"/>
              <w:suppressAutoHyphens/>
              <w:jc w:val="center"/>
              <w:rPr>
                <w:rFonts w:ascii="Arial" w:hAnsi="Arial" w:cs="Arial"/>
              </w:rPr>
            </w:pPr>
            <w:r w:rsidRPr="00965FD0">
              <w:rPr>
                <w:rFonts w:ascii="Arial" w:hAnsi="Arial" w:cs="Arial"/>
              </w:rPr>
              <w:t>54.5</w:t>
            </w:r>
          </w:p>
        </w:tc>
        <w:tc>
          <w:tcPr>
            <w:tcW w:w="973" w:type="dxa"/>
            <w:vAlign w:val="center"/>
          </w:tcPr>
          <w:p w14:paraId="5274D691" w14:textId="7D6EE1E4" w:rsidR="005715F3" w:rsidRPr="00965FD0" w:rsidRDefault="00DE7F96" w:rsidP="00965FD0">
            <w:pPr>
              <w:widowControl w:val="0"/>
              <w:suppressAutoHyphens/>
              <w:jc w:val="center"/>
              <w:rPr>
                <w:rFonts w:ascii="Arial" w:hAnsi="Arial" w:cs="Arial"/>
              </w:rPr>
            </w:pPr>
            <w:r w:rsidRPr="00965FD0">
              <w:rPr>
                <w:rFonts w:ascii="Arial" w:hAnsi="Arial" w:cs="Arial"/>
              </w:rPr>
              <w:t>99.3</w:t>
            </w:r>
          </w:p>
        </w:tc>
      </w:tr>
      <w:tr w:rsidR="00965FD0" w:rsidRPr="00965FD0" w14:paraId="17A67F44" w14:textId="77777777" w:rsidTr="00965FD0">
        <w:tc>
          <w:tcPr>
            <w:tcW w:w="1101" w:type="dxa"/>
            <w:vAlign w:val="center"/>
          </w:tcPr>
          <w:p w14:paraId="46649575" w14:textId="036EBAB6" w:rsidR="005715F3" w:rsidRPr="00965FD0" w:rsidRDefault="00DE7F96" w:rsidP="00965FD0">
            <w:pPr>
              <w:widowControl w:val="0"/>
              <w:suppressAutoHyphens/>
              <w:rPr>
                <w:rFonts w:ascii="Arial" w:hAnsi="Arial" w:cs="Arial"/>
              </w:rPr>
            </w:pPr>
            <w:r w:rsidRPr="00965FD0">
              <w:rPr>
                <w:rFonts w:ascii="Arial" w:hAnsi="Arial" w:cs="Arial"/>
              </w:rPr>
              <w:t>35.50.01</w:t>
            </w:r>
          </w:p>
        </w:tc>
        <w:tc>
          <w:tcPr>
            <w:tcW w:w="2976" w:type="dxa"/>
            <w:vAlign w:val="center"/>
          </w:tcPr>
          <w:p w14:paraId="1BC6757C" w14:textId="12E029E2" w:rsidR="005715F3" w:rsidRPr="00965FD0" w:rsidRDefault="00DE7F96" w:rsidP="00965FD0">
            <w:pPr>
              <w:widowControl w:val="0"/>
              <w:suppressAutoHyphens/>
              <w:rPr>
                <w:rFonts w:ascii="Arial" w:hAnsi="Arial" w:cs="Arial"/>
              </w:rPr>
            </w:pPr>
            <w:r w:rsidRPr="00965FD0">
              <w:rPr>
                <w:rFonts w:ascii="Arial" w:hAnsi="Arial" w:cs="Arial"/>
              </w:rPr>
              <w:t>Labour Market Analysis and information System Development Programme</w:t>
            </w:r>
          </w:p>
        </w:tc>
        <w:tc>
          <w:tcPr>
            <w:tcW w:w="1134" w:type="dxa"/>
            <w:vAlign w:val="center"/>
          </w:tcPr>
          <w:p w14:paraId="2795D091" w14:textId="3E8F3165" w:rsidR="005715F3" w:rsidRPr="00965FD0" w:rsidRDefault="00DE7F96" w:rsidP="00965FD0">
            <w:pPr>
              <w:widowControl w:val="0"/>
              <w:suppressAutoHyphens/>
              <w:jc w:val="center"/>
              <w:rPr>
                <w:rFonts w:ascii="Arial" w:hAnsi="Arial" w:cs="Arial"/>
              </w:rPr>
            </w:pPr>
            <w:r w:rsidRPr="00965FD0">
              <w:rPr>
                <w:rFonts w:ascii="Arial" w:hAnsi="Arial" w:cs="Arial"/>
              </w:rPr>
              <w:t>785.0</w:t>
            </w:r>
          </w:p>
        </w:tc>
        <w:tc>
          <w:tcPr>
            <w:tcW w:w="1134" w:type="dxa"/>
            <w:vAlign w:val="center"/>
          </w:tcPr>
          <w:p w14:paraId="396F1F32" w14:textId="1666C6B0" w:rsidR="005715F3" w:rsidRPr="00965FD0" w:rsidRDefault="00DE7F96" w:rsidP="00965FD0">
            <w:pPr>
              <w:widowControl w:val="0"/>
              <w:suppressAutoHyphens/>
              <w:jc w:val="center"/>
              <w:rPr>
                <w:rFonts w:ascii="Arial" w:hAnsi="Arial" w:cs="Arial"/>
              </w:rPr>
            </w:pPr>
            <w:r w:rsidRPr="00965FD0">
              <w:rPr>
                <w:rFonts w:ascii="Arial" w:hAnsi="Arial" w:cs="Arial"/>
              </w:rPr>
              <w:t>403.0</w:t>
            </w:r>
          </w:p>
        </w:tc>
        <w:tc>
          <w:tcPr>
            <w:tcW w:w="993" w:type="dxa"/>
            <w:vAlign w:val="center"/>
          </w:tcPr>
          <w:p w14:paraId="770C96CE" w14:textId="7FE0FCFD" w:rsidR="005715F3" w:rsidRPr="00965FD0" w:rsidRDefault="00DE7F96" w:rsidP="00965FD0">
            <w:pPr>
              <w:widowControl w:val="0"/>
              <w:suppressAutoHyphens/>
              <w:jc w:val="center"/>
              <w:rPr>
                <w:rFonts w:ascii="Arial" w:hAnsi="Arial" w:cs="Arial"/>
              </w:rPr>
            </w:pPr>
            <w:r w:rsidRPr="00965FD0">
              <w:rPr>
                <w:rFonts w:ascii="Arial" w:hAnsi="Arial" w:cs="Arial"/>
              </w:rPr>
              <w:t>403.0</w:t>
            </w:r>
          </w:p>
        </w:tc>
        <w:tc>
          <w:tcPr>
            <w:tcW w:w="992" w:type="dxa"/>
            <w:vAlign w:val="center"/>
          </w:tcPr>
          <w:p w14:paraId="39024E47" w14:textId="21DCE7E2" w:rsidR="005715F3" w:rsidRPr="00965FD0" w:rsidRDefault="00DE7F96" w:rsidP="00965FD0">
            <w:pPr>
              <w:widowControl w:val="0"/>
              <w:suppressAutoHyphens/>
              <w:jc w:val="center"/>
              <w:rPr>
                <w:rFonts w:ascii="Arial" w:hAnsi="Arial" w:cs="Arial"/>
              </w:rPr>
            </w:pPr>
            <w:r w:rsidRPr="00965FD0">
              <w:rPr>
                <w:rFonts w:ascii="Arial" w:hAnsi="Arial" w:cs="Arial"/>
              </w:rPr>
              <w:t>51.3</w:t>
            </w:r>
          </w:p>
        </w:tc>
        <w:tc>
          <w:tcPr>
            <w:tcW w:w="973" w:type="dxa"/>
            <w:vAlign w:val="center"/>
          </w:tcPr>
          <w:p w14:paraId="2881D3C9" w14:textId="32B88CEA" w:rsidR="005715F3" w:rsidRPr="00965FD0" w:rsidRDefault="00DE7F96" w:rsidP="00965FD0">
            <w:pPr>
              <w:widowControl w:val="0"/>
              <w:suppressAutoHyphens/>
              <w:jc w:val="center"/>
              <w:rPr>
                <w:rFonts w:ascii="Arial" w:hAnsi="Arial" w:cs="Arial"/>
              </w:rPr>
            </w:pPr>
            <w:r w:rsidRPr="00965FD0">
              <w:rPr>
                <w:rFonts w:ascii="Arial" w:hAnsi="Arial" w:cs="Arial"/>
              </w:rPr>
              <w:t>100.0</w:t>
            </w:r>
          </w:p>
        </w:tc>
      </w:tr>
      <w:tr w:rsidR="00965FD0" w:rsidRPr="00965FD0" w14:paraId="365873BB" w14:textId="77777777" w:rsidTr="00965FD0">
        <w:tc>
          <w:tcPr>
            <w:tcW w:w="1101" w:type="dxa"/>
            <w:vAlign w:val="center"/>
          </w:tcPr>
          <w:p w14:paraId="696D24D9" w14:textId="755678CF" w:rsidR="005715F3" w:rsidRPr="00965FD0" w:rsidRDefault="00DE7F96" w:rsidP="00965FD0">
            <w:pPr>
              <w:widowControl w:val="0"/>
              <w:suppressAutoHyphens/>
              <w:rPr>
                <w:rFonts w:ascii="Arial" w:hAnsi="Arial" w:cs="Arial"/>
              </w:rPr>
            </w:pPr>
            <w:r w:rsidRPr="00965FD0">
              <w:rPr>
                <w:rFonts w:ascii="Arial" w:hAnsi="Arial" w:cs="Arial"/>
              </w:rPr>
              <w:t>35.50.02</w:t>
            </w:r>
          </w:p>
        </w:tc>
        <w:tc>
          <w:tcPr>
            <w:tcW w:w="2976" w:type="dxa"/>
            <w:vAlign w:val="center"/>
          </w:tcPr>
          <w:p w14:paraId="1B2B8E2C" w14:textId="116583A1" w:rsidR="005715F3" w:rsidRPr="00965FD0" w:rsidRDefault="00DE7F96" w:rsidP="00965FD0">
            <w:pPr>
              <w:widowControl w:val="0"/>
              <w:suppressAutoHyphens/>
              <w:rPr>
                <w:rFonts w:ascii="Arial" w:hAnsi="Arial" w:cs="Arial"/>
              </w:rPr>
            </w:pPr>
            <w:r w:rsidRPr="00965FD0">
              <w:rPr>
                <w:rFonts w:ascii="Arial" w:hAnsi="Arial" w:cs="Arial"/>
              </w:rPr>
              <w:t>Employment Support State Programme</w:t>
            </w:r>
          </w:p>
        </w:tc>
        <w:tc>
          <w:tcPr>
            <w:tcW w:w="1134" w:type="dxa"/>
            <w:vAlign w:val="center"/>
          </w:tcPr>
          <w:p w14:paraId="70F9F2B1" w14:textId="7E7776A6" w:rsidR="005715F3" w:rsidRPr="00965FD0" w:rsidRDefault="00DE7F96" w:rsidP="00965FD0">
            <w:pPr>
              <w:widowControl w:val="0"/>
              <w:suppressAutoHyphens/>
              <w:jc w:val="center"/>
              <w:rPr>
                <w:rFonts w:ascii="Arial" w:hAnsi="Arial" w:cs="Arial"/>
              </w:rPr>
            </w:pPr>
            <w:r w:rsidRPr="00965FD0">
              <w:rPr>
                <w:rFonts w:ascii="Arial" w:hAnsi="Arial" w:cs="Arial"/>
              </w:rPr>
              <w:t>676.0</w:t>
            </w:r>
          </w:p>
        </w:tc>
        <w:tc>
          <w:tcPr>
            <w:tcW w:w="1134" w:type="dxa"/>
            <w:vAlign w:val="center"/>
          </w:tcPr>
          <w:p w14:paraId="3FE05FCB" w14:textId="480FC33A" w:rsidR="005715F3" w:rsidRPr="00965FD0" w:rsidRDefault="00DE7F96" w:rsidP="00965FD0">
            <w:pPr>
              <w:widowControl w:val="0"/>
              <w:suppressAutoHyphens/>
              <w:jc w:val="center"/>
              <w:rPr>
                <w:rFonts w:ascii="Arial" w:hAnsi="Arial" w:cs="Arial"/>
              </w:rPr>
            </w:pPr>
            <w:r w:rsidRPr="00965FD0">
              <w:rPr>
                <w:rFonts w:ascii="Arial" w:hAnsi="Arial" w:cs="Arial"/>
              </w:rPr>
              <w:t>217.2</w:t>
            </w:r>
          </w:p>
        </w:tc>
        <w:tc>
          <w:tcPr>
            <w:tcW w:w="993" w:type="dxa"/>
            <w:vAlign w:val="center"/>
          </w:tcPr>
          <w:p w14:paraId="1DC7D361" w14:textId="1FC16AC1" w:rsidR="005715F3" w:rsidRPr="00965FD0" w:rsidRDefault="00DE7F96" w:rsidP="00965FD0">
            <w:pPr>
              <w:widowControl w:val="0"/>
              <w:suppressAutoHyphens/>
              <w:jc w:val="center"/>
              <w:rPr>
                <w:rFonts w:ascii="Arial" w:hAnsi="Arial" w:cs="Arial"/>
              </w:rPr>
            </w:pPr>
            <w:r w:rsidRPr="00965FD0">
              <w:rPr>
                <w:rFonts w:ascii="Arial" w:hAnsi="Arial" w:cs="Arial"/>
              </w:rPr>
              <w:t>211.0</w:t>
            </w:r>
          </w:p>
        </w:tc>
        <w:tc>
          <w:tcPr>
            <w:tcW w:w="992" w:type="dxa"/>
            <w:vAlign w:val="center"/>
          </w:tcPr>
          <w:p w14:paraId="1604E18B" w14:textId="7A96DD6C" w:rsidR="005715F3" w:rsidRPr="00965FD0" w:rsidRDefault="00965FD0" w:rsidP="00965FD0">
            <w:pPr>
              <w:widowControl w:val="0"/>
              <w:suppressAutoHyphens/>
              <w:jc w:val="center"/>
              <w:rPr>
                <w:rFonts w:ascii="Arial" w:hAnsi="Arial" w:cs="Arial"/>
              </w:rPr>
            </w:pPr>
            <w:r w:rsidRPr="00965FD0">
              <w:rPr>
                <w:rFonts w:ascii="Arial" w:hAnsi="Arial" w:cs="Arial"/>
              </w:rPr>
              <w:t>31.2</w:t>
            </w:r>
          </w:p>
        </w:tc>
        <w:tc>
          <w:tcPr>
            <w:tcW w:w="973" w:type="dxa"/>
            <w:vAlign w:val="center"/>
          </w:tcPr>
          <w:p w14:paraId="544D58E7" w14:textId="08B97119" w:rsidR="005715F3" w:rsidRPr="00965FD0" w:rsidRDefault="00965FD0" w:rsidP="00965FD0">
            <w:pPr>
              <w:widowControl w:val="0"/>
              <w:suppressAutoHyphens/>
              <w:jc w:val="center"/>
              <w:rPr>
                <w:rFonts w:ascii="Arial" w:hAnsi="Arial" w:cs="Arial"/>
              </w:rPr>
            </w:pPr>
            <w:r w:rsidRPr="00965FD0">
              <w:rPr>
                <w:rFonts w:ascii="Arial" w:hAnsi="Arial" w:cs="Arial"/>
              </w:rPr>
              <w:t>97.1</w:t>
            </w:r>
          </w:p>
        </w:tc>
      </w:tr>
      <w:tr w:rsidR="00965FD0" w:rsidRPr="00965FD0" w14:paraId="374A3A22" w14:textId="77777777" w:rsidTr="00965FD0">
        <w:tc>
          <w:tcPr>
            <w:tcW w:w="1101" w:type="dxa"/>
            <w:vAlign w:val="center"/>
          </w:tcPr>
          <w:p w14:paraId="0D18DC1B" w14:textId="35A4F91A" w:rsidR="00DE7F96" w:rsidRPr="00965FD0" w:rsidRDefault="00DE7F96" w:rsidP="00965FD0">
            <w:pPr>
              <w:widowControl w:val="0"/>
              <w:suppressAutoHyphens/>
              <w:rPr>
                <w:rFonts w:ascii="Arial" w:hAnsi="Arial" w:cs="Arial"/>
              </w:rPr>
            </w:pPr>
            <w:r w:rsidRPr="00965FD0">
              <w:rPr>
                <w:rFonts w:ascii="Arial" w:hAnsi="Arial" w:cs="Arial"/>
              </w:rPr>
              <w:t>35.50.03</w:t>
            </w:r>
          </w:p>
        </w:tc>
        <w:tc>
          <w:tcPr>
            <w:tcW w:w="2976" w:type="dxa"/>
            <w:vAlign w:val="center"/>
          </w:tcPr>
          <w:p w14:paraId="0DC0BB8C" w14:textId="14F5309E" w:rsidR="00DE7F96" w:rsidRPr="00965FD0" w:rsidRDefault="00DE7F96" w:rsidP="00965FD0">
            <w:pPr>
              <w:widowControl w:val="0"/>
              <w:suppressAutoHyphens/>
              <w:rPr>
                <w:rFonts w:ascii="Arial" w:hAnsi="Arial" w:cs="Arial"/>
              </w:rPr>
            </w:pPr>
            <w:r w:rsidRPr="00965FD0">
              <w:rPr>
                <w:rFonts w:ascii="Arial" w:hAnsi="Arial" w:cs="Arial"/>
              </w:rPr>
              <w:t>Labour Conditions Inspection State Programme</w:t>
            </w:r>
          </w:p>
        </w:tc>
        <w:tc>
          <w:tcPr>
            <w:tcW w:w="1134" w:type="dxa"/>
            <w:vAlign w:val="center"/>
          </w:tcPr>
          <w:p w14:paraId="35E7B0A1" w14:textId="1D56CC88" w:rsidR="00DE7F96" w:rsidRPr="00965FD0" w:rsidRDefault="00DE7F96" w:rsidP="00965FD0">
            <w:pPr>
              <w:widowControl w:val="0"/>
              <w:suppressAutoHyphens/>
              <w:jc w:val="center"/>
              <w:rPr>
                <w:rFonts w:ascii="Arial" w:hAnsi="Arial" w:cs="Arial"/>
              </w:rPr>
            </w:pPr>
            <w:r w:rsidRPr="00965FD0">
              <w:rPr>
                <w:rFonts w:ascii="Arial" w:hAnsi="Arial" w:cs="Arial"/>
              </w:rPr>
              <w:t>550.0</w:t>
            </w:r>
          </w:p>
        </w:tc>
        <w:tc>
          <w:tcPr>
            <w:tcW w:w="1134" w:type="dxa"/>
            <w:vAlign w:val="center"/>
          </w:tcPr>
          <w:p w14:paraId="146FEC9E" w14:textId="25F13A8D" w:rsidR="00DE7F96" w:rsidRPr="00965FD0" w:rsidRDefault="00DE7F96" w:rsidP="00965FD0">
            <w:pPr>
              <w:widowControl w:val="0"/>
              <w:suppressAutoHyphens/>
              <w:jc w:val="center"/>
              <w:rPr>
                <w:rFonts w:ascii="Arial" w:hAnsi="Arial" w:cs="Arial"/>
              </w:rPr>
            </w:pPr>
            <w:r w:rsidRPr="00965FD0">
              <w:rPr>
                <w:rFonts w:ascii="Arial" w:hAnsi="Arial" w:cs="Arial"/>
              </w:rPr>
              <w:t>268.0</w:t>
            </w:r>
          </w:p>
        </w:tc>
        <w:tc>
          <w:tcPr>
            <w:tcW w:w="993" w:type="dxa"/>
            <w:vAlign w:val="center"/>
          </w:tcPr>
          <w:p w14:paraId="24D51648" w14:textId="325FEF17" w:rsidR="00DE7F96" w:rsidRPr="00965FD0" w:rsidRDefault="00DE7F96" w:rsidP="00965FD0">
            <w:pPr>
              <w:widowControl w:val="0"/>
              <w:suppressAutoHyphens/>
              <w:jc w:val="center"/>
              <w:rPr>
                <w:rFonts w:ascii="Arial" w:hAnsi="Arial" w:cs="Arial"/>
              </w:rPr>
            </w:pPr>
            <w:r w:rsidRPr="00965FD0">
              <w:rPr>
                <w:rFonts w:ascii="Arial" w:hAnsi="Arial" w:cs="Arial"/>
              </w:rPr>
              <w:t>264.5</w:t>
            </w:r>
          </w:p>
        </w:tc>
        <w:tc>
          <w:tcPr>
            <w:tcW w:w="992" w:type="dxa"/>
            <w:vAlign w:val="center"/>
          </w:tcPr>
          <w:p w14:paraId="1DC49A6E" w14:textId="4D347F1C" w:rsidR="00DE7F96" w:rsidRPr="00965FD0" w:rsidRDefault="00965FD0" w:rsidP="00965FD0">
            <w:pPr>
              <w:widowControl w:val="0"/>
              <w:suppressAutoHyphens/>
              <w:jc w:val="center"/>
              <w:rPr>
                <w:rFonts w:ascii="Arial" w:hAnsi="Arial" w:cs="Arial"/>
              </w:rPr>
            </w:pPr>
            <w:r w:rsidRPr="00965FD0">
              <w:rPr>
                <w:rFonts w:ascii="Arial" w:hAnsi="Arial" w:cs="Arial"/>
              </w:rPr>
              <w:t>48.1</w:t>
            </w:r>
          </w:p>
        </w:tc>
        <w:tc>
          <w:tcPr>
            <w:tcW w:w="973" w:type="dxa"/>
            <w:vAlign w:val="center"/>
          </w:tcPr>
          <w:p w14:paraId="1A653260" w14:textId="71FD2365" w:rsidR="00DE7F96" w:rsidRPr="00965FD0" w:rsidRDefault="00965FD0" w:rsidP="00965FD0">
            <w:pPr>
              <w:widowControl w:val="0"/>
              <w:suppressAutoHyphens/>
              <w:jc w:val="center"/>
              <w:rPr>
                <w:rFonts w:ascii="Arial" w:hAnsi="Arial" w:cs="Arial"/>
              </w:rPr>
            </w:pPr>
            <w:r w:rsidRPr="00965FD0">
              <w:rPr>
                <w:rFonts w:ascii="Arial" w:hAnsi="Arial" w:cs="Arial"/>
              </w:rPr>
              <w:t>98.7</w:t>
            </w:r>
          </w:p>
        </w:tc>
      </w:tr>
      <w:tr w:rsidR="00965FD0" w:rsidRPr="00965FD0" w14:paraId="5794FF1E" w14:textId="77777777" w:rsidTr="00965FD0">
        <w:tc>
          <w:tcPr>
            <w:tcW w:w="1101" w:type="dxa"/>
            <w:vAlign w:val="center"/>
          </w:tcPr>
          <w:p w14:paraId="10E16C5C" w14:textId="0A0C0BED" w:rsidR="00DE7F96" w:rsidRPr="00965FD0" w:rsidRDefault="00DE7F96" w:rsidP="00965FD0">
            <w:pPr>
              <w:widowControl w:val="0"/>
              <w:suppressAutoHyphens/>
              <w:rPr>
                <w:rFonts w:ascii="Arial" w:hAnsi="Arial" w:cs="Arial"/>
              </w:rPr>
            </w:pPr>
            <w:r w:rsidRPr="00965FD0">
              <w:rPr>
                <w:rFonts w:ascii="Arial" w:hAnsi="Arial" w:cs="Arial"/>
              </w:rPr>
              <w:t>35.50.04</w:t>
            </w:r>
          </w:p>
        </w:tc>
        <w:tc>
          <w:tcPr>
            <w:tcW w:w="2976" w:type="dxa"/>
            <w:vAlign w:val="center"/>
          </w:tcPr>
          <w:p w14:paraId="3306B766" w14:textId="063F7A18" w:rsidR="00DE7F96" w:rsidRPr="00965FD0" w:rsidRDefault="00DE7F96" w:rsidP="00965FD0">
            <w:pPr>
              <w:widowControl w:val="0"/>
              <w:suppressAutoHyphens/>
              <w:rPr>
                <w:rFonts w:ascii="Arial" w:hAnsi="Arial" w:cs="Arial"/>
              </w:rPr>
            </w:pPr>
            <w:r w:rsidRPr="00965FD0">
              <w:rPr>
                <w:rFonts w:ascii="Arial" w:hAnsi="Arial" w:cs="Arial"/>
              </w:rPr>
              <w:t>State Programme on Training-Retraining and Qualification-Raising for Jobseekers</w:t>
            </w:r>
          </w:p>
        </w:tc>
        <w:tc>
          <w:tcPr>
            <w:tcW w:w="1134" w:type="dxa"/>
            <w:vAlign w:val="center"/>
          </w:tcPr>
          <w:p w14:paraId="23B6A3D1" w14:textId="4C3B96B4" w:rsidR="00DE7F96" w:rsidRPr="00965FD0" w:rsidRDefault="00DE7F96" w:rsidP="00965FD0">
            <w:pPr>
              <w:widowControl w:val="0"/>
              <w:suppressAutoHyphens/>
              <w:jc w:val="center"/>
              <w:rPr>
                <w:rFonts w:ascii="Arial" w:hAnsi="Arial" w:cs="Arial"/>
              </w:rPr>
            </w:pPr>
            <w:r w:rsidRPr="00965FD0">
              <w:rPr>
                <w:rFonts w:ascii="Arial" w:hAnsi="Arial" w:cs="Arial"/>
              </w:rPr>
              <w:t>2014.0</w:t>
            </w:r>
          </w:p>
        </w:tc>
        <w:tc>
          <w:tcPr>
            <w:tcW w:w="1134" w:type="dxa"/>
            <w:vAlign w:val="center"/>
          </w:tcPr>
          <w:p w14:paraId="30B741A6" w14:textId="251142C5" w:rsidR="00DE7F96" w:rsidRPr="00965FD0" w:rsidRDefault="00DE7F96" w:rsidP="00965FD0">
            <w:pPr>
              <w:widowControl w:val="0"/>
              <w:suppressAutoHyphens/>
              <w:jc w:val="center"/>
              <w:rPr>
                <w:rFonts w:ascii="Arial" w:hAnsi="Arial" w:cs="Arial"/>
              </w:rPr>
            </w:pPr>
            <w:r w:rsidRPr="00965FD0">
              <w:rPr>
                <w:rFonts w:ascii="Arial" w:hAnsi="Arial" w:cs="Arial"/>
              </w:rPr>
              <w:t>1319.0</w:t>
            </w:r>
          </w:p>
        </w:tc>
        <w:tc>
          <w:tcPr>
            <w:tcW w:w="993" w:type="dxa"/>
            <w:vAlign w:val="center"/>
          </w:tcPr>
          <w:p w14:paraId="015E440B" w14:textId="223B4F11" w:rsidR="00DE7F96" w:rsidRPr="00965FD0" w:rsidRDefault="00DE7F96" w:rsidP="00965FD0">
            <w:pPr>
              <w:widowControl w:val="0"/>
              <w:suppressAutoHyphens/>
              <w:jc w:val="center"/>
              <w:rPr>
                <w:rFonts w:ascii="Arial" w:hAnsi="Arial" w:cs="Arial"/>
              </w:rPr>
            </w:pPr>
            <w:r w:rsidRPr="00965FD0">
              <w:rPr>
                <w:rFonts w:ascii="Arial" w:hAnsi="Arial" w:cs="Arial"/>
              </w:rPr>
              <w:t>1313.3</w:t>
            </w:r>
          </w:p>
        </w:tc>
        <w:tc>
          <w:tcPr>
            <w:tcW w:w="992" w:type="dxa"/>
            <w:vAlign w:val="center"/>
          </w:tcPr>
          <w:p w14:paraId="1864F918" w14:textId="1743CBCF" w:rsidR="00DE7F96" w:rsidRPr="00965FD0" w:rsidRDefault="00965FD0" w:rsidP="00965FD0">
            <w:pPr>
              <w:widowControl w:val="0"/>
              <w:suppressAutoHyphens/>
              <w:jc w:val="center"/>
              <w:rPr>
                <w:rFonts w:ascii="Arial" w:hAnsi="Arial" w:cs="Arial"/>
              </w:rPr>
            </w:pPr>
            <w:r w:rsidRPr="00965FD0">
              <w:rPr>
                <w:rFonts w:ascii="Arial" w:hAnsi="Arial" w:cs="Arial"/>
              </w:rPr>
              <w:t>65.2</w:t>
            </w:r>
          </w:p>
        </w:tc>
        <w:tc>
          <w:tcPr>
            <w:tcW w:w="973" w:type="dxa"/>
            <w:vAlign w:val="center"/>
          </w:tcPr>
          <w:p w14:paraId="74B4CFCE" w14:textId="1EEE9041" w:rsidR="00DE7F96" w:rsidRPr="00965FD0" w:rsidRDefault="00965FD0" w:rsidP="00965FD0">
            <w:pPr>
              <w:widowControl w:val="0"/>
              <w:suppressAutoHyphens/>
              <w:jc w:val="center"/>
              <w:rPr>
                <w:rFonts w:ascii="Arial" w:hAnsi="Arial" w:cs="Arial"/>
              </w:rPr>
            </w:pPr>
            <w:r w:rsidRPr="00965FD0">
              <w:rPr>
                <w:rFonts w:ascii="Arial" w:hAnsi="Arial" w:cs="Arial"/>
              </w:rPr>
              <w:t>99.6</w:t>
            </w:r>
          </w:p>
        </w:tc>
      </w:tr>
    </w:tbl>
    <w:p w14:paraId="68480B96" w14:textId="1ECBBD99" w:rsidR="005715F3" w:rsidRPr="0067600A" w:rsidRDefault="0067600A" w:rsidP="0067600A">
      <w:pPr>
        <w:widowControl w:val="0"/>
        <w:suppressAutoHyphens/>
        <w:ind w:left="851" w:hanging="851"/>
        <w:rPr>
          <w:sz w:val="20"/>
          <w:szCs w:val="20"/>
        </w:rPr>
      </w:pPr>
      <w:r w:rsidRPr="0067600A">
        <w:rPr>
          <w:sz w:val="20"/>
          <w:szCs w:val="20"/>
        </w:rPr>
        <w:t>Source: MoLHSA Report on 2015-2016 Implementation of the Action Plan for the Labour Market Reform Strategy 2015-2018</w:t>
      </w:r>
      <w:r>
        <w:rPr>
          <w:sz w:val="20"/>
          <w:szCs w:val="20"/>
        </w:rPr>
        <w:t>.</w:t>
      </w:r>
    </w:p>
    <w:p w14:paraId="2EF171AE" w14:textId="77777777" w:rsidR="005715F3" w:rsidRDefault="005715F3" w:rsidP="009E3730">
      <w:pPr>
        <w:widowControl w:val="0"/>
        <w:suppressAutoHyphens/>
      </w:pPr>
    </w:p>
    <w:p w14:paraId="19BF2ED6" w14:textId="5FEBDA38" w:rsidR="00FD2EA3" w:rsidRDefault="00FD2EA3" w:rsidP="009E3730">
      <w:pPr>
        <w:widowControl w:val="0"/>
        <w:suppressAutoHyphens/>
      </w:pPr>
      <w:r>
        <w:t xml:space="preserve">A report on implementation of the </w:t>
      </w:r>
      <w:r w:rsidR="00207D56">
        <w:t xml:space="preserve">Labour Market Reform Strategy </w:t>
      </w:r>
      <w:r>
        <w:t>Action Plan in 2015</w:t>
      </w:r>
      <w:r w:rsidR="00207D56">
        <w:t xml:space="preserve"> and 2016 </w:t>
      </w:r>
      <w:r>
        <w:t>provides information on achievements under th</w:t>
      </w:r>
      <w:r w:rsidR="00207D56">
        <w:t>e 45</w:t>
      </w:r>
      <w:r>
        <w:t xml:space="preserve"> activities</w:t>
      </w:r>
      <w:r w:rsidR="00207D56">
        <w:t xml:space="preserve">, 34 </w:t>
      </w:r>
      <w:r>
        <w:t>to be fully or partially implemented in 2015</w:t>
      </w:r>
      <w:r w:rsidR="00207D56">
        <w:t xml:space="preserve"> and 35 in 2016</w:t>
      </w:r>
      <w:r>
        <w:t xml:space="preserve">, several of which relate to Specific Conditions under the AAP2013 EVET SRC. These include, for example, the approval of an active labour market policy concept, a </w:t>
      </w:r>
      <w:r w:rsidR="00E31DED">
        <w:t>series of activities to strengthen</w:t>
      </w:r>
      <w:r>
        <w:t xml:space="preserve"> </w:t>
      </w:r>
      <w:r w:rsidR="00E31DED">
        <w:t xml:space="preserve">and restructure </w:t>
      </w:r>
      <w:r>
        <w:t xml:space="preserve">employment services </w:t>
      </w:r>
      <w:r w:rsidR="00E31DED">
        <w:t>(including the</w:t>
      </w:r>
      <w:r>
        <w:t xml:space="preserve"> updating and developing the Employment Services job search database (WorkNet), quantitative and qualitative surveys of labour market demand, development of the labour market information system (LMIS), and development of career guidance activities. Other activities include </w:t>
      </w:r>
      <w:r w:rsidR="00E31DED">
        <w:t xml:space="preserve">reviewing with social partners </w:t>
      </w:r>
      <w:r>
        <w:t>the Labour Code introduced in 2014</w:t>
      </w:r>
      <w:r w:rsidR="00E31DED">
        <w:t xml:space="preserve"> and the drafting of a series of amendments in line with EU directives</w:t>
      </w:r>
      <w:r>
        <w:t xml:space="preserve">, </w:t>
      </w:r>
      <w:r w:rsidR="001F3B53">
        <w:t xml:space="preserve">improving occupational health and safety standards (supported by workplace inspection and monitoring), </w:t>
      </w:r>
      <w:r>
        <w:t>development of training/reskilling programmes for the unemployed, strengthening of the tripartite social partnership mechanism and mediation activities, and increased public awareness of employment support policies. While there have been some delays in some areas, the report indicates sufficient progress has been achieved to satisfy the requirements of the Sector Policy General Condition.</w:t>
      </w:r>
    </w:p>
    <w:p w14:paraId="38812D13" w14:textId="77777777" w:rsidR="00FD2EA3" w:rsidRDefault="00FD2EA3" w:rsidP="009E3730">
      <w:pPr>
        <w:widowControl w:val="0"/>
        <w:suppressAutoHyphens/>
        <w:rPr>
          <w:highlight w:val="green"/>
        </w:rPr>
      </w:pPr>
    </w:p>
    <w:p w14:paraId="3583C809" w14:textId="25D4E7BE" w:rsidR="00E31DED" w:rsidRPr="001F3B53" w:rsidRDefault="00E31DED" w:rsidP="00E31DED">
      <w:pPr>
        <w:widowControl w:val="0"/>
        <w:suppressAutoHyphens/>
        <w:rPr>
          <w:rFonts w:cs="Arial"/>
        </w:rPr>
      </w:pPr>
      <w:r w:rsidRPr="001F3B53">
        <w:rPr>
          <w:rFonts w:cs="Arial"/>
        </w:rPr>
        <w:t xml:space="preserve">The BDD for 2017-2020 includes a </w:t>
      </w:r>
      <w:r w:rsidR="001F3B53">
        <w:rPr>
          <w:rFonts w:cs="Arial"/>
        </w:rPr>
        <w:t>'</w:t>
      </w:r>
      <w:r w:rsidRPr="001F3B53">
        <w:rPr>
          <w:rFonts w:cs="Arial"/>
          <w:i/>
        </w:rPr>
        <w:t>Reform Agenda of Labour and Employment System</w:t>
      </w:r>
      <w:r w:rsidR="001F3B53">
        <w:rPr>
          <w:rFonts w:cs="Arial"/>
          <w:i/>
        </w:rPr>
        <w:t>'</w:t>
      </w:r>
      <w:r w:rsidR="001F3B53" w:rsidRPr="001F3B53">
        <w:rPr>
          <w:rFonts w:cs="Arial"/>
        </w:rPr>
        <w:t xml:space="preserve">, outlining the main directions of Government policy. </w:t>
      </w:r>
      <w:r w:rsidR="000C760D">
        <w:rPr>
          <w:rFonts w:cs="Arial"/>
        </w:rPr>
        <w:t>T</w:t>
      </w:r>
      <w:r w:rsidR="001F3B53" w:rsidRPr="001F3B53">
        <w:rPr>
          <w:rFonts w:cs="Arial"/>
        </w:rPr>
        <w:t xml:space="preserve">hese </w:t>
      </w:r>
      <w:r w:rsidR="000C760D">
        <w:rPr>
          <w:rFonts w:cs="Arial"/>
        </w:rPr>
        <w:t>reflect</w:t>
      </w:r>
      <w:r w:rsidR="001F3B53" w:rsidRPr="001F3B53">
        <w:rPr>
          <w:rFonts w:cs="Arial"/>
        </w:rPr>
        <w:t xml:space="preserve"> the Labour Market Reform Strategy</w:t>
      </w:r>
      <w:r w:rsidR="000C760D">
        <w:rPr>
          <w:rFonts w:cs="Arial"/>
        </w:rPr>
        <w:t xml:space="preserve"> and reconfirm Government's commitment to the strategy</w:t>
      </w:r>
      <w:r w:rsidRPr="001F3B53">
        <w:rPr>
          <w:rFonts w:cs="Arial"/>
        </w:rPr>
        <w:t>:</w:t>
      </w:r>
    </w:p>
    <w:p w14:paraId="7D727E28" w14:textId="77777777" w:rsidR="00E31DED" w:rsidRPr="0074083A" w:rsidRDefault="00E31DED" w:rsidP="00E31DED">
      <w:pPr>
        <w:widowControl w:val="0"/>
        <w:suppressAutoHyphens/>
        <w:rPr>
          <w:rFonts w:ascii="Sylfaen" w:hAnsi="Sylfaen" w:cs="Sylfaen"/>
          <w:sz w:val="24"/>
          <w:szCs w:val="24"/>
        </w:rPr>
      </w:pPr>
    </w:p>
    <w:p w14:paraId="3CBE4ECE" w14:textId="220735CD" w:rsidR="00E31DED" w:rsidRPr="00E31DED" w:rsidRDefault="001F3B53" w:rsidP="007C295F">
      <w:pPr>
        <w:pStyle w:val="ListParagraph"/>
        <w:widowControl w:val="0"/>
        <w:numPr>
          <w:ilvl w:val="0"/>
          <w:numId w:val="41"/>
        </w:numPr>
        <w:suppressAutoHyphens/>
        <w:spacing w:line="240" w:lineRule="auto"/>
        <w:ind w:left="714" w:hanging="357"/>
        <w:jc w:val="both"/>
        <w:rPr>
          <w:rFonts w:ascii="Arial" w:hAnsi="Arial" w:cs="Arial"/>
          <w:color w:val="000000"/>
        </w:rPr>
      </w:pPr>
      <w:r>
        <w:rPr>
          <w:rFonts w:ascii="Arial" w:hAnsi="Arial" w:cs="Arial"/>
          <w:color w:val="000000"/>
        </w:rPr>
        <w:t>s</w:t>
      </w:r>
      <w:r w:rsidR="00E31DED" w:rsidRPr="00E31DED">
        <w:rPr>
          <w:rFonts w:ascii="Arial" w:hAnsi="Arial" w:cs="Arial"/>
          <w:color w:val="000000"/>
        </w:rPr>
        <w:t xml:space="preserve">crutinise the current position of labour market and security of labour; improve labour protection norms and on the </w:t>
      </w:r>
      <w:r>
        <w:rPr>
          <w:rFonts w:ascii="Arial" w:hAnsi="Arial" w:cs="Arial"/>
          <w:color w:val="000000"/>
        </w:rPr>
        <w:t>basis of these</w:t>
      </w:r>
      <w:r w:rsidR="00E31DED" w:rsidRPr="00E31DED">
        <w:rPr>
          <w:rFonts w:ascii="Arial" w:hAnsi="Arial" w:cs="Arial"/>
          <w:color w:val="000000"/>
        </w:rPr>
        <w:t xml:space="preserve"> improve labour relations between employers and employees;</w:t>
      </w:r>
    </w:p>
    <w:p w14:paraId="61605F30" w14:textId="6610E678" w:rsidR="00E31DED" w:rsidRPr="00E31DED" w:rsidRDefault="001F3B53" w:rsidP="007C295F">
      <w:pPr>
        <w:pStyle w:val="ListParagraph"/>
        <w:widowControl w:val="0"/>
        <w:numPr>
          <w:ilvl w:val="0"/>
          <w:numId w:val="41"/>
        </w:numPr>
        <w:suppressAutoHyphens/>
        <w:spacing w:line="240" w:lineRule="auto"/>
        <w:ind w:left="714" w:hanging="357"/>
        <w:jc w:val="both"/>
        <w:rPr>
          <w:rFonts w:ascii="Arial" w:hAnsi="Arial" w:cs="Arial"/>
          <w:color w:val="000000"/>
        </w:rPr>
      </w:pPr>
      <w:r>
        <w:rPr>
          <w:rFonts w:ascii="Arial" w:hAnsi="Arial" w:cs="Arial"/>
          <w:color w:val="000000"/>
        </w:rPr>
        <w:t>r</w:t>
      </w:r>
      <w:r w:rsidR="00E31DED" w:rsidRPr="00E31DED">
        <w:rPr>
          <w:rFonts w:ascii="Arial" w:hAnsi="Arial" w:cs="Arial"/>
          <w:color w:val="000000"/>
        </w:rPr>
        <w:t>egister jobseekers, provide consultations to them, develop service delivery, facilitate the employment of the disabled and individuals with special needs,  carry out periodic studies o</w:t>
      </w:r>
      <w:r>
        <w:rPr>
          <w:rFonts w:ascii="Arial" w:hAnsi="Arial" w:cs="Arial"/>
          <w:color w:val="000000"/>
        </w:rPr>
        <w:t>n</w:t>
      </w:r>
      <w:r w:rsidR="00E31DED" w:rsidRPr="00E31DED">
        <w:rPr>
          <w:rFonts w:ascii="Arial" w:hAnsi="Arial" w:cs="Arial"/>
          <w:color w:val="000000"/>
        </w:rPr>
        <w:t xml:space="preserve"> the needs of the labour market and facilitate </w:t>
      </w:r>
      <w:r>
        <w:rPr>
          <w:rFonts w:ascii="Arial" w:hAnsi="Arial" w:cs="Arial"/>
          <w:color w:val="000000"/>
        </w:rPr>
        <w:t>the temporary employment of job</w:t>
      </w:r>
      <w:r w:rsidR="00E31DED" w:rsidRPr="00E31DED">
        <w:rPr>
          <w:rFonts w:ascii="Arial" w:hAnsi="Arial" w:cs="Arial"/>
          <w:color w:val="000000"/>
        </w:rPr>
        <w:t>seekers;</w:t>
      </w:r>
    </w:p>
    <w:p w14:paraId="1812CCD9" w14:textId="086335CE" w:rsidR="00E31DED" w:rsidRPr="00E31DED" w:rsidRDefault="001F3B53" w:rsidP="007C295F">
      <w:pPr>
        <w:pStyle w:val="ListParagraph"/>
        <w:widowControl w:val="0"/>
        <w:numPr>
          <w:ilvl w:val="0"/>
          <w:numId w:val="41"/>
        </w:numPr>
        <w:suppressAutoHyphens/>
        <w:spacing w:line="240" w:lineRule="auto"/>
        <w:ind w:left="714" w:hanging="357"/>
        <w:jc w:val="both"/>
        <w:rPr>
          <w:rFonts w:ascii="Arial" w:hAnsi="Arial" w:cs="Arial"/>
          <w:color w:val="000000"/>
        </w:rPr>
      </w:pPr>
      <w:r>
        <w:rPr>
          <w:rFonts w:ascii="Arial" w:hAnsi="Arial" w:cs="Arial"/>
          <w:color w:val="000000"/>
        </w:rPr>
        <w:t>t</w:t>
      </w:r>
      <w:r w:rsidR="00E31DED" w:rsidRPr="00E31DED">
        <w:rPr>
          <w:rFonts w:ascii="Arial" w:hAnsi="Arial" w:cs="Arial"/>
          <w:color w:val="000000"/>
        </w:rPr>
        <w:t xml:space="preserve">rain and retrain jobseekers registered at authorized and accredited vocational education institutions; </w:t>
      </w:r>
    </w:p>
    <w:p w14:paraId="1C558A7C" w14:textId="0FC5A4E2" w:rsidR="00E31DED" w:rsidRPr="00E31DED" w:rsidRDefault="001F3B53" w:rsidP="007C295F">
      <w:pPr>
        <w:pStyle w:val="ListParagraph"/>
        <w:widowControl w:val="0"/>
        <w:numPr>
          <w:ilvl w:val="0"/>
          <w:numId w:val="41"/>
        </w:numPr>
        <w:suppressAutoHyphens/>
        <w:spacing w:line="240" w:lineRule="auto"/>
        <w:ind w:left="714" w:hanging="357"/>
        <w:jc w:val="both"/>
        <w:rPr>
          <w:rFonts w:ascii="Arial" w:hAnsi="Arial" w:cs="Arial"/>
          <w:color w:val="000000"/>
        </w:rPr>
      </w:pPr>
      <w:r>
        <w:rPr>
          <w:rFonts w:ascii="Arial" w:hAnsi="Arial" w:cs="Arial"/>
          <w:color w:val="000000"/>
        </w:rPr>
        <w:t>d</w:t>
      </w:r>
      <w:r w:rsidR="00E31DED" w:rsidRPr="00E31DED">
        <w:rPr>
          <w:rFonts w:ascii="Arial" w:hAnsi="Arial" w:cs="Arial"/>
          <w:color w:val="000000"/>
        </w:rPr>
        <w:t>evelop and introduce methodolog</w:t>
      </w:r>
      <w:r>
        <w:rPr>
          <w:rFonts w:ascii="Arial" w:hAnsi="Arial" w:cs="Arial"/>
          <w:color w:val="000000"/>
        </w:rPr>
        <w:t>ies for</w:t>
      </w:r>
      <w:r w:rsidR="00E31DED" w:rsidRPr="00E31DED">
        <w:rPr>
          <w:rFonts w:ascii="Arial" w:hAnsi="Arial" w:cs="Arial"/>
          <w:color w:val="000000"/>
        </w:rPr>
        <w:t xml:space="preserve"> data collection; </w:t>
      </w:r>
    </w:p>
    <w:p w14:paraId="286A106F" w14:textId="0EA2799E" w:rsidR="00E31DED" w:rsidRPr="00E31DED" w:rsidRDefault="001F3B53" w:rsidP="007C295F">
      <w:pPr>
        <w:pStyle w:val="ListParagraph"/>
        <w:widowControl w:val="0"/>
        <w:numPr>
          <w:ilvl w:val="0"/>
          <w:numId w:val="41"/>
        </w:numPr>
        <w:suppressAutoHyphens/>
        <w:spacing w:line="240" w:lineRule="auto"/>
        <w:ind w:left="714" w:hanging="357"/>
        <w:jc w:val="both"/>
        <w:rPr>
          <w:rFonts w:ascii="Arial" w:hAnsi="Arial" w:cs="Arial"/>
          <w:color w:val="000000"/>
        </w:rPr>
      </w:pPr>
      <w:r>
        <w:rPr>
          <w:rFonts w:ascii="Arial" w:hAnsi="Arial" w:cs="Arial"/>
          <w:color w:val="000000"/>
        </w:rPr>
        <w:t>i</w:t>
      </w:r>
      <w:r w:rsidR="00E31DED" w:rsidRPr="00E31DED">
        <w:rPr>
          <w:rFonts w:ascii="Arial" w:hAnsi="Arial" w:cs="Arial"/>
          <w:color w:val="000000"/>
        </w:rPr>
        <w:t xml:space="preserve">dentify and improve information sources on the grounds of additional studies; permanently study the components of the labour market; ensure the access to the outcome and output of analysis of the labour market; disseminate the information; </w:t>
      </w:r>
    </w:p>
    <w:p w14:paraId="1B9DD15F" w14:textId="71698514" w:rsidR="00E31DED" w:rsidRPr="00E31DED" w:rsidRDefault="000C760D" w:rsidP="007C295F">
      <w:pPr>
        <w:pStyle w:val="ListParagraph"/>
        <w:widowControl w:val="0"/>
        <w:numPr>
          <w:ilvl w:val="0"/>
          <w:numId w:val="41"/>
        </w:numPr>
        <w:suppressAutoHyphens/>
        <w:spacing w:line="240" w:lineRule="auto"/>
        <w:ind w:left="714" w:hanging="357"/>
        <w:jc w:val="both"/>
        <w:rPr>
          <w:rFonts w:ascii="Arial" w:hAnsi="Arial" w:cs="Arial"/>
          <w:color w:val="000000"/>
        </w:rPr>
      </w:pPr>
      <w:r>
        <w:rPr>
          <w:rFonts w:ascii="Arial" w:hAnsi="Arial" w:cs="Arial"/>
          <w:color w:val="000000"/>
        </w:rPr>
        <w:t>e</w:t>
      </w:r>
      <w:r w:rsidR="00E31DED" w:rsidRPr="00E31DED">
        <w:rPr>
          <w:rFonts w:ascii="Arial" w:hAnsi="Arial" w:cs="Arial"/>
          <w:color w:val="000000"/>
        </w:rPr>
        <w:t>stablish a safe and healthy work environment.</w:t>
      </w:r>
    </w:p>
    <w:p w14:paraId="25184AAF" w14:textId="073F92EE" w:rsidR="00E31DED" w:rsidRDefault="00E31DED" w:rsidP="009E3730">
      <w:pPr>
        <w:widowControl w:val="0"/>
        <w:suppressAutoHyphens/>
        <w:rPr>
          <w:highlight w:val="green"/>
        </w:rPr>
      </w:pPr>
    </w:p>
    <w:p w14:paraId="545C63A0" w14:textId="77777777" w:rsidR="000C760D" w:rsidRPr="00956528" w:rsidRDefault="000C760D" w:rsidP="000C760D">
      <w:pPr>
        <w:widowControl w:val="0"/>
        <w:suppressAutoHyphens/>
        <w:rPr>
          <w:color w:val="000000"/>
          <w:lang w:eastAsia="en-GB"/>
        </w:rPr>
      </w:pPr>
      <w:r w:rsidRPr="00956528">
        <w:t xml:space="preserve">The General Condition requires the Strategy to remain relevant and credible. Comments made with respect to relevance and credibility of the VET reform strategy (see below) are also relevant to the Labour Market Reform Strategy. The relevance of the Labour Market </w:t>
      </w:r>
      <w:r w:rsidRPr="00956528">
        <w:lastRenderedPageBreak/>
        <w:t xml:space="preserve">Reform Strategy is well explained in the preamble to the document. It points out that </w:t>
      </w:r>
      <w:r w:rsidRPr="00956528">
        <w:rPr>
          <w:color w:val="000000"/>
          <w:lang w:eastAsia="en-GB"/>
        </w:rPr>
        <w:t>u</w:t>
      </w:r>
      <w:r w:rsidRPr="00AF7A4C">
        <w:rPr>
          <w:color w:val="000000"/>
          <w:lang w:eastAsia="en-GB"/>
        </w:rPr>
        <w:t xml:space="preserve">nemployment is </w:t>
      </w:r>
      <w:r w:rsidRPr="00956528">
        <w:rPr>
          <w:color w:val="000000"/>
          <w:lang w:eastAsia="en-GB"/>
        </w:rPr>
        <w:t xml:space="preserve">one of </w:t>
      </w:r>
      <w:r w:rsidRPr="00AF7A4C">
        <w:rPr>
          <w:color w:val="000000"/>
          <w:lang w:eastAsia="en-GB"/>
        </w:rPr>
        <w:t xml:space="preserve">the most acute social and economic problems and challenges </w:t>
      </w:r>
      <w:r w:rsidRPr="00956528">
        <w:rPr>
          <w:color w:val="000000"/>
          <w:lang w:eastAsia="en-GB"/>
        </w:rPr>
        <w:t>for</w:t>
      </w:r>
      <w:r w:rsidRPr="00AF7A4C">
        <w:rPr>
          <w:color w:val="000000"/>
          <w:lang w:eastAsia="en-GB"/>
        </w:rPr>
        <w:t xml:space="preserve"> Georgia. Unemployment is high </w:t>
      </w:r>
      <w:r w:rsidRPr="00956528">
        <w:rPr>
          <w:color w:val="000000"/>
          <w:lang w:eastAsia="en-GB"/>
        </w:rPr>
        <w:t xml:space="preserve">in </w:t>
      </w:r>
      <w:r w:rsidRPr="00AF7A4C">
        <w:rPr>
          <w:color w:val="000000"/>
          <w:lang w:eastAsia="en-GB"/>
        </w:rPr>
        <w:t>both urban and rural areas</w:t>
      </w:r>
      <w:r w:rsidRPr="00956528">
        <w:rPr>
          <w:color w:val="000000"/>
          <w:lang w:eastAsia="en-GB"/>
        </w:rPr>
        <w:t>, and a major factor in poverty</w:t>
      </w:r>
      <w:r w:rsidRPr="00AF7A4C">
        <w:rPr>
          <w:color w:val="000000"/>
          <w:lang w:eastAsia="en-GB"/>
        </w:rPr>
        <w:t xml:space="preserve">. </w:t>
      </w:r>
      <w:r w:rsidRPr="00956528">
        <w:rPr>
          <w:color w:val="000000"/>
          <w:lang w:eastAsia="en-GB"/>
        </w:rPr>
        <w:t>It is particularly high among younger age groups, and among the vulnerable, and this has been recognized as a potential risk to social stability. Furthermore, the efficient functioning of the labour market is a key feature for economic growth, supporting both sides of the social partnership to make the best use of labour resources, stimulating business opportunities and household incomes and strengthening the base for Government revenues and the ability to deliver improved and expanded social services.</w:t>
      </w:r>
    </w:p>
    <w:p w14:paraId="2FF5E42E" w14:textId="77777777" w:rsidR="00E31DED" w:rsidRDefault="00E31DED" w:rsidP="009E3730">
      <w:pPr>
        <w:widowControl w:val="0"/>
        <w:suppressAutoHyphens/>
        <w:rPr>
          <w:highlight w:val="green"/>
        </w:rPr>
      </w:pPr>
    </w:p>
    <w:p w14:paraId="4EAB042C" w14:textId="00A63CD8" w:rsidR="00FD2EA3" w:rsidRPr="00AC5C02" w:rsidRDefault="00FD2EA3" w:rsidP="009E3730">
      <w:pPr>
        <w:widowControl w:val="0"/>
        <w:suppressAutoHyphens/>
      </w:pPr>
      <w:r w:rsidRPr="00AC5C02">
        <w:t>For credibility, key features are Government commitment and ability to implement the Strategy</w:t>
      </w:r>
      <w:r w:rsidR="000C760D">
        <w:t>. Various Government statements and the 2017 BDD confirm the Government's commitment. A</w:t>
      </w:r>
      <w:r w:rsidRPr="00AC5C02">
        <w:t xml:space="preserve">n important element of </w:t>
      </w:r>
      <w:r w:rsidR="000C760D">
        <w:t xml:space="preserve">credibility </w:t>
      </w:r>
      <w:r w:rsidRPr="00AC5C02">
        <w:t xml:space="preserve">is the allocation of sufficient funds to successfully </w:t>
      </w:r>
      <w:r w:rsidR="000C760D">
        <w:t>implement</w:t>
      </w:r>
      <w:r w:rsidRPr="00AC5C02">
        <w:t xml:space="preserve"> the activities in the Action Plan. The Labour Market Reform Strategy is costed and annualised, although the spreading of many activities across several years mean</w:t>
      </w:r>
      <w:r w:rsidR="000C760D">
        <w:t>s</w:t>
      </w:r>
      <w:r w:rsidRPr="00AC5C02">
        <w:t xml:space="preserve"> it is not possible to measure </w:t>
      </w:r>
      <w:r w:rsidR="000C760D">
        <w:t xml:space="preserve">the timeliness of </w:t>
      </w:r>
      <w:r w:rsidRPr="00AC5C02">
        <w:t xml:space="preserve">progress in their implementation (and, thereby, the extent of delays or accelerated implementation which will affect activities and budgets for future years). With respect to costs, it is </w:t>
      </w:r>
      <w:r w:rsidR="000C760D">
        <w:t xml:space="preserve">difficult </w:t>
      </w:r>
      <w:r w:rsidRPr="00AC5C02">
        <w:t xml:space="preserve">to assess whether those </w:t>
      </w:r>
      <w:r w:rsidR="000C760D">
        <w:t xml:space="preserve">in the Action Plan </w:t>
      </w:r>
      <w:r w:rsidRPr="00AC5C02">
        <w:t>are realistic, but lack of sufficient financial resources was not given to the Review as a reason for underperformance in any particular area. The</w:t>
      </w:r>
      <w:r w:rsidR="007B3C5F">
        <w:t>re have been major changes in budgetary allocations through budgetary amendments, as noted above, but this appears to reflect as much delays and changes in implementation as in withdrawal of funding</w:t>
      </w:r>
      <w:r w:rsidR="003024F1">
        <w:t xml:space="preserve"> (with, for example, underspending on the ESS in 2015 reflected in increased funding in 2016)</w:t>
      </w:r>
      <w:r w:rsidR="007B3C5F">
        <w:t xml:space="preserve">. </w:t>
      </w:r>
      <w:r w:rsidRPr="00AC5C02">
        <w:t>Th</w:t>
      </w:r>
      <w:r w:rsidR="007B3C5F">
        <w:t xml:space="preserve">e adequacy of the budget will be tested as </w:t>
      </w:r>
      <w:r w:rsidRPr="00AC5C02">
        <w:t xml:space="preserve">active labour market measures </w:t>
      </w:r>
      <w:r w:rsidR="007B3C5F">
        <w:t xml:space="preserve">are introduced: </w:t>
      </w:r>
      <w:r w:rsidRPr="00AC5C02">
        <w:t xml:space="preserve">a major part of the cost </w:t>
      </w:r>
      <w:r w:rsidR="007B3C5F">
        <w:t xml:space="preserve">in </w:t>
      </w:r>
      <w:r w:rsidRPr="00AC5C02">
        <w:t xml:space="preserve">the Action Plan </w:t>
      </w:r>
      <w:r w:rsidR="007B3C5F">
        <w:t xml:space="preserve">relates to </w:t>
      </w:r>
      <w:r w:rsidRPr="00AC5C02">
        <w:t>the training or reskilling of labour and the support for enterprise development to promote employment</w:t>
      </w:r>
      <w:r w:rsidR="00F56006">
        <w:rPr>
          <w:rStyle w:val="FootnoteReference"/>
        </w:rPr>
        <w:footnoteReference w:id="12"/>
      </w:r>
      <w:r w:rsidR="007B3C5F">
        <w:t>.</w:t>
      </w:r>
      <w:r w:rsidRPr="00AC5C02">
        <w:t xml:space="preserve"> </w:t>
      </w:r>
    </w:p>
    <w:p w14:paraId="11CBF6C3" w14:textId="77777777" w:rsidR="00FD2EA3" w:rsidRDefault="00FD2EA3" w:rsidP="009E3730">
      <w:pPr>
        <w:widowControl w:val="0"/>
        <w:suppressAutoHyphens/>
        <w:rPr>
          <w:highlight w:val="green"/>
        </w:rPr>
      </w:pPr>
    </w:p>
    <w:p w14:paraId="58C64418" w14:textId="33B92A9B" w:rsidR="00FD2EA3" w:rsidRPr="00C46DA8" w:rsidRDefault="00FD2EA3" w:rsidP="009E3730">
      <w:pPr>
        <w:widowControl w:val="0"/>
        <w:suppressAutoHyphens/>
      </w:pPr>
      <w:r w:rsidRPr="00C46DA8">
        <w:t xml:space="preserve">Although the Strategy is a four year strategy with a four year action plan, and hence a four year budget, it is clear that the process of labour market reform will extend long beyond 2018. Both the Strategy and the Action Plan should be revised each year in the light of policy developments and achievements, with the Action Plan rolled forward a year to concur with the four year Georgia budget process. This means that there should have been an action plan for 2016-2019 agreed by mid-2015 for its actions and costs to </w:t>
      </w:r>
      <w:r w:rsidR="0075748E">
        <w:t xml:space="preserve">have </w:t>
      </w:r>
      <w:r w:rsidRPr="00C46DA8">
        <w:t>be</w:t>
      </w:r>
      <w:r w:rsidR="0075748E">
        <w:t>en</w:t>
      </w:r>
      <w:r w:rsidRPr="00C46DA8">
        <w:t xml:space="preserve"> </w:t>
      </w:r>
      <w:r w:rsidR="0075748E">
        <w:t xml:space="preserve">properly </w:t>
      </w:r>
      <w:r w:rsidRPr="00C46DA8">
        <w:t xml:space="preserve">reflected in the FY2016 Budget Law, </w:t>
      </w:r>
      <w:r w:rsidR="00DD6EDD">
        <w:t>and one for 2017-2020 agreed by mid-2016 to be reflected in th</w:t>
      </w:r>
      <w:r w:rsidR="0075748E">
        <w:t>e FY2017 Budget Law adopted in D</w:t>
      </w:r>
      <w:r w:rsidR="00DD6EDD">
        <w:t>ecember 2016. As far as the Review is aware, no such revision of strategy and action plan has taken place</w:t>
      </w:r>
      <w:r w:rsidR="0075748E">
        <w:t>. The Programme has, however, been included at the same level in the medium term budgets for 2019 and 2020, but without the extension of strategy and action plan the basis of this is unclear</w:t>
      </w:r>
      <w:r w:rsidRPr="00C46DA8">
        <w:t>.</w:t>
      </w:r>
      <w:r w:rsidR="00DD6EDD">
        <w:t xml:space="preserve"> </w:t>
      </w:r>
      <w:r w:rsidR="0075748E">
        <w:t>Indeed, as active labour market measures progress, it is anticipated that budgetary requirements will increase</w:t>
      </w:r>
      <w:r w:rsidR="00000575">
        <w:t>. In t</w:t>
      </w:r>
      <w:r w:rsidR="00DD6EDD">
        <w:t>h</w:t>
      </w:r>
      <w:r w:rsidR="00000575">
        <w:t>e absence of the annual rolling forward and reassessment of the plan, and a new strategy left to late 2018 to develop, the availability of adequate funding for a future larger programme may be in doubt</w:t>
      </w:r>
      <w:r w:rsidR="00DD6EDD">
        <w:t>.</w:t>
      </w:r>
    </w:p>
    <w:p w14:paraId="492F41D5" w14:textId="77777777" w:rsidR="00FD2EA3" w:rsidRDefault="00FD2EA3" w:rsidP="009E3730">
      <w:pPr>
        <w:widowControl w:val="0"/>
        <w:suppressAutoHyphens/>
      </w:pPr>
    </w:p>
    <w:p w14:paraId="4697BE33" w14:textId="77777777" w:rsidR="00FD2EA3" w:rsidRDefault="00FD2EA3" w:rsidP="009E3730">
      <w:pPr>
        <w:pStyle w:val="Heading3"/>
        <w:widowControl w:val="0"/>
        <w:suppressAutoHyphens/>
      </w:pPr>
      <w:bookmarkStart w:id="27" w:name="_Toc456280455"/>
      <w:bookmarkStart w:id="28" w:name="_Toc486837755"/>
      <w:r>
        <w:t>ii)</w:t>
      </w:r>
      <w:r>
        <w:tab/>
        <w:t>Vocational Education and Training (VET) Policy</w:t>
      </w:r>
      <w:bookmarkEnd w:id="27"/>
      <w:bookmarkEnd w:id="28"/>
    </w:p>
    <w:p w14:paraId="46688CC2" w14:textId="77777777" w:rsidR="00FD2EA3" w:rsidRDefault="00FD2EA3" w:rsidP="009E3730">
      <w:pPr>
        <w:widowControl w:val="0"/>
        <w:suppressAutoHyphens/>
      </w:pPr>
    </w:p>
    <w:p w14:paraId="33ECCD56" w14:textId="77777777" w:rsidR="00FD2EA3" w:rsidRDefault="00FD2EA3" w:rsidP="009E3730">
      <w:pPr>
        <w:widowControl w:val="0"/>
        <w:suppressAutoHyphens/>
        <w:rPr>
          <w:i/>
          <w:iCs/>
        </w:rPr>
      </w:pPr>
      <w:r w:rsidRPr="00F278A9">
        <w:rPr>
          <w:b/>
          <w:iCs/>
          <w:u w:val="single"/>
        </w:rPr>
        <w:t>Indicator 2</w:t>
      </w:r>
      <w:r w:rsidRPr="00F278A9">
        <w:rPr>
          <w:b/>
          <w:iCs/>
        </w:rPr>
        <w:t>:</w:t>
      </w:r>
      <w:r>
        <w:rPr>
          <w:i/>
          <w:iCs/>
        </w:rPr>
        <w:t xml:space="preserve"> </w:t>
      </w:r>
      <w:r>
        <w:rPr>
          <w:i/>
          <w:iCs/>
          <w:lang w:eastAsia="en-GB"/>
        </w:rPr>
        <w:t xml:space="preserve">The Ministry of Education and Science: monitors, updates, assesses and publishes on its web-site a relevant and credible medium-term VET reform strategy together with the costed Action Plan reflected in the Ministry’s annual budget proposal to be submitted to the Ministry of Finance, and subsequently as part of the Basic Data and Directions </w:t>
      </w:r>
      <w:r>
        <w:rPr>
          <w:i/>
          <w:iCs/>
          <w:lang w:eastAsia="en-GB"/>
        </w:rPr>
        <w:lastRenderedPageBreak/>
        <w:t>Document to the Government of Georgia and in the annual budget law to the Parliament.</w:t>
      </w:r>
    </w:p>
    <w:p w14:paraId="1E8E346F" w14:textId="77777777" w:rsidR="00FD2EA3" w:rsidRDefault="00FD2EA3" w:rsidP="009E3730">
      <w:pPr>
        <w:widowControl w:val="0"/>
        <w:suppressAutoHyphens/>
      </w:pPr>
    </w:p>
    <w:p w14:paraId="507E5825" w14:textId="77777777" w:rsidR="00FD2EA3" w:rsidRDefault="00FD2EA3" w:rsidP="009E3730">
      <w:pPr>
        <w:widowControl w:val="0"/>
        <w:suppressAutoHyphens/>
        <w:rPr>
          <w:i/>
          <w:iCs/>
        </w:rPr>
      </w:pPr>
      <w:r>
        <w:rPr>
          <w:i/>
          <w:iCs/>
        </w:rPr>
        <w:t>Source of Verification:</w:t>
      </w:r>
    </w:p>
    <w:p w14:paraId="1A086AC5" w14:textId="77777777" w:rsidR="00FD2EA3" w:rsidRDefault="00FD2EA3" w:rsidP="007C295F">
      <w:pPr>
        <w:widowControl w:val="0"/>
        <w:numPr>
          <w:ilvl w:val="0"/>
          <w:numId w:val="22"/>
        </w:numPr>
        <w:suppressAutoHyphens/>
        <w:rPr>
          <w:i/>
          <w:iCs/>
          <w:lang w:eastAsia="en-GB"/>
        </w:rPr>
      </w:pPr>
      <w:r>
        <w:rPr>
          <w:i/>
          <w:iCs/>
          <w:lang w:eastAsia="en-GB"/>
        </w:rPr>
        <w:t>MoES VET Strategy and Action Plan for 2014-2017 Government of Georgia;</w:t>
      </w:r>
    </w:p>
    <w:p w14:paraId="4FF4CD8C" w14:textId="77777777" w:rsidR="00FD2EA3" w:rsidRDefault="00FD2EA3" w:rsidP="007C295F">
      <w:pPr>
        <w:widowControl w:val="0"/>
        <w:numPr>
          <w:ilvl w:val="0"/>
          <w:numId w:val="22"/>
        </w:numPr>
        <w:suppressAutoHyphens/>
        <w:rPr>
          <w:i/>
          <w:iCs/>
        </w:rPr>
      </w:pPr>
      <w:r>
        <w:rPr>
          <w:i/>
          <w:iCs/>
          <w:lang w:eastAsia="en-GB"/>
        </w:rPr>
        <w:t>MoES budget proposal;</w:t>
      </w:r>
    </w:p>
    <w:p w14:paraId="7D7E66B9" w14:textId="77777777" w:rsidR="00FD2EA3" w:rsidRDefault="00FD2EA3" w:rsidP="007C295F">
      <w:pPr>
        <w:widowControl w:val="0"/>
        <w:numPr>
          <w:ilvl w:val="0"/>
          <w:numId w:val="22"/>
        </w:numPr>
        <w:suppressAutoHyphens/>
        <w:rPr>
          <w:i/>
          <w:iCs/>
        </w:rPr>
      </w:pPr>
      <w:r>
        <w:rPr>
          <w:i/>
          <w:iCs/>
          <w:lang w:eastAsia="en-GB"/>
        </w:rPr>
        <w:t>MoES Annual Reports (2015, 2016, 2017 on implementation of the VET Strategy Action Plan including statistical data reflecting the achievement of the indicators included in the Action Plan;</w:t>
      </w:r>
    </w:p>
    <w:p w14:paraId="7537B280" w14:textId="77777777" w:rsidR="00FD2EA3" w:rsidRDefault="00FD2EA3" w:rsidP="007C295F">
      <w:pPr>
        <w:widowControl w:val="0"/>
        <w:numPr>
          <w:ilvl w:val="0"/>
          <w:numId w:val="22"/>
        </w:numPr>
        <w:suppressAutoHyphens/>
        <w:rPr>
          <w:i/>
          <w:iCs/>
        </w:rPr>
      </w:pPr>
      <w:r>
        <w:rPr>
          <w:i/>
          <w:iCs/>
          <w:lang w:eastAsia="en-GB"/>
        </w:rPr>
        <w:t>MoES website.</w:t>
      </w:r>
    </w:p>
    <w:p w14:paraId="74C7DCE5" w14:textId="77777777" w:rsidR="00FD2EA3" w:rsidRDefault="00FD2EA3" w:rsidP="009E3730">
      <w:pPr>
        <w:widowControl w:val="0"/>
        <w:suppressAutoHyphens/>
      </w:pPr>
    </w:p>
    <w:p w14:paraId="32723BE5" w14:textId="77777777" w:rsidR="00FD2EA3" w:rsidRDefault="00FD2EA3" w:rsidP="009E3730">
      <w:pPr>
        <w:widowControl w:val="0"/>
        <w:suppressAutoHyphens/>
        <w:rPr>
          <w:b/>
          <w:bCs/>
        </w:rPr>
      </w:pPr>
      <w:r w:rsidRPr="00721309">
        <w:rPr>
          <w:b/>
          <w:bCs/>
          <w:u w:val="single"/>
        </w:rPr>
        <w:t>Review Assessment</w:t>
      </w:r>
      <w:r>
        <w:rPr>
          <w:b/>
          <w:bCs/>
        </w:rPr>
        <w:t xml:space="preserve">: </w:t>
      </w:r>
      <w:r w:rsidRPr="00F278A9">
        <w:rPr>
          <w:b/>
          <w:bCs/>
          <w:u w:val="single"/>
        </w:rPr>
        <w:t>fulfilled</w:t>
      </w:r>
      <w:r>
        <w:rPr>
          <w:b/>
          <w:bCs/>
        </w:rPr>
        <w:t>.</w:t>
      </w:r>
    </w:p>
    <w:p w14:paraId="6370A006" w14:textId="77777777" w:rsidR="00FD2EA3" w:rsidRDefault="00FD2EA3" w:rsidP="009E3730">
      <w:pPr>
        <w:widowControl w:val="0"/>
        <w:suppressAutoHyphens/>
      </w:pPr>
    </w:p>
    <w:p w14:paraId="3381F97E" w14:textId="77777777" w:rsidR="000F31F3" w:rsidRPr="00FB3614" w:rsidRDefault="000F31F3" w:rsidP="000F31F3">
      <w:r w:rsidRPr="00FB3614">
        <w:t>The "Vocational Education and Training Development Strategy for 2013-2020", with an Action Plan for 2013-2017 was adopted by MoES towards the end of 2013, and is available on the MoES web-site</w:t>
      </w:r>
      <w:r w:rsidRPr="00FB3614">
        <w:rPr>
          <w:rStyle w:val="FootnoteReference"/>
        </w:rPr>
        <w:footnoteReference w:id="13"/>
      </w:r>
      <w:r w:rsidRPr="00FB3614">
        <w:t xml:space="preserve">. </w:t>
      </w:r>
      <w:r>
        <w:t>The Monitoring report produced by MoES (Monitoring Department under the VET Department) on implementation of the action plan (SIAP) in 2016 indicates sufficient progress has been achieved to satisfy the requirements of the Sector Policy General Condition.</w:t>
      </w:r>
    </w:p>
    <w:p w14:paraId="1C4D3868" w14:textId="77777777" w:rsidR="000F31F3" w:rsidRPr="00F62F8B" w:rsidRDefault="000F31F3" w:rsidP="000F31F3"/>
    <w:p w14:paraId="5979BB42" w14:textId="77777777" w:rsidR="000F31F3" w:rsidRPr="00F62F8B" w:rsidRDefault="000F31F3" w:rsidP="000F31F3">
      <w:r w:rsidRPr="00F62F8B">
        <w:t>The overall objective of the Strategy is ‘</w:t>
      </w:r>
      <w:r w:rsidRPr="00F62F8B">
        <w:rPr>
          <w:i/>
        </w:rPr>
        <w:t>to support the Government's Socio-Economic Development and Poverty Reduction priorities for Georgia over the coming decade by maximizing the national and individual potential of the country's human resources through the promotion of the widespread availability of high quality vocational skills to flexibly meet the economy's labour requirements in the immediate, medium and longer term and the creation of opportunities for individuals from all segments of society to develop their talent and maximize their potential for personal and economic fulfilment</w:t>
      </w:r>
      <w:r w:rsidRPr="00F62F8B">
        <w:t>’.</w:t>
      </w:r>
    </w:p>
    <w:p w14:paraId="2E11A5C6" w14:textId="77777777" w:rsidR="000F31F3" w:rsidRPr="00F62F8B" w:rsidRDefault="000F31F3" w:rsidP="000F31F3"/>
    <w:p w14:paraId="76116BC0" w14:textId="77777777" w:rsidR="000F31F3" w:rsidRPr="00F62F8B" w:rsidRDefault="000F31F3" w:rsidP="000F31F3">
      <w:r w:rsidRPr="00F62F8B">
        <w:t>The specific objectives of the Strategy refer to creation of a nationwide flexible VET network promoting excellence in skills development, equal opportunities of inclusion for all segments of population in personal development schemes and processes, skills for well-remunerated employment or self-employment within the context of sustainable career development and personal fulfilment. The Strategy focusses on the achievement of outcomes under seven major headings or components, including, for instance, VET sector management, VET providers’ network, and VET programmes relevant to labour market needs, defining for each targets, tasks, and activities.</w:t>
      </w:r>
    </w:p>
    <w:p w14:paraId="3481749F" w14:textId="77777777" w:rsidR="00FD2EA3" w:rsidRDefault="00FD2EA3" w:rsidP="009E3730">
      <w:pPr>
        <w:widowControl w:val="0"/>
        <w:suppressAutoHyphens/>
      </w:pPr>
    </w:p>
    <w:p w14:paraId="51AB7AB8" w14:textId="77777777" w:rsidR="00917908" w:rsidRPr="00F62F8B" w:rsidRDefault="00917908" w:rsidP="00917908">
      <w:r w:rsidRPr="00F62F8B">
        <w:t>The Action Plan</w:t>
      </w:r>
      <w:r w:rsidRPr="00F62F8B">
        <w:rPr>
          <w:rStyle w:val="FootnoteReference"/>
        </w:rPr>
        <w:footnoteReference w:id="14"/>
      </w:r>
      <w:r w:rsidRPr="00F62F8B">
        <w:t xml:space="preserve"> that accompanied the Strategy covered the period 2013-2017. This was because it was recognized that the action plan should coincide with the four year medium term budget process in Georgia, the Action Plan providing the basis on which to assess budgetary allocations not only in the next year but over the medium term, as displayed in programme budgets, to ensure adequate resources are committed (or where not available, to adjust the actions or their timeframe in an amended plan). The expectation was that each year the Action Plan would be rolled forward a year, with adjustments made to take account of over or under performance achieved in implementation. With only a couple of months of 2013 left after the Strategy and Action Plan were finalised, the initial Action Plan was designed to meet the FY2014 budget cycle, the adopted budget including besides the budgetary allocations for FY2014 also the medium term expenditure framework (MTEF) reflected in the BDD and programme budgets for the four years of FY2014-2017. However, although the Action Plan for 2013-2017 was annualised, it was not costed, and the defined indicators were hardly measurable. Its link, therefore, with budgetary allocations made in the FY2014 budget and included in the MTEF for 2014-2017, was unclear. </w:t>
      </w:r>
    </w:p>
    <w:p w14:paraId="3A8FC31B" w14:textId="77777777" w:rsidR="00917908" w:rsidRPr="00F62F8B" w:rsidRDefault="00917908" w:rsidP="00917908"/>
    <w:p w14:paraId="33AAF0C5" w14:textId="4F8C6CEE" w:rsidR="00FD2EA3" w:rsidRDefault="00FD2EA3" w:rsidP="009E3730">
      <w:pPr>
        <w:widowControl w:val="0"/>
        <w:suppressAutoHyphens/>
      </w:pPr>
      <w:r>
        <w:lastRenderedPageBreak/>
        <w:t xml:space="preserve">Since then the Action Plan should have been revised annually, maintaining the link with the medium term budget process and associated programme budgets. This means that an Action Plan for 2015-2018 should have been agreed in 2014, an Action Plan for 2016-2019 in 2015, </w:t>
      </w:r>
      <w:r w:rsidR="000F31F3">
        <w:t xml:space="preserve">and an Action Plan for 2017-2020 in 2016, </w:t>
      </w:r>
      <w:r>
        <w:t>in each case preferably including actions in earlier years of the Strategy to act as a baseline. However, there is no evidence to suggest that this dynamic planning process has been fulfilled, even though programme budgets have been extended through the Government's annual budget preparation process</w:t>
      </w:r>
      <w:r>
        <w:rPr>
          <w:rStyle w:val="FootnoteReference"/>
        </w:rPr>
        <w:footnoteReference w:id="15"/>
      </w:r>
      <w:r>
        <w:t xml:space="preserve">. </w:t>
      </w:r>
    </w:p>
    <w:p w14:paraId="3FE38D88" w14:textId="77777777" w:rsidR="00FD2EA3" w:rsidRDefault="00FD2EA3" w:rsidP="009E3730">
      <w:pPr>
        <w:widowControl w:val="0"/>
        <w:suppressAutoHyphens/>
      </w:pPr>
    </w:p>
    <w:p w14:paraId="1EC2F939" w14:textId="77777777" w:rsidR="00EB2741" w:rsidRDefault="00EB2741" w:rsidP="00EB2741">
      <w:r w:rsidRPr="00F62F8B">
        <w:t xml:space="preserve">The SIAP is structured around 7 </w:t>
      </w:r>
      <w:r w:rsidRPr="007B3979">
        <w:rPr>
          <w:b/>
          <w:i/>
        </w:rPr>
        <w:t>outcomes</w:t>
      </w:r>
      <w:r w:rsidRPr="007B3979">
        <w:t xml:space="preserve"> </w:t>
      </w:r>
      <w:r w:rsidRPr="00F62F8B">
        <w:t>related to:</w:t>
      </w:r>
    </w:p>
    <w:p w14:paraId="38DFC757" w14:textId="77777777" w:rsidR="00EB2741" w:rsidRPr="00F62F8B" w:rsidRDefault="00EB2741" w:rsidP="00EB2741"/>
    <w:p w14:paraId="7BEF20F4" w14:textId="77777777" w:rsidR="00EB2741" w:rsidRPr="00F62F8B" w:rsidRDefault="00EB2741" w:rsidP="00EB2741">
      <w:pPr>
        <w:ind w:left="567" w:hanging="283"/>
        <w:rPr>
          <w:i/>
        </w:rPr>
      </w:pPr>
      <w:r w:rsidRPr="00F62F8B">
        <w:rPr>
          <w:i/>
        </w:rPr>
        <w:t>1. VET sector management structure eliciting full and equal participation of the social partners (employers and employees) and civil society;</w:t>
      </w:r>
    </w:p>
    <w:p w14:paraId="1FD0345E" w14:textId="77777777" w:rsidR="00EB2741" w:rsidRPr="00F62F8B" w:rsidRDefault="00EB2741" w:rsidP="00EB2741">
      <w:pPr>
        <w:ind w:left="567" w:hanging="283"/>
        <w:rPr>
          <w:i/>
        </w:rPr>
      </w:pPr>
      <w:r w:rsidRPr="00F62F8B">
        <w:rPr>
          <w:i/>
        </w:rPr>
        <w:t>2. A nationwide network of well-funded and well managed public and private VET providers;</w:t>
      </w:r>
    </w:p>
    <w:p w14:paraId="1175BA11" w14:textId="77777777" w:rsidR="00EB2741" w:rsidRPr="00F62F8B" w:rsidRDefault="00EB2741" w:rsidP="00EB2741">
      <w:pPr>
        <w:ind w:left="567" w:hanging="283"/>
        <w:rPr>
          <w:i/>
        </w:rPr>
      </w:pPr>
      <w:r w:rsidRPr="00F62F8B">
        <w:rPr>
          <w:i/>
        </w:rPr>
        <w:t>3. VET programmes relevant to the current and future LM needs;</w:t>
      </w:r>
    </w:p>
    <w:p w14:paraId="6C6FCF54" w14:textId="77777777" w:rsidR="00EB2741" w:rsidRPr="00F62F8B" w:rsidRDefault="00EB2741" w:rsidP="00EB2741">
      <w:pPr>
        <w:ind w:left="567" w:hanging="283"/>
        <w:rPr>
          <w:i/>
        </w:rPr>
      </w:pPr>
      <w:r w:rsidRPr="00F62F8B">
        <w:rPr>
          <w:i/>
        </w:rPr>
        <w:t>4. VET educators prepared in modern education techniques and the latest developments in their field of expertise;</w:t>
      </w:r>
    </w:p>
    <w:p w14:paraId="1871A95A" w14:textId="77777777" w:rsidR="00EB2741" w:rsidRPr="00F62F8B" w:rsidRDefault="00EB2741" w:rsidP="00EB2741">
      <w:pPr>
        <w:ind w:left="567" w:hanging="283"/>
        <w:rPr>
          <w:i/>
        </w:rPr>
      </w:pPr>
      <w:r w:rsidRPr="00F62F8B">
        <w:rPr>
          <w:i/>
        </w:rPr>
        <w:t>5. A system of nationally and internationally recognized awards and VET qualifications;</w:t>
      </w:r>
    </w:p>
    <w:p w14:paraId="5B7AA175" w14:textId="77777777" w:rsidR="00EB2741" w:rsidRPr="00F62F8B" w:rsidRDefault="00EB2741" w:rsidP="00EB2741">
      <w:pPr>
        <w:ind w:left="567" w:hanging="283"/>
        <w:rPr>
          <w:i/>
        </w:rPr>
      </w:pPr>
      <w:r w:rsidRPr="00F62F8B">
        <w:rPr>
          <w:i/>
        </w:rPr>
        <w:t>6. Full employability of VET graduates;</w:t>
      </w:r>
    </w:p>
    <w:p w14:paraId="0A90F573" w14:textId="77777777" w:rsidR="00EB2741" w:rsidRPr="00F62F8B" w:rsidRDefault="00EB2741" w:rsidP="00EB2741">
      <w:pPr>
        <w:ind w:left="567" w:hanging="283"/>
        <w:rPr>
          <w:i/>
        </w:rPr>
      </w:pPr>
      <w:r w:rsidRPr="00F62F8B">
        <w:rPr>
          <w:i/>
        </w:rPr>
        <w:t>7. Widespread recognition of VET as attractive and rewarding pathway for personal development,</w:t>
      </w:r>
    </w:p>
    <w:p w14:paraId="7624FE7D" w14:textId="77777777" w:rsidR="00EB2741" w:rsidRPr="00F62F8B" w:rsidRDefault="00EB2741" w:rsidP="00EB2741"/>
    <w:p w14:paraId="0443E6B8" w14:textId="77777777" w:rsidR="00EB2741" w:rsidRPr="00F62F8B" w:rsidRDefault="00EB2741" w:rsidP="00EB2741">
      <w:r w:rsidRPr="00F62F8B">
        <w:t xml:space="preserve">corresponding </w:t>
      </w:r>
      <w:r w:rsidRPr="00F62F8B">
        <w:rPr>
          <w:b/>
          <w:i/>
        </w:rPr>
        <w:t>targets</w:t>
      </w:r>
      <w:r w:rsidRPr="00F62F8B">
        <w:t xml:space="preserve"> (20 in total) with indicators and a number of </w:t>
      </w:r>
      <w:r w:rsidRPr="00F62F8B">
        <w:rPr>
          <w:b/>
          <w:i/>
        </w:rPr>
        <w:t>activities</w:t>
      </w:r>
      <w:r w:rsidRPr="00F62F8B">
        <w:t xml:space="preserve"> per target. According to the Action Plan, around 61 activities were planned to be implemented in 2016.</w:t>
      </w:r>
    </w:p>
    <w:p w14:paraId="61D90757" w14:textId="77777777" w:rsidR="00917908" w:rsidRDefault="00917908" w:rsidP="009E3730">
      <w:pPr>
        <w:widowControl w:val="0"/>
        <w:suppressAutoHyphens/>
      </w:pPr>
    </w:p>
    <w:p w14:paraId="37261CFF" w14:textId="2C33216F" w:rsidR="00EB2741" w:rsidRDefault="00EB2741" w:rsidP="00EB2741">
      <w:r w:rsidRPr="00F62F8B">
        <w:t>A Monitoring Report</w:t>
      </w:r>
      <w:r>
        <w:rPr>
          <w:rStyle w:val="FootnoteReference"/>
        </w:rPr>
        <w:footnoteReference w:id="16"/>
      </w:r>
      <w:r w:rsidRPr="00F62F8B">
        <w:t xml:space="preserve"> provided by MoES refers to a 2016 Action Plan, which was not a document shared with the Review in 2017. It does not appear that a revised medium term action plan for 201</w:t>
      </w:r>
      <w:r>
        <w:t>6</w:t>
      </w:r>
      <w:r w:rsidRPr="00F62F8B">
        <w:t>-201</w:t>
      </w:r>
      <w:r>
        <w:t>9</w:t>
      </w:r>
      <w:r w:rsidRPr="00F62F8B">
        <w:t xml:space="preserve">, taking account of delays or accelerated performance during 2013-2015 and of changes in policy priorities and directions based on </w:t>
      </w:r>
      <w:r>
        <w:t xml:space="preserve">implementation </w:t>
      </w:r>
      <w:r w:rsidRPr="00F62F8B">
        <w:t>experience, and meeting 2016 budgetary planning needs and realities, has been produced. The Monitoring report also refers to the Matrix Management Model (MMM) for 2016.</w:t>
      </w:r>
    </w:p>
    <w:p w14:paraId="4C333DAD" w14:textId="77777777" w:rsidR="00EB2741" w:rsidRPr="00F62F8B" w:rsidRDefault="00EB2741" w:rsidP="00EB2741"/>
    <w:p w14:paraId="64D1E3EC" w14:textId="77777777" w:rsidR="00EB2741" w:rsidRDefault="00EB2741" w:rsidP="00EB2741">
      <w:r w:rsidRPr="00F62F8B">
        <w:t>The Report presents achievements under the following headings which, however are only partially compliant with the 7 outputs defined by the AP (see above)</w:t>
      </w:r>
      <w:r w:rsidRPr="00F62F8B">
        <w:rPr>
          <w:rStyle w:val="FootnoteReference"/>
        </w:rPr>
        <w:footnoteReference w:id="17"/>
      </w:r>
      <w:r w:rsidRPr="00F62F8B">
        <w:t>:</w:t>
      </w:r>
    </w:p>
    <w:p w14:paraId="6321B8E9" w14:textId="77777777" w:rsidR="00EB2741" w:rsidRPr="00EB2741" w:rsidRDefault="00EB2741" w:rsidP="00EB2741">
      <w:pPr>
        <w:rPr>
          <w:rFonts w:cs="Arial"/>
        </w:rPr>
      </w:pPr>
    </w:p>
    <w:p w14:paraId="1FBFBD3B" w14:textId="77777777" w:rsidR="00EB2741" w:rsidRPr="00EB2741" w:rsidRDefault="00EB2741" w:rsidP="007C295F">
      <w:pPr>
        <w:pStyle w:val="ListParagraph"/>
        <w:numPr>
          <w:ilvl w:val="0"/>
          <w:numId w:val="42"/>
        </w:numPr>
        <w:spacing w:line="240" w:lineRule="auto"/>
        <w:jc w:val="both"/>
        <w:rPr>
          <w:rFonts w:ascii="Arial" w:hAnsi="Arial" w:cs="Arial"/>
        </w:rPr>
      </w:pPr>
      <w:r w:rsidRPr="00EB2741">
        <w:rPr>
          <w:rFonts w:ascii="Arial" w:hAnsi="Arial" w:cs="Arial"/>
        </w:rPr>
        <w:t>Development of the quality of vocational education (9 activities)</w:t>
      </w:r>
    </w:p>
    <w:p w14:paraId="19CB3A35" w14:textId="77777777" w:rsidR="00EB2741" w:rsidRPr="00EB2741" w:rsidRDefault="00EB2741" w:rsidP="007C295F">
      <w:pPr>
        <w:pStyle w:val="ListParagraph"/>
        <w:numPr>
          <w:ilvl w:val="0"/>
          <w:numId w:val="42"/>
        </w:numPr>
        <w:spacing w:line="240" w:lineRule="auto"/>
        <w:jc w:val="both"/>
        <w:rPr>
          <w:rFonts w:ascii="Arial" w:hAnsi="Arial" w:cs="Arial"/>
        </w:rPr>
      </w:pPr>
      <w:r w:rsidRPr="00EB2741">
        <w:rPr>
          <w:rFonts w:ascii="Arial" w:hAnsi="Arial" w:cs="Arial"/>
        </w:rPr>
        <w:t>Access to the vocational education (8 activities)</w:t>
      </w:r>
    </w:p>
    <w:p w14:paraId="2484B874" w14:textId="77777777" w:rsidR="00EB2741" w:rsidRPr="00EB2741" w:rsidRDefault="00EB2741" w:rsidP="007C295F">
      <w:pPr>
        <w:pStyle w:val="ListParagraph"/>
        <w:numPr>
          <w:ilvl w:val="0"/>
          <w:numId w:val="42"/>
        </w:numPr>
        <w:spacing w:line="240" w:lineRule="auto"/>
        <w:jc w:val="both"/>
        <w:rPr>
          <w:rFonts w:ascii="Arial" w:hAnsi="Arial" w:cs="Arial"/>
        </w:rPr>
      </w:pPr>
      <w:r w:rsidRPr="00EB2741">
        <w:rPr>
          <w:rFonts w:ascii="Arial" w:hAnsi="Arial" w:cs="Arial"/>
        </w:rPr>
        <w:t>Adequacy of skills and readiness for employment (6 activities)</w:t>
      </w:r>
    </w:p>
    <w:p w14:paraId="12A512A2" w14:textId="77777777" w:rsidR="00EB2741" w:rsidRPr="00EB2741" w:rsidRDefault="00EB2741" w:rsidP="007C295F">
      <w:pPr>
        <w:pStyle w:val="ListParagraph"/>
        <w:numPr>
          <w:ilvl w:val="0"/>
          <w:numId w:val="42"/>
        </w:numPr>
        <w:spacing w:line="240" w:lineRule="auto"/>
        <w:jc w:val="both"/>
        <w:rPr>
          <w:rFonts w:ascii="Arial" w:hAnsi="Arial" w:cs="Arial"/>
        </w:rPr>
      </w:pPr>
      <w:r w:rsidRPr="00EB2741">
        <w:rPr>
          <w:rFonts w:ascii="Arial" w:hAnsi="Arial" w:cs="Arial"/>
        </w:rPr>
        <w:lastRenderedPageBreak/>
        <w:t>Professional development of professional teachers (5 activities)</w:t>
      </w:r>
    </w:p>
    <w:p w14:paraId="61C8982E" w14:textId="77777777" w:rsidR="00EB2741" w:rsidRPr="00EB2741" w:rsidRDefault="00EB2741" w:rsidP="007C295F">
      <w:pPr>
        <w:pStyle w:val="ListParagraph"/>
        <w:numPr>
          <w:ilvl w:val="0"/>
          <w:numId w:val="42"/>
        </w:numPr>
        <w:spacing w:line="240" w:lineRule="auto"/>
        <w:jc w:val="both"/>
        <w:rPr>
          <w:rFonts w:ascii="Arial" w:hAnsi="Arial" w:cs="Arial"/>
        </w:rPr>
      </w:pPr>
      <w:r w:rsidRPr="00EB2741">
        <w:rPr>
          <w:rFonts w:ascii="Arial" w:hAnsi="Arial" w:cs="Arial"/>
        </w:rPr>
        <w:t>Awareness raising activities (11 activities)</w:t>
      </w:r>
    </w:p>
    <w:p w14:paraId="678319EA" w14:textId="77777777" w:rsidR="00EB2741" w:rsidRPr="00EB2741" w:rsidRDefault="00EB2741" w:rsidP="007C295F">
      <w:pPr>
        <w:pStyle w:val="ListParagraph"/>
        <w:numPr>
          <w:ilvl w:val="0"/>
          <w:numId w:val="42"/>
        </w:numPr>
        <w:spacing w:line="240" w:lineRule="auto"/>
        <w:jc w:val="both"/>
        <w:rPr>
          <w:rFonts w:ascii="Arial" w:hAnsi="Arial" w:cs="Arial"/>
        </w:rPr>
      </w:pPr>
      <w:r w:rsidRPr="00EB2741">
        <w:rPr>
          <w:rFonts w:ascii="Arial" w:hAnsi="Arial" w:cs="Arial"/>
        </w:rPr>
        <w:t>Institutional development and capacity building (6 activities)</w:t>
      </w:r>
    </w:p>
    <w:p w14:paraId="2B8613DB" w14:textId="77777777" w:rsidR="00EB2741" w:rsidRPr="00EB2741" w:rsidRDefault="00EB2741" w:rsidP="007C295F">
      <w:pPr>
        <w:pStyle w:val="ListParagraph"/>
        <w:numPr>
          <w:ilvl w:val="0"/>
          <w:numId w:val="42"/>
        </w:numPr>
        <w:spacing w:line="240" w:lineRule="auto"/>
        <w:jc w:val="both"/>
        <w:rPr>
          <w:rFonts w:ascii="Arial" w:hAnsi="Arial" w:cs="Arial"/>
        </w:rPr>
      </w:pPr>
      <w:r w:rsidRPr="00EB2741">
        <w:rPr>
          <w:rFonts w:ascii="Arial" w:hAnsi="Arial" w:cs="Arial"/>
        </w:rPr>
        <w:t>Infrastructure development (2 activities)</w:t>
      </w:r>
    </w:p>
    <w:p w14:paraId="51B476F9" w14:textId="77777777" w:rsidR="00EB2741" w:rsidRPr="00EB2741" w:rsidRDefault="00EB2741" w:rsidP="007C295F">
      <w:pPr>
        <w:pStyle w:val="ListParagraph"/>
        <w:numPr>
          <w:ilvl w:val="0"/>
          <w:numId w:val="42"/>
        </w:numPr>
        <w:spacing w:line="240" w:lineRule="auto"/>
        <w:jc w:val="both"/>
        <w:rPr>
          <w:rFonts w:ascii="Arial" w:hAnsi="Arial" w:cs="Arial"/>
        </w:rPr>
      </w:pPr>
      <w:r w:rsidRPr="00EB2741">
        <w:rPr>
          <w:rFonts w:ascii="Arial" w:hAnsi="Arial" w:cs="Arial"/>
        </w:rPr>
        <w:t>Legislative framework (2 activities)</w:t>
      </w:r>
    </w:p>
    <w:p w14:paraId="13451410" w14:textId="77777777" w:rsidR="00EB2741" w:rsidRPr="00EB2741" w:rsidRDefault="00EB2741" w:rsidP="007C295F">
      <w:pPr>
        <w:pStyle w:val="ListParagraph"/>
        <w:numPr>
          <w:ilvl w:val="0"/>
          <w:numId w:val="42"/>
        </w:numPr>
        <w:spacing w:line="240" w:lineRule="auto"/>
        <w:jc w:val="both"/>
        <w:rPr>
          <w:rFonts w:ascii="Arial" w:hAnsi="Arial" w:cs="Arial"/>
        </w:rPr>
      </w:pPr>
      <w:r w:rsidRPr="00EB2741">
        <w:rPr>
          <w:rFonts w:ascii="Arial" w:hAnsi="Arial" w:cs="Arial"/>
        </w:rPr>
        <w:t>Funding (1 activity)</w:t>
      </w:r>
    </w:p>
    <w:p w14:paraId="5C1F68FA" w14:textId="77777777" w:rsidR="00EB2741" w:rsidRPr="00EB2741" w:rsidRDefault="00EB2741" w:rsidP="007C295F">
      <w:pPr>
        <w:pStyle w:val="ListParagraph"/>
        <w:numPr>
          <w:ilvl w:val="0"/>
          <w:numId w:val="42"/>
        </w:numPr>
        <w:spacing w:line="240" w:lineRule="auto"/>
        <w:jc w:val="both"/>
        <w:rPr>
          <w:rFonts w:ascii="Arial" w:hAnsi="Arial" w:cs="Arial"/>
        </w:rPr>
      </w:pPr>
      <w:r w:rsidRPr="00EB2741">
        <w:rPr>
          <w:rFonts w:ascii="Arial" w:hAnsi="Arial" w:cs="Arial"/>
        </w:rPr>
        <w:t>Monitoring and evaluation (11 activities)</w:t>
      </w:r>
    </w:p>
    <w:p w14:paraId="08875EF2" w14:textId="77777777" w:rsidR="00EB2741" w:rsidRDefault="00EB2741" w:rsidP="00EB2741"/>
    <w:p w14:paraId="3C0B1D61" w14:textId="77777777" w:rsidR="00EB2741" w:rsidRPr="00F62F8B" w:rsidRDefault="00EB2741" w:rsidP="00EB2741">
      <w:r w:rsidRPr="00F62F8B">
        <w:t>The report states that 51 activities (or 85% of their total number) were implemented, 6 (10%) were still under implementation and 3</w:t>
      </w:r>
      <w:r w:rsidRPr="00F62F8B">
        <w:rPr>
          <w:rStyle w:val="FootnoteReference"/>
        </w:rPr>
        <w:footnoteReference w:id="18"/>
      </w:r>
      <w:r w:rsidRPr="00F62F8B">
        <w:t xml:space="preserve"> (5%) were postponed for 2017.</w:t>
      </w:r>
    </w:p>
    <w:p w14:paraId="1172F4EC" w14:textId="77777777" w:rsidR="00EB2741" w:rsidRPr="00F62F8B" w:rsidRDefault="00EB2741" w:rsidP="00EB2741"/>
    <w:p w14:paraId="022ABDAE" w14:textId="2BBE98D5" w:rsidR="00EB2741" w:rsidRPr="00F62F8B" w:rsidRDefault="00EB2741" w:rsidP="00EB2741">
      <w:pPr>
        <w:pStyle w:val="yiv0622078881msonormal"/>
        <w:spacing w:before="0" w:after="0"/>
        <w:jc w:val="both"/>
        <w:rPr>
          <w:rFonts w:ascii="Arial" w:hAnsi="Arial" w:cs="Arial"/>
          <w:sz w:val="22"/>
          <w:szCs w:val="22"/>
        </w:rPr>
      </w:pPr>
      <w:r w:rsidRPr="00F62F8B">
        <w:rPr>
          <w:rFonts w:ascii="Arial" w:hAnsi="Arial" w:cs="Arial"/>
          <w:sz w:val="22"/>
          <w:szCs w:val="22"/>
        </w:rPr>
        <w:t xml:space="preserve">In the Monitoring Report, not only </w:t>
      </w:r>
      <w:r w:rsidR="00C829F2">
        <w:rPr>
          <w:rFonts w:ascii="Arial" w:hAnsi="Arial" w:cs="Arial"/>
          <w:sz w:val="22"/>
          <w:szCs w:val="22"/>
        </w:rPr>
        <w:t xml:space="preserve">do </w:t>
      </w:r>
      <w:r w:rsidRPr="00F62F8B">
        <w:rPr>
          <w:rFonts w:ascii="Arial" w:hAnsi="Arial" w:cs="Arial"/>
          <w:sz w:val="22"/>
          <w:szCs w:val="22"/>
        </w:rPr>
        <w:t xml:space="preserve">the headings </w:t>
      </w:r>
      <w:r w:rsidR="00C829F2">
        <w:rPr>
          <w:rFonts w:ascii="Arial" w:hAnsi="Arial" w:cs="Arial"/>
          <w:sz w:val="22"/>
          <w:szCs w:val="22"/>
        </w:rPr>
        <w:t xml:space="preserve">hardly </w:t>
      </w:r>
      <w:r w:rsidRPr="00F62F8B">
        <w:rPr>
          <w:rFonts w:ascii="Arial" w:hAnsi="Arial" w:cs="Arial"/>
          <w:sz w:val="22"/>
          <w:szCs w:val="22"/>
        </w:rPr>
        <w:t xml:space="preserve">mirror the outputs of the Strategy and original Action Plan, but the activities </w:t>
      </w:r>
      <w:r w:rsidR="00C829F2">
        <w:rPr>
          <w:rFonts w:ascii="Arial" w:hAnsi="Arial" w:cs="Arial"/>
          <w:sz w:val="22"/>
          <w:szCs w:val="22"/>
        </w:rPr>
        <w:t xml:space="preserve">also do </w:t>
      </w:r>
      <w:r w:rsidRPr="00F62F8B">
        <w:rPr>
          <w:rFonts w:ascii="Arial" w:hAnsi="Arial" w:cs="Arial"/>
          <w:sz w:val="22"/>
          <w:szCs w:val="22"/>
        </w:rPr>
        <w:t>not reflect th</w:t>
      </w:r>
      <w:r w:rsidR="00C829F2">
        <w:rPr>
          <w:rFonts w:ascii="Arial" w:hAnsi="Arial" w:cs="Arial"/>
          <w:sz w:val="22"/>
          <w:szCs w:val="22"/>
        </w:rPr>
        <w:t>ose</w:t>
      </w:r>
      <w:r w:rsidRPr="00F62F8B">
        <w:rPr>
          <w:rFonts w:ascii="Arial" w:hAnsi="Arial" w:cs="Arial"/>
          <w:sz w:val="22"/>
          <w:szCs w:val="22"/>
        </w:rPr>
        <w:t xml:space="preserve"> </w:t>
      </w:r>
      <w:r w:rsidR="00C829F2">
        <w:rPr>
          <w:rFonts w:ascii="Arial" w:hAnsi="Arial" w:cs="Arial"/>
          <w:sz w:val="22"/>
          <w:szCs w:val="22"/>
        </w:rPr>
        <w:t>for</w:t>
      </w:r>
      <w:r w:rsidRPr="00F62F8B">
        <w:rPr>
          <w:rFonts w:ascii="Arial" w:hAnsi="Arial" w:cs="Arial"/>
          <w:sz w:val="22"/>
          <w:szCs w:val="22"/>
        </w:rPr>
        <w:t xml:space="preserve"> 2016 </w:t>
      </w:r>
      <w:r w:rsidR="00C829F2">
        <w:rPr>
          <w:rFonts w:ascii="Arial" w:hAnsi="Arial" w:cs="Arial"/>
          <w:sz w:val="22"/>
          <w:szCs w:val="22"/>
        </w:rPr>
        <w:t xml:space="preserve">in the </w:t>
      </w:r>
      <w:r w:rsidRPr="00F62F8B">
        <w:rPr>
          <w:rFonts w:ascii="Arial" w:hAnsi="Arial" w:cs="Arial"/>
          <w:sz w:val="22"/>
          <w:szCs w:val="22"/>
        </w:rPr>
        <w:t>Action Plan</w:t>
      </w:r>
      <w:r w:rsidR="00C829F2">
        <w:rPr>
          <w:rFonts w:ascii="Arial" w:hAnsi="Arial" w:cs="Arial"/>
          <w:sz w:val="22"/>
          <w:szCs w:val="22"/>
        </w:rPr>
        <w:t xml:space="preserve">, and </w:t>
      </w:r>
      <w:r>
        <w:rPr>
          <w:rFonts w:ascii="Arial" w:hAnsi="Arial" w:cs="Arial"/>
          <w:sz w:val="22"/>
          <w:szCs w:val="22"/>
        </w:rPr>
        <w:t xml:space="preserve">there appears </w:t>
      </w:r>
      <w:r w:rsidR="00C829F2">
        <w:rPr>
          <w:rFonts w:ascii="Arial" w:hAnsi="Arial" w:cs="Arial"/>
          <w:sz w:val="22"/>
          <w:szCs w:val="22"/>
        </w:rPr>
        <w:t xml:space="preserve">little </w:t>
      </w:r>
      <w:r w:rsidRPr="00F62F8B">
        <w:rPr>
          <w:rFonts w:ascii="Arial" w:hAnsi="Arial" w:cs="Arial"/>
          <w:sz w:val="22"/>
          <w:szCs w:val="22"/>
        </w:rPr>
        <w:t xml:space="preserve">congruity in the numbering or content between the Strategy, Action Plan and 2016 Monitoring report. </w:t>
      </w:r>
      <w:r w:rsidR="007422E4">
        <w:rPr>
          <w:rFonts w:ascii="Arial" w:hAnsi="Arial" w:cs="Arial"/>
          <w:sz w:val="22"/>
          <w:szCs w:val="22"/>
        </w:rPr>
        <w:t xml:space="preserve">The information in the Monitoring Report, while extensive, </w:t>
      </w:r>
      <w:r w:rsidR="007422E4" w:rsidRPr="00F62F8B">
        <w:rPr>
          <w:rFonts w:ascii="Arial" w:hAnsi="Arial" w:cs="Arial"/>
          <w:sz w:val="22"/>
          <w:szCs w:val="22"/>
        </w:rPr>
        <w:t xml:space="preserve">is not presented in the same layout as </w:t>
      </w:r>
      <w:r w:rsidR="007422E4">
        <w:rPr>
          <w:rFonts w:ascii="Arial" w:hAnsi="Arial" w:cs="Arial"/>
          <w:sz w:val="22"/>
          <w:szCs w:val="22"/>
        </w:rPr>
        <w:t xml:space="preserve">either </w:t>
      </w:r>
      <w:r w:rsidR="007422E4" w:rsidRPr="00F62F8B">
        <w:rPr>
          <w:rFonts w:ascii="Arial" w:hAnsi="Arial" w:cs="Arial"/>
          <w:sz w:val="22"/>
          <w:szCs w:val="22"/>
        </w:rPr>
        <w:t>the Strategy or the Action Plan, and does not make specific reference to the targets and</w:t>
      </w:r>
      <w:r w:rsidR="007422E4">
        <w:rPr>
          <w:rFonts w:ascii="Arial" w:hAnsi="Arial" w:cs="Arial"/>
          <w:sz w:val="22"/>
          <w:szCs w:val="22"/>
        </w:rPr>
        <w:t xml:space="preserve"> milestones of the Action Plan</w:t>
      </w:r>
      <w:r w:rsidR="007422E4" w:rsidRPr="00F62F8B">
        <w:rPr>
          <w:rFonts w:ascii="Arial" w:hAnsi="Arial" w:cs="Arial"/>
          <w:sz w:val="22"/>
          <w:szCs w:val="22"/>
        </w:rPr>
        <w:t>.</w:t>
      </w:r>
      <w:r w:rsidR="007422E4">
        <w:rPr>
          <w:rFonts w:ascii="Arial" w:hAnsi="Arial" w:cs="Arial"/>
          <w:sz w:val="22"/>
          <w:szCs w:val="22"/>
        </w:rPr>
        <w:t xml:space="preserve"> </w:t>
      </w:r>
      <w:r w:rsidRPr="00F62F8B">
        <w:rPr>
          <w:rFonts w:ascii="Arial" w:hAnsi="Arial" w:cs="Arial"/>
          <w:sz w:val="22"/>
          <w:szCs w:val="22"/>
        </w:rPr>
        <w:t xml:space="preserve">Thus, </w:t>
      </w:r>
      <w:r w:rsidR="007422E4">
        <w:rPr>
          <w:rFonts w:ascii="Arial" w:hAnsi="Arial" w:cs="Arial"/>
          <w:sz w:val="22"/>
          <w:szCs w:val="22"/>
        </w:rPr>
        <w:t xml:space="preserve">despite the </w:t>
      </w:r>
      <w:r w:rsidR="007422E4" w:rsidRPr="00F62F8B">
        <w:rPr>
          <w:rFonts w:ascii="Arial" w:hAnsi="Arial" w:cs="Arial"/>
          <w:sz w:val="22"/>
          <w:szCs w:val="22"/>
        </w:rPr>
        <w:t>extensive detail</w:t>
      </w:r>
      <w:r w:rsidR="007422E4">
        <w:rPr>
          <w:rFonts w:ascii="Arial" w:hAnsi="Arial" w:cs="Arial"/>
          <w:sz w:val="22"/>
          <w:szCs w:val="22"/>
        </w:rPr>
        <w:t xml:space="preserve"> on activities undertaken in </w:t>
      </w:r>
      <w:r w:rsidRPr="00F62F8B">
        <w:rPr>
          <w:rFonts w:ascii="Arial" w:hAnsi="Arial" w:cs="Arial"/>
          <w:sz w:val="22"/>
          <w:szCs w:val="22"/>
        </w:rPr>
        <w:t xml:space="preserve">the </w:t>
      </w:r>
      <w:r w:rsidR="00C829F2">
        <w:rPr>
          <w:rFonts w:ascii="Arial" w:hAnsi="Arial" w:cs="Arial"/>
          <w:sz w:val="22"/>
          <w:szCs w:val="22"/>
        </w:rPr>
        <w:t xml:space="preserve">2016 Monitoring </w:t>
      </w:r>
      <w:r w:rsidR="007422E4">
        <w:rPr>
          <w:rFonts w:ascii="Arial" w:hAnsi="Arial" w:cs="Arial"/>
          <w:sz w:val="22"/>
          <w:szCs w:val="22"/>
        </w:rPr>
        <w:t>Report</w:t>
      </w:r>
      <w:r w:rsidRPr="00F62F8B">
        <w:rPr>
          <w:rFonts w:ascii="Arial" w:hAnsi="Arial" w:cs="Arial"/>
          <w:sz w:val="22"/>
          <w:szCs w:val="22"/>
        </w:rPr>
        <w:t xml:space="preserve">, </w:t>
      </w:r>
      <w:r w:rsidR="00C829F2" w:rsidRPr="00F62F8B">
        <w:rPr>
          <w:rFonts w:ascii="Arial" w:hAnsi="Arial" w:cs="Arial"/>
          <w:sz w:val="22"/>
          <w:szCs w:val="22"/>
        </w:rPr>
        <w:t xml:space="preserve">it is difficult to comprehensively assess the level and timeliness of progress in the fulfilment of the </w:t>
      </w:r>
      <w:r w:rsidR="007422E4">
        <w:rPr>
          <w:rFonts w:ascii="Arial" w:hAnsi="Arial" w:cs="Arial"/>
          <w:sz w:val="22"/>
          <w:szCs w:val="22"/>
        </w:rPr>
        <w:t xml:space="preserve">Strategy Implementation </w:t>
      </w:r>
      <w:r w:rsidR="00C829F2" w:rsidRPr="00F62F8B">
        <w:rPr>
          <w:rFonts w:ascii="Arial" w:hAnsi="Arial" w:cs="Arial"/>
          <w:sz w:val="22"/>
          <w:szCs w:val="22"/>
        </w:rPr>
        <w:t>Action Plan and hence implementation of the Strategy</w:t>
      </w:r>
      <w:r w:rsidR="007422E4">
        <w:rPr>
          <w:rFonts w:ascii="Arial" w:hAnsi="Arial" w:cs="Arial"/>
          <w:sz w:val="22"/>
          <w:szCs w:val="22"/>
        </w:rPr>
        <w:t xml:space="preserve">. </w:t>
      </w:r>
      <w:r w:rsidRPr="00F62F8B">
        <w:rPr>
          <w:rFonts w:ascii="Arial" w:hAnsi="Arial" w:cs="Arial"/>
          <w:sz w:val="22"/>
          <w:szCs w:val="22"/>
        </w:rPr>
        <w:t xml:space="preserve"> </w:t>
      </w:r>
    </w:p>
    <w:p w14:paraId="5DFB6C7F" w14:textId="77777777" w:rsidR="00917908" w:rsidRDefault="00917908" w:rsidP="009E3730">
      <w:pPr>
        <w:widowControl w:val="0"/>
        <w:suppressAutoHyphens/>
      </w:pPr>
    </w:p>
    <w:p w14:paraId="6E9D7B72" w14:textId="58327E6F" w:rsidR="0041424D" w:rsidRDefault="0041424D" w:rsidP="0041424D">
      <w:pPr>
        <w:pStyle w:val="yiv0622078881msonormal"/>
        <w:spacing w:before="0" w:after="0"/>
        <w:jc w:val="both"/>
        <w:rPr>
          <w:rFonts w:ascii="Arial" w:hAnsi="Arial" w:cs="Arial"/>
          <w:sz w:val="22"/>
          <w:szCs w:val="22"/>
        </w:rPr>
      </w:pPr>
      <w:r w:rsidRPr="00F62F8B">
        <w:rPr>
          <w:rFonts w:ascii="Arial" w:hAnsi="Arial" w:cs="Arial"/>
          <w:sz w:val="22"/>
          <w:szCs w:val="22"/>
        </w:rPr>
        <w:t xml:space="preserve">Many achievements of 2016 presented by the Monitoring Report are </w:t>
      </w:r>
      <w:r>
        <w:rPr>
          <w:rFonts w:ascii="Arial" w:hAnsi="Arial" w:cs="Arial"/>
          <w:sz w:val="22"/>
          <w:szCs w:val="22"/>
        </w:rPr>
        <w:t xml:space="preserve">covered by </w:t>
      </w:r>
      <w:r w:rsidRPr="00F62F8B">
        <w:rPr>
          <w:rFonts w:ascii="Arial" w:hAnsi="Arial" w:cs="Arial"/>
          <w:sz w:val="22"/>
          <w:szCs w:val="22"/>
        </w:rPr>
        <w:t>the indicators under the Fourth Instalment (</w:t>
      </w:r>
      <w:r>
        <w:rPr>
          <w:rFonts w:ascii="Arial" w:hAnsi="Arial" w:cs="Arial"/>
          <w:sz w:val="22"/>
          <w:szCs w:val="22"/>
        </w:rPr>
        <w:t xml:space="preserve">and, </w:t>
      </w:r>
      <w:r w:rsidRPr="00F62F8B">
        <w:rPr>
          <w:rFonts w:ascii="Arial" w:hAnsi="Arial" w:cs="Arial"/>
          <w:sz w:val="22"/>
          <w:szCs w:val="22"/>
        </w:rPr>
        <w:t>therefore</w:t>
      </w:r>
      <w:r>
        <w:rPr>
          <w:rFonts w:ascii="Arial" w:hAnsi="Arial" w:cs="Arial"/>
          <w:sz w:val="22"/>
          <w:szCs w:val="22"/>
        </w:rPr>
        <w:t>, are covered as appropriate in Section 5 below</w:t>
      </w:r>
      <w:r w:rsidRPr="00F62F8B">
        <w:rPr>
          <w:rFonts w:ascii="Arial" w:hAnsi="Arial" w:cs="Arial"/>
          <w:sz w:val="22"/>
          <w:szCs w:val="22"/>
        </w:rPr>
        <w:t>)</w:t>
      </w:r>
      <w:r>
        <w:rPr>
          <w:rFonts w:ascii="Arial" w:hAnsi="Arial" w:cs="Arial"/>
          <w:sz w:val="22"/>
          <w:szCs w:val="22"/>
        </w:rPr>
        <w:t>. Others implemented in full include</w:t>
      </w:r>
    </w:p>
    <w:p w14:paraId="2A95AF43" w14:textId="77777777" w:rsidR="0041424D" w:rsidRPr="0041424D" w:rsidRDefault="0041424D" w:rsidP="0041424D">
      <w:pPr>
        <w:pStyle w:val="yiv0622078881msonormal"/>
        <w:spacing w:before="0" w:after="0"/>
        <w:jc w:val="both"/>
        <w:rPr>
          <w:rFonts w:ascii="Arial" w:hAnsi="Arial" w:cs="Arial"/>
          <w:sz w:val="22"/>
          <w:szCs w:val="22"/>
        </w:rPr>
      </w:pPr>
    </w:p>
    <w:p w14:paraId="4B7177EE" w14:textId="77777777" w:rsidR="0041424D" w:rsidRPr="0041424D" w:rsidRDefault="0041424D" w:rsidP="007C295F">
      <w:pPr>
        <w:pStyle w:val="ListParagraph"/>
        <w:numPr>
          <w:ilvl w:val="0"/>
          <w:numId w:val="42"/>
        </w:numPr>
        <w:spacing w:line="240" w:lineRule="auto"/>
        <w:contextualSpacing w:val="0"/>
        <w:jc w:val="both"/>
        <w:rPr>
          <w:rFonts w:ascii="Arial" w:hAnsi="Arial" w:cs="Arial"/>
        </w:rPr>
      </w:pPr>
      <w:r w:rsidRPr="0041424D">
        <w:rPr>
          <w:rFonts w:ascii="Arial" w:hAnsi="Arial" w:cs="Arial"/>
        </w:rPr>
        <w:t>10 guides for teachers and 28 guides for students’ textbooks developed;</w:t>
      </w:r>
    </w:p>
    <w:p w14:paraId="5B12B017" w14:textId="77777777" w:rsidR="0041424D" w:rsidRPr="0041424D" w:rsidRDefault="0041424D" w:rsidP="007C295F">
      <w:pPr>
        <w:pStyle w:val="ListParagraph"/>
        <w:numPr>
          <w:ilvl w:val="0"/>
          <w:numId w:val="42"/>
        </w:numPr>
        <w:spacing w:line="240" w:lineRule="auto"/>
        <w:contextualSpacing w:val="0"/>
        <w:jc w:val="both"/>
        <w:rPr>
          <w:rFonts w:ascii="Arial" w:hAnsi="Arial" w:cs="Arial"/>
        </w:rPr>
      </w:pPr>
      <w:r w:rsidRPr="0041424D">
        <w:rPr>
          <w:rFonts w:ascii="Arial" w:hAnsi="Arial" w:cs="Arial"/>
        </w:rPr>
        <w:t>quality assurance framework analysed and recommendations on Authorisation/accreditation, External evaluation and monitoring and Self-assessment developed:</w:t>
      </w:r>
    </w:p>
    <w:p w14:paraId="76FA38E5" w14:textId="77777777" w:rsidR="0041424D" w:rsidRPr="0041424D" w:rsidRDefault="0041424D" w:rsidP="007C295F">
      <w:pPr>
        <w:pStyle w:val="ListParagraph"/>
        <w:numPr>
          <w:ilvl w:val="0"/>
          <w:numId w:val="42"/>
        </w:numPr>
        <w:spacing w:line="240" w:lineRule="auto"/>
        <w:contextualSpacing w:val="0"/>
        <w:jc w:val="both"/>
        <w:rPr>
          <w:rFonts w:ascii="Arial" w:hAnsi="Arial" w:cs="Arial"/>
        </w:rPr>
      </w:pPr>
      <w:r w:rsidRPr="0041424D">
        <w:rPr>
          <w:rFonts w:ascii="Arial" w:hAnsi="Arial" w:cs="Arial"/>
        </w:rPr>
        <w:t>educational resources adapted to the people with special educational needs;</w:t>
      </w:r>
    </w:p>
    <w:p w14:paraId="7865A186" w14:textId="77777777" w:rsidR="0041424D" w:rsidRPr="0041424D" w:rsidRDefault="0041424D" w:rsidP="007C295F">
      <w:pPr>
        <w:pStyle w:val="ListParagraph"/>
        <w:numPr>
          <w:ilvl w:val="0"/>
          <w:numId w:val="42"/>
        </w:numPr>
        <w:spacing w:line="240" w:lineRule="auto"/>
        <w:contextualSpacing w:val="0"/>
        <w:jc w:val="both"/>
        <w:rPr>
          <w:rFonts w:ascii="Arial" w:hAnsi="Arial" w:cs="Arial"/>
        </w:rPr>
      </w:pPr>
      <w:r w:rsidRPr="0041424D">
        <w:rPr>
          <w:rFonts w:ascii="Arial" w:hAnsi="Arial" w:cs="Arial"/>
        </w:rPr>
        <w:t>new colleges founded, authorised, rehabilitated or their infrastructures improved with objective to increase the quality and expand geographical access to VET;</w:t>
      </w:r>
    </w:p>
    <w:p w14:paraId="6DF286F1" w14:textId="77777777" w:rsidR="0041424D" w:rsidRPr="0041424D" w:rsidRDefault="0041424D" w:rsidP="007C295F">
      <w:pPr>
        <w:pStyle w:val="ListParagraph"/>
        <w:numPr>
          <w:ilvl w:val="0"/>
          <w:numId w:val="42"/>
        </w:numPr>
        <w:spacing w:line="240" w:lineRule="auto"/>
        <w:contextualSpacing w:val="0"/>
        <w:jc w:val="both"/>
        <w:rPr>
          <w:rFonts w:ascii="Arial" w:hAnsi="Arial" w:cs="Arial"/>
        </w:rPr>
      </w:pPr>
      <w:r w:rsidRPr="0041424D">
        <w:rPr>
          <w:rFonts w:ascii="Arial" w:hAnsi="Arial" w:cs="Arial"/>
        </w:rPr>
        <w:t>a number of concepts, e.g.  for integration of general secondary education subjects into the fourth step of vocational education programs; thematic concept for internationalization of vocational education, developed;</w:t>
      </w:r>
    </w:p>
    <w:p w14:paraId="0C2FAFBC" w14:textId="77777777" w:rsidR="0041424D" w:rsidRPr="0041424D" w:rsidRDefault="0041424D" w:rsidP="007C295F">
      <w:pPr>
        <w:pStyle w:val="ListParagraph"/>
        <w:numPr>
          <w:ilvl w:val="0"/>
          <w:numId w:val="42"/>
        </w:numPr>
        <w:spacing w:line="240" w:lineRule="auto"/>
        <w:contextualSpacing w:val="0"/>
        <w:jc w:val="both"/>
        <w:rPr>
          <w:rFonts w:ascii="Arial" w:hAnsi="Arial" w:cs="Arial"/>
        </w:rPr>
      </w:pPr>
      <w:r w:rsidRPr="0041424D">
        <w:rPr>
          <w:rFonts w:ascii="Arial" w:hAnsi="Arial" w:cs="Arial"/>
        </w:rPr>
        <w:t>informational workshops, awareness raising campaigns, communication/dissemination events, competition and other similar activities implemented with objective to improve attractiveness of, and involvement in VET, etc.</w:t>
      </w:r>
    </w:p>
    <w:p w14:paraId="1C756D3B" w14:textId="77777777" w:rsidR="0041424D" w:rsidRPr="0041424D" w:rsidRDefault="0041424D" w:rsidP="0041424D">
      <w:pPr>
        <w:ind w:left="360"/>
        <w:rPr>
          <w:rFonts w:cs="Arial"/>
        </w:rPr>
      </w:pPr>
    </w:p>
    <w:p w14:paraId="5FEC312C" w14:textId="77777777" w:rsidR="0041424D" w:rsidRPr="0041424D" w:rsidRDefault="0041424D" w:rsidP="0041424D">
      <w:pPr>
        <w:rPr>
          <w:rFonts w:cs="Arial"/>
        </w:rPr>
      </w:pPr>
      <w:r w:rsidRPr="0041424D">
        <w:rPr>
          <w:rFonts w:cs="Arial"/>
        </w:rPr>
        <w:t>Activities reported as implemented partially include</w:t>
      </w:r>
    </w:p>
    <w:p w14:paraId="03273C6E" w14:textId="77777777" w:rsidR="0041424D" w:rsidRPr="0041424D" w:rsidRDefault="0041424D" w:rsidP="0041424D">
      <w:pPr>
        <w:rPr>
          <w:rFonts w:cs="Arial"/>
        </w:rPr>
      </w:pPr>
    </w:p>
    <w:p w14:paraId="1345FA77" w14:textId="77777777" w:rsidR="0041424D" w:rsidRPr="0041424D" w:rsidRDefault="0041424D" w:rsidP="007C295F">
      <w:pPr>
        <w:pStyle w:val="ListParagraph"/>
        <w:numPr>
          <w:ilvl w:val="0"/>
          <w:numId w:val="42"/>
        </w:numPr>
        <w:spacing w:line="240" w:lineRule="auto"/>
        <w:contextualSpacing w:val="0"/>
        <w:jc w:val="both"/>
        <w:rPr>
          <w:rFonts w:ascii="Arial" w:hAnsi="Arial" w:cs="Arial"/>
        </w:rPr>
      </w:pPr>
      <w:r w:rsidRPr="0041424D">
        <w:rPr>
          <w:rFonts w:ascii="Arial" w:hAnsi="Arial" w:cs="Arial"/>
        </w:rPr>
        <w:t>Piloting of integration of general educational subjects in vocational education institutions and result analysis;</w:t>
      </w:r>
    </w:p>
    <w:p w14:paraId="7EA66B0A" w14:textId="77777777" w:rsidR="0041424D" w:rsidRPr="0041424D" w:rsidRDefault="0041424D" w:rsidP="007C295F">
      <w:pPr>
        <w:pStyle w:val="ListParagraph"/>
        <w:numPr>
          <w:ilvl w:val="0"/>
          <w:numId w:val="42"/>
        </w:numPr>
        <w:spacing w:line="240" w:lineRule="auto"/>
        <w:contextualSpacing w:val="0"/>
        <w:jc w:val="both"/>
        <w:rPr>
          <w:rFonts w:ascii="Arial" w:hAnsi="Arial" w:cs="Arial"/>
        </w:rPr>
      </w:pPr>
      <w:r w:rsidRPr="0041424D">
        <w:rPr>
          <w:rFonts w:ascii="Arial" w:hAnsi="Arial" w:cs="Arial"/>
        </w:rPr>
        <w:t>Developing thematic concept for internationalisation of vocational education;</w:t>
      </w:r>
    </w:p>
    <w:p w14:paraId="51655E3C" w14:textId="77777777" w:rsidR="0041424D" w:rsidRPr="0041424D" w:rsidRDefault="0041424D" w:rsidP="007C295F">
      <w:pPr>
        <w:pStyle w:val="ListParagraph"/>
        <w:numPr>
          <w:ilvl w:val="0"/>
          <w:numId w:val="42"/>
        </w:numPr>
        <w:spacing w:line="240" w:lineRule="auto"/>
        <w:contextualSpacing w:val="0"/>
        <w:jc w:val="both"/>
        <w:rPr>
          <w:rFonts w:ascii="Arial" w:hAnsi="Arial" w:cs="Arial"/>
        </w:rPr>
      </w:pPr>
      <w:r w:rsidRPr="0041424D">
        <w:rPr>
          <w:rFonts w:ascii="Arial" w:hAnsi="Arial" w:cs="Arial"/>
        </w:rPr>
        <w:t>Study European instruments and establish in selected VET areas (Europass);</w:t>
      </w:r>
    </w:p>
    <w:p w14:paraId="38DD0A86" w14:textId="77777777" w:rsidR="0041424D" w:rsidRPr="0041424D" w:rsidRDefault="0041424D" w:rsidP="007C295F">
      <w:pPr>
        <w:pStyle w:val="ListParagraph"/>
        <w:numPr>
          <w:ilvl w:val="0"/>
          <w:numId w:val="42"/>
        </w:numPr>
        <w:spacing w:line="240" w:lineRule="auto"/>
        <w:contextualSpacing w:val="0"/>
        <w:jc w:val="both"/>
        <w:rPr>
          <w:rFonts w:ascii="Arial" w:hAnsi="Arial" w:cs="Arial"/>
        </w:rPr>
      </w:pPr>
      <w:r w:rsidRPr="0041424D">
        <w:rPr>
          <w:rFonts w:ascii="Arial" w:hAnsi="Arial" w:cs="Arial"/>
        </w:rPr>
        <w:t>Implement awareness campaign in recognition of informal education;</w:t>
      </w:r>
    </w:p>
    <w:p w14:paraId="12E991A5" w14:textId="77777777" w:rsidR="0041424D" w:rsidRPr="0041424D" w:rsidRDefault="0041424D" w:rsidP="007C295F">
      <w:pPr>
        <w:pStyle w:val="ListParagraph"/>
        <w:numPr>
          <w:ilvl w:val="0"/>
          <w:numId w:val="42"/>
        </w:numPr>
        <w:spacing w:line="240" w:lineRule="auto"/>
        <w:contextualSpacing w:val="0"/>
        <w:jc w:val="both"/>
        <w:rPr>
          <w:rFonts w:ascii="Arial" w:hAnsi="Arial" w:cs="Arial"/>
        </w:rPr>
      </w:pPr>
      <w:r w:rsidRPr="0041424D">
        <w:rPr>
          <w:rFonts w:ascii="Arial" w:hAnsi="Arial" w:cs="Arial"/>
        </w:rPr>
        <w:t>Developing Distance learning concept; and</w:t>
      </w:r>
    </w:p>
    <w:p w14:paraId="25852E0D" w14:textId="77777777" w:rsidR="0041424D" w:rsidRPr="0041424D" w:rsidRDefault="0041424D" w:rsidP="007C295F">
      <w:pPr>
        <w:pStyle w:val="ListParagraph"/>
        <w:numPr>
          <w:ilvl w:val="0"/>
          <w:numId w:val="42"/>
        </w:numPr>
        <w:spacing w:line="240" w:lineRule="auto"/>
        <w:contextualSpacing w:val="0"/>
        <w:jc w:val="both"/>
        <w:rPr>
          <w:rFonts w:ascii="Arial" w:hAnsi="Arial" w:cs="Arial"/>
        </w:rPr>
      </w:pPr>
      <w:r w:rsidRPr="0041424D">
        <w:rPr>
          <w:rFonts w:ascii="Arial" w:hAnsi="Arial" w:cs="Arial"/>
        </w:rPr>
        <w:t xml:space="preserve">Donors’ coordination meetings and regular coordination meetings with Agencies. </w:t>
      </w:r>
    </w:p>
    <w:p w14:paraId="01446AAA" w14:textId="77777777" w:rsidR="0041424D" w:rsidRDefault="0041424D" w:rsidP="0041424D">
      <w:pPr>
        <w:pStyle w:val="yiv0622078881msonormal"/>
        <w:spacing w:before="0" w:after="0"/>
        <w:jc w:val="both"/>
        <w:rPr>
          <w:rFonts w:ascii="Arial" w:hAnsi="Arial" w:cs="Arial"/>
          <w:sz w:val="22"/>
          <w:szCs w:val="22"/>
        </w:rPr>
      </w:pPr>
    </w:p>
    <w:p w14:paraId="4EAEF3C5" w14:textId="61008606" w:rsidR="00DE7B4B" w:rsidRDefault="00DE7B4B" w:rsidP="00DE7B4B">
      <w:pPr>
        <w:pStyle w:val="FootnoteText"/>
        <w:rPr>
          <w:sz w:val="22"/>
          <w:szCs w:val="22"/>
        </w:rPr>
      </w:pPr>
      <w:r w:rsidRPr="00F62F8B">
        <w:rPr>
          <w:sz w:val="22"/>
          <w:szCs w:val="22"/>
        </w:rPr>
        <w:t xml:space="preserve">Another document, </w:t>
      </w:r>
      <w:r>
        <w:rPr>
          <w:sz w:val="22"/>
          <w:szCs w:val="22"/>
        </w:rPr>
        <w:t xml:space="preserve">presented by MoES among the evidence documents, and </w:t>
      </w:r>
      <w:r w:rsidRPr="00F62F8B">
        <w:rPr>
          <w:sz w:val="22"/>
          <w:szCs w:val="22"/>
        </w:rPr>
        <w:t>published on the Ministry website</w:t>
      </w:r>
      <w:r>
        <w:rPr>
          <w:sz w:val="22"/>
          <w:szCs w:val="22"/>
        </w:rPr>
        <w:t xml:space="preserve"> (</w:t>
      </w:r>
      <w:hyperlink r:id="rId19" w:history="1">
        <w:r w:rsidRPr="00F62F8B">
          <w:rPr>
            <w:rStyle w:val="Hyperlink"/>
            <w:sz w:val="22"/>
            <w:szCs w:val="22"/>
          </w:rPr>
          <w:t>http://mes.gov.ge/uploads/VET%20Reform%20Progress%20Report%202014-</w:t>
        </w:r>
        <w:r w:rsidRPr="00F62F8B">
          <w:rPr>
            <w:rStyle w:val="Hyperlink"/>
            <w:sz w:val="22"/>
            <w:szCs w:val="22"/>
          </w:rPr>
          <w:lastRenderedPageBreak/>
          <w:t>2016%20EN.pdf</w:t>
        </w:r>
      </w:hyperlink>
      <w:r>
        <w:rPr>
          <w:color w:val="1F497D"/>
          <w:sz w:val="22"/>
          <w:szCs w:val="22"/>
        </w:rPr>
        <w:t>)</w:t>
      </w:r>
      <w:r w:rsidRPr="00F62F8B">
        <w:rPr>
          <w:sz w:val="22"/>
          <w:szCs w:val="22"/>
        </w:rPr>
        <w:t xml:space="preserve"> is the </w:t>
      </w:r>
      <w:r>
        <w:rPr>
          <w:sz w:val="22"/>
          <w:szCs w:val="22"/>
        </w:rPr>
        <w:t>“</w:t>
      </w:r>
      <w:r w:rsidRPr="007422E4">
        <w:rPr>
          <w:i/>
          <w:sz w:val="22"/>
          <w:szCs w:val="22"/>
        </w:rPr>
        <w:t>Brief Summary of the Progress Achieved under the Vocational Education Reform in Georgia 2014-2016</w:t>
      </w:r>
      <w:r w:rsidRPr="00F62F8B">
        <w:rPr>
          <w:sz w:val="22"/>
          <w:szCs w:val="22"/>
        </w:rPr>
        <w:t>”</w:t>
      </w:r>
      <w:r>
        <w:rPr>
          <w:sz w:val="22"/>
          <w:szCs w:val="22"/>
        </w:rPr>
        <w:t>. It is structured around almost the same headings as the 2016 Monitoring Report but covers a 3-year period. This Progress Report seems mainly designed for, and addressed to a wider public and is of more general and less technical nature. It presents also trends in some indicators over 2013-2016, such as the successive budgetary allocations for VET and the number of VET students, including those with disabilities.</w:t>
      </w:r>
    </w:p>
    <w:p w14:paraId="28CABB9D" w14:textId="77777777" w:rsidR="00DE7B4B" w:rsidRDefault="00DE7B4B" w:rsidP="00DE7B4B">
      <w:pPr>
        <w:pStyle w:val="FootnoteText"/>
        <w:rPr>
          <w:sz w:val="22"/>
          <w:szCs w:val="22"/>
        </w:rPr>
      </w:pPr>
    </w:p>
    <w:p w14:paraId="48BC5967" w14:textId="552B8044" w:rsidR="00DE7B4B" w:rsidRPr="00F62F8B" w:rsidRDefault="00DE7B4B" w:rsidP="00DE7B4B">
      <w:pPr>
        <w:pStyle w:val="yiv0622078881msonormal"/>
        <w:spacing w:before="0" w:after="0"/>
        <w:jc w:val="both"/>
        <w:rPr>
          <w:rFonts w:ascii="Arial" w:hAnsi="Arial" w:cs="Arial"/>
          <w:sz w:val="22"/>
          <w:szCs w:val="22"/>
        </w:rPr>
      </w:pPr>
      <w:r>
        <w:rPr>
          <w:rFonts w:ascii="Arial" w:hAnsi="Arial" w:cs="Arial"/>
          <w:sz w:val="22"/>
          <w:szCs w:val="22"/>
        </w:rPr>
        <w:t>It should be mentioned, however, that neither the Monitoring Report nor the Brief Summary present any relatively deep analysis in terms of reaching the Strategy outcomes and moreover its objectives. All “achievements” are presented a</w:t>
      </w:r>
      <w:r w:rsidR="007422E4">
        <w:rPr>
          <w:rFonts w:ascii="Arial" w:hAnsi="Arial" w:cs="Arial"/>
          <w:sz w:val="22"/>
          <w:szCs w:val="22"/>
        </w:rPr>
        <w:t>s activities accomplishment</w:t>
      </w:r>
      <w:r>
        <w:rPr>
          <w:rFonts w:ascii="Arial" w:hAnsi="Arial" w:cs="Arial"/>
          <w:sz w:val="22"/>
          <w:szCs w:val="22"/>
        </w:rPr>
        <w:t xml:space="preserve">, without reference </w:t>
      </w:r>
      <w:r w:rsidR="007422E4">
        <w:rPr>
          <w:rFonts w:ascii="Arial" w:hAnsi="Arial" w:cs="Arial"/>
          <w:sz w:val="22"/>
          <w:szCs w:val="22"/>
        </w:rPr>
        <w:t xml:space="preserve">to </w:t>
      </w:r>
      <w:r>
        <w:rPr>
          <w:rFonts w:ascii="Arial" w:hAnsi="Arial" w:cs="Arial"/>
          <w:sz w:val="22"/>
          <w:szCs w:val="22"/>
        </w:rPr>
        <w:t xml:space="preserve">partial </w:t>
      </w:r>
      <w:r w:rsidR="007422E4">
        <w:rPr>
          <w:rFonts w:ascii="Arial" w:hAnsi="Arial" w:cs="Arial"/>
          <w:sz w:val="22"/>
          <w:szCs w:val="22"/>
        </w:rPr>
        <w:t xml:space="preserve">and/or delayed </w:t>
      </w:r>
      <w:r>
        <w:rPr>
          <w:rFonts w:ascii="Arial" w:hAnsi="Arial" w:cs="Arial"/>
          <w:sz w:val="22"/>
          <w:szCs w:val="22"/>
        </w:rPr>
        <w:t>implementation. In some cases “results” are mentioned but they refer solely to outputs. Reasons for any slippage or measures taken or necessary to overcome obstacles or problems are not discussed.</w:t>
      </w:r>
      <w:r w:rsidR="00437A20">
        <w:rPr>
          <w:rFonts w:ascii="Arial" w:hAnsi="Arial" w:cs="Arial"/>
          <w:sz w:val="22"/>
          <w:szCs w:val="22"/>
        </w:rPr>
        <w:t xml:space="preserve"> This differs from the earlier 2015 report which did note slippages </w:t>
      </w:r>
      <w:r w:rsidR="00437A20" w:rsidRPr="00835982">
        <w:rPr>
          <w:rFonts w:ascii="Arial" w:hAnsi="Arial" w:cs="Arial"/>
          <w:sz w:val="22"/>
          <w:szCs w:val="22"/>
        </w:rPr>
        <w:t xml:space="preserve">in </w:t>
      </w:r>
      <w:r w:rsidR="00437A20">
        <w:rPr>
          <w:rFonts w:ascii="Arial" w:hAnsi="Arial" w:cs="Arial"/>
          <w:sz w:val="22"/>
          <w:szCs w:val="22"/>
        </w:rPr>
        <w:t xml:space="preserve">the </w:t>
      </w:r>
      <w:r w:rsidR="00437A20" w:rsidRPr="00835982">
        <w:rPr>
          <w:rFonts w:ascii="Arial" w:hAnsi="Arial" w:cs="Arial"/>
          <w:sz w:val="22"/>
          <w:szCs w:val="22"/>
        </w:rPr>
        <w:t>implementation of some activities</w:t>
      </w:r>
      <w:r w:rsidR="00437A20">
        <w:rPr>
          <w:rFonts w:ascii="Arial" w:hAnsi="Arial" w:cs="Arial"/>
          <w:sz w:val="22"/>
          <w:szCs w:val="22"/>
        </w:rPr>
        <w:t>.</w:t>
      </w:r>
    </w:p>
    <w:p w14:paraId="7CBEAE23" w14:textId="77777777" w:rsidR="00DE7B4B" w:rsidRPr="00F62F8B" w:rsidRDefault="00DE7B4B" w:rsidP="00DE7B4B">
      <w:pPr>
        <w:pStyle w:val="yiv0622078881msonormal"/>
        <w:spacing w:before="0" w:after="0"/>
        <w:jc w:val="both"/>
        <w:rPr>
          <w:rFonts w:ascii="Arial" w:hAnsi="Arial" w:cs="Arial"/>
          <w:sz w:val="22"/>
          <w:szCs w:val="22"/>
        </w:rPr>
      </w:pPr>
    </w:p>
    <w:p w14:paraId="1F40577A" w14:textId="77777777" w:rsidR="00437A20" w:rsidRPr="009D3FD5" w:rsidRDefault="00437A20" w:rsidP="00437A20">
      <w:pPr>
        <w:pStyle w:val="yiv0622078881msonormal"/>
        <w:spacing w:before="0" w:after="0"/>
        <w:jc w:val="both"/>
        <w:rPr>
          <w:rFonts w:ascii="Arial" w:hAnsi="Arial" w:cs="Arial"/>
          <w:sz w:val="22"/>
          <w:szCs w:val="22"/>
        </w:rPr>
      </w:pPr>
      <w:r w:rsidRPr="009D3FD5">
        <w:rPr>
          <w:rFonts w:ascii="Arial" w:hAnsi="Arial" w:cs="Arial"/>
          <w:sz w:val="22"/>
          <w:szCs w:val="22"/>
        </w:rPr>
        <w:t xml:space="preserve">Nonetheless, it is evident that MoES clearly realises the challenges for VET development (discussed in the Part II of the Progress Report), including, for instance, the quality of vocational education and the low level of employers’ trust towards the VET system, and also understands the prerequisites for successful implementation of the Strategy in the future, defined in the Report as including, </w:t>
      </w:r>
      <w:r w:rsidRPr="009D3FD5">
        <w:rPr>
          <w:rFonts w:ascii="Arial" w:hAnsi="Arial" w:cs="Arial"/>
          <w:i/>
          <w:sz w:val="22"/>
          <w:szCs w:val="22"/>
        </w:rPr>
        <w:t>inter alia</w:t>
      </w:r>
      <w:r w:rsidRPr="009D3FD5">
        <w:rPr>
          <w:rFonts w:ascii="Arial" w:hAnsi="Arial" w:cs="Arial"/>
          <w:sz w:val="22"/>
          <w:szCs w:val="22"/>
        </w:rPr>
        <w:t>, the involvement of different stakeholders, further improvement of the monitoring mechanism, and provision of up-to-date and accurate information.</w:t>
      </w:r>
    </w:p>
    <w:p w14:paraId="0268ABEE" w14:textId="77777777" w:rsidR="00437A20" w:rsidRPr="009D3FD5" w:rsidRDefault="00437A20" w:rsidP="00437A20">
      <w:pPr>
        <w:pStyle w:val="yiv0622078881msonormal"/>
        <w:spacing w:before="0" w:after="0"/>
        <w:jc w:val="both"/>
        <w:rPr>
          <w:rFonts w:ascii="Arial" w:hAnsi="Arial" w:cs="Arial"/>
          <w:sz w:val="22"/>
          <w:szCs w:val="22"/>
        </w:rPr>
      </w:pPr>
    </w:p>
    <w:p w14:paraId="109658FB" w14:textId="582D77B3" w:rsidR="002760F2" w:rsidRPr="009D3FD5" w:rsidRDefault="002760F2" w:rsidP="002760F2">
      <w:pPr>
        <w:pStyle w:val="yiv0622078881msonormal"/>
        <w:spacing w:before="0" w:after="0"/>
        <w:jc w:val="both"/>
        <w:rPr>
          <w:rFonts w:ascii="Arial" w:hAnsi="Arial" w:cs="Arial"/>
          <w:sz w:val="22"/>
          <w:szCs w:val="22"/>
        </w:rPr>
      </w:pPr>
      <w:r w:rsidRPr="009D3FD5">
        <w:rPr>
          <w:rFonts w:ascii="Arial" w:hAnsi="Arial" w:cs="Arial"/>
          <w:sz w:val="22"/>
          <w:szCs w:val="22"/>
        </w:rPr>
        <w:t xml:space="preserve">In the Aide Memoire for the Second Instalment in 2015, the Review noted that the 2014 progress report was </w:t>
      </w:r>
      <w:r w:rsidRPr="009D3FD5">
        <w:rPr>
          <w:rFonts w:ascii="Arial" w:hAnsi="Arial" w:cs="Arial"/>
          <w:i/>
          <w:sz w:val="22"/>
          <w:szCs w:val="22"/>
        </w:rPr>
        <w:t>'somewhat generic and does not report progress in implementation of the specific actions in the Action Plan</w:t>
      </w:r>
      <w:r w:rsidRPr="009D3FD5">
        <w:rPr>
          <w:rFonts w:ascii="Arial" w:hAnsi="Arial" w:cs="Arial"/>
          <w:sz w:val="22"/>
          <w:szCs w:val="22"/>
        </w:rPr>
        <w:t>'. The Review also noted that '</w:t>
      </w:r>
      <w:r w:rsidRPr="009D3FD5">
        <w:rPr>
          <w:rFonts w:ascii="Arial" w:hAnsi="Arial" w:cs="Arial"/>
          <w:i/>
          <w:sz w:val="22"/>
          <w:szCs w:val="22"/>
        </w:rPr>
        <w:t>since the Action Plan covering 2014 did not include many measurable indicators, performance against these is also not well documented</w:t>
      </w:r>
      <w:r w:rsidRPr="009D3FD5">
        <w:rPr>
          <w:rFonts w:ascii="Arial" w:hAnsi="Arial" w:cs="Arial"/>
          <w:sz w:val="22"/>
          <w:szCs w:val="22"/>
        </w:rPr>
        <w:t>'. MoES subsequently informed the Review that they '</w:t>
      </w:r>
      <w:r w:rsidRPr="009D3FD5">
        <w:rPr>
          <w:rFonts w:ascii="Arial" w:hAnsi="Arial" w:cs="Arial"/>
          <w:i/>
          <w:sz w:val="22"/>
          <w:szCs w:val="22"/>
        </w:rPr>
        <w:t>work to an internal detailed operational plan, not the Strategy Action Plan</w:t>
      </w:r>
      <w:r w:rsidRPr="009D3FD5">
        <w:rPr>
          <w:rFonts w:ascii="Arial" w:hAnsi="Arial" w:cs="Arial"/>
          <w:sz w:val="22"/>
          <w:szCs w:val="22"/>
        </w:rPr>
        <w:t xml:space="preserve">', but did not think to provide that to the Review, nor to use it in their justification of compliance with the General Condition. </w:t>
      </w:r>
      <w:r w:rsidR="001A1278">
        <w:rPr>
          <w:rFonts w:ascii="Arial" w:hAnsi="Arial" w:cs="Arial"/>
          <w:sz w:val="22"/>
          <w:szCs w:val="22"/>
        </w:rPr>
        <w:t>T</w:t>
      </w:r>
      <w:r w:rsidRPr="009D3FD5">
        <w:rPr>
          <w:rFonts w:ascii="Arial" w:hAnsi="Arial" w:cs="Arial"/>
          <w:sz w:val="22"/>
          <w:szCs w:val="22"/>
        </w:rPr>
        <w:t xml:space="preserve">he 2015 Action Plan </w:t>
      </w:r>
      <w:r w:rsidR="001A1278">
        <w:rPr>
          <w:rFonts w:ascii="Arial" w:hAnsi="Arial" w:cs="Arial"/>
          <w:sz w:val="22"/>
          <w:szCs w:val="22"/>
        </w:rPr>
        <w:t>wa</w:t>
      </w:r>
      <w:r w:rsidRPr="009D3FD5">
        <w:rPr>
          <w:rFonts w:ascii="Arial" w:hAnsi="Arial" w:cs="Arial"/>
          <w:sz w:val="22"/>
          <w:szCs w:val="22"/>
        </w:rPr>
        <w:t>s much more specific about performance targets and measurable actions</w:t>
      </w:r>
      <w:r w:rsidR="001A1278">
        <w:rPr>
          <w:rFonts w:ascii="Arial" w:hAnsi="Arial" w:cs="Arial"/>
          <w:sz w:val="22"/>
          <w:szCs w:val="22"/>
        </w:rPr>
        <w:t xml:space="preserve"> than the 2014 Action Plan, but the relationship was clear</w:t>
      </w:r>
      <w:r w:rsidRPr="009D3FD5">
        <w:rPr>
          <w:rFonts w:ascii="Arial" w:hAnsi="Arial" w:cs="Arial"/>
          <w:sz w:val="22"/>
          <w:szCs w:val="22"/>
        </w:rPr>
        <w:t xml:space="preserve">. </w:t>
      </w:r>
      <w:r w:rsidR="001A1278">
        <w:rPr>
          <w:rFonts w:ascii="Arial" w:hAnsi="Arial" w:cs="Arial"/>
          <w:sz w:val="22"/>
          <w:szCs w:val="22"/>
        </w:rPr>
        <w:t xml:space="preserve">From the Monitoring Report, it is evident that the 2016 Action Plan is a significant departure from earlier Action </w:t>
      </w:r>
      <w:r w:rsidR="00E55184">
        <w:rPr>
          <w:rFonts w:ascii="Arial" w:hAnsi="Arial" w:cs="Arial"/>
          <w:sz w:val="22"/>
          <w:szCs w:val="22"/>
        </w:rPr>
        <w:t>Plans</w:t>
      </w:r>
      <w:r w:rsidR="001A1278">
        <w:rPr>
          <w:rFonts w:ascii="Arial" w:hAnsi="Arial" w:cs="Arial"/>
          <w:sz w:val="22"/>
          <w:szCs w:val="22"/>
        </w:rPr>
        <w:t xml:space="preserve">. This could well be justified, but the changes need to be explained, and performance presented in a way that can be related to the original strategy and action plan. In other words, </w:t>
      </w:r>
      <w:r w:rsidRPr="009D3FD5">
        <w:rPr>
          <w:rFonts w:ascii="Arial" w:hAnsi="Arial" w:cs="Arial"/>
          <w:sz w:val="22"/>
          <w:szCs w:val="22"/>
        </w:rPr>
        <w:t xml:space="preserve">the Progress Report </w:t>
      </w:r>
      <w:r w:rsidR="001A1278">
        <w:rPr>
          <w:rFonts w:ascii="Arial" w:hAnsi="Arial" w:cs="Arial"/>
          <w:sz w:val="22"/>
          <w:szCs w:val="22"/>
        </w:rPr>
        <w:t xml:space="preserve">needs to </w:t>
      </w:r>
      <w:r w:rsidRPr="009D3FD5">
        <w:rPr>
          <w:rFonts w:ascii="Arial" w:hAnsi="Arial" w:cs="Arial"/>
          <w:sz w:val="22"/>
          <w:szCs w:val="22"/>
        </w:rPr>
        <w:t xml:space="preserve">report against the </w:t>
      </w:r>
      <w:r w:rsidR="001A1278">
        <w:rPr>
          <w:rFonts w:ascii="Arial" w:hAnsi="Arial" w:cs="Arial"/>
          <w:sz w:val="22"/>
          <w:szCs w:val="22"/>
        </w:rPr>
        <w:t xml:space="preserve">original Strategy and </w:t>
      </w:r>
      <w:r w:rsidRPr="009D3FD5">
        <w:rPr>
          <w:rFonts w:ascii="Arial" w:hAnsi="Arial" w:cs="Arial"/>
          <w:sz w:val="22"/>
          <w:szCs w:val="22"/>
        </w:rPr>
        <w:t>Action Plan</w:t>
      </w:r>
      <w:r w:rsidR="001A1278">
        <w:rPr>
          <w:rFonts w:ascii="Arial" w:hAnsi="Arial" w:cs="Arial"/>
          <w:sz w:val="22"/>
          <w:szCs w:val="22"/>
        </w:rPr>
        <w:t xml:space="preserve"> as well as any new Action Plan</w:t>
      </w:r>
      <w:r w:rsidRPr="009D3FD5">
        <w:rPr>
          <w:rFonts w:ascii="Arial" w:hAnsi="Arial" w:cs="Arial"/>
          <w:sz w:val="22"/>
          <w:szCs w:val="22"/>
        </w:rPr>
        <w:t xml:space="preserve">, and </w:t>
      </w:r>
      <w:r w:rsidR="001A1278">
        <w:rPr>
          <w:rFonts w:ascii="Arial" w:hAnsi="Arial" w:cs="Arial"/>
          <w:sz w:val="22"/>
          <w:szCs w:val="22"/>
        </w:rPr>
        <w:t xml:space="preserve">the </w:t>
      </w:r>
      <w:r w:rsidRPr="009D3FD5">
        <w:rPr>
          <w:rFonts w:ascii="Arial" w:hAnsi="Arial" w:cs="Arial"/>
          <w:sz w:val="22"/>
          <w:szCs w:val="22"/>
        </w:rPr>
        <w:t xml:space="preserve">new </w:t>
      </w:r>
      <w:r w:rsidR="001A1278">
        <w:rPr>
          <w:rFonts w:ascii="Arial" w:hAnsi="Arial" w:cs="Arial"/>
          <w:sz w:val="22"/>
          <w:szCs w:val="22"/>
        </w:rPr>
        <w:t>A</w:t>
      </w:r>
      <w:r w:rsidRPr="009D3FD5">
        <w:rPr>
          <w:rFonts w:ascii="Arial" w:hAnsi="Arial" w:cs="Arial"/>
          <w:sz w:val="22"/>
          <w:szCs w:val="22"/>
        </w:rPr>
        <w:t xml:space="preserve">ction </w:t>
      </w:r>
      <w:r w:rsidR="001A1278">
        <w:rPr>
          <w:rFonts w:ascii="Arial" w:hAnsi="Arial" w:cs="Arial"/>
          <w:sz w:val="22"/>
          <w:szCs w:val="22"/>
        </w:rPr>
        <w:t>P</w:t>
      </w:r>
      <w:r w:rsidRPr="009D3FD5">
        <w:rPr>
          <w:rFonts w:ascii="Arial" w:hAnsi="Arial" w:cs="Arial"/>
          <w:sz w:val="22"/>
          <w:szCs w:val="22"/>
        </w:rPr>
        <w:t xml:space="preserve">lan </w:t>
      </w:r>
      <w:r w:rsidR="00D401FE">
        <w:rPr>
          <w:rFonts w:ascii="Arial" w:hAnsi="Arial" w:cs="Arial"/>
          <w:sz w:val="22"/>
          <w:szCs w:val="22"/>
        </w:rPr>
        <w:t xml:space="preserve">should reflect </w:t>
      </w:r>
      <w:r w:rsidRPr="009D3FD5">
        <w:rPr>
          <w:rFonts w:ascii="Arial" w:hAnsi="Arial" w:cs="Arial"/>
          <w:sz w:val="22"/>
          <w:szCs w:val="22"/>
        </w:rPr>
        <w:t xml:space="preserve">the status of implementation of previous ones. Furthermore, </w:t>
      </w:r>
      <w:r w:rsidR="00D401FE">
        <w:rPr>
          <w:rFonts w:ascii="Arial" w:hAnsi="Arial" w:cs="Arial"/>
          <w:sz w:val="22"/>
          <w:szCs w:val="22"/>
        </w:rPr>
        <w:t xml:space="preserve">as said many times, </w:t>
      </w:r>
      <w:r w:rsidRPr="009D3FD5">
        <w:rPr>
          <w:rFonts w:ascii="Arial" w:hAnsi="Arial" w:cs="Arial"/>
          <w:sz w:val="22"/>
          <w:szCs w:val="22"/>
        </w:rPr>
        <w:t>it is important for the continued credibility and relevance of the Strategy for action plans to be medium term in perspective and to relate to the budget cycle, including the four year BDD and programme budgets</w:t>
      </w:r>
      <w:r w:rsidR="00D401FE">
        <w:rPr>
          <w:rStyle w:val="FootnoteReference"/>
        </w:rPr>
        <w:footnoteReference w:id="19"/>
      </w:r>
      <w:r w:rsidRPr="009D3FD5">
        <w:rPr>
          <w:rFonts w:ascii="Arial" w:hAnsi="Arial" w:cs="Arial"/>
          <w:sz w:val="22"/>
          <w:szCs w:val="22"/>
        </w:rPr>
        <w:t>. This is especially important in a changing budgetary environment where the existence or otherwise of budgetary resources will affect the speed and priorities of reforms</w:t>
      </w:r>
      <w:r w:rsidR="00D401FE">
        <w:rPr>
          <w:rFonts w:ascii="Arial" w:hAnsi="Arial" w:cs="Arial"/>
          <w:sz w:val="22"/>
          <w:szCs w:val="22"/>
        </w:rPr>
        <w:t xml:space="preserve"> and could change the timetable for reform</w:t>
      </w:r>
      <w:r w:rsidRPr="009D3FD5">
        <w:rPr>
          <w:rFonts w:ascii="Arial" w:hAnsi="Arial" w:cs="Arial"/>
          <w:sz w:val="22"/>
          <w:szCs w:val="22"/>
        </w:rPr>
        <w:t xml:space="preserve">. </w:t>
      </w:r>
    </w:p>
    <w:p w14:paraId="03427601" w14:textId="77777777" w:rsidR="00FD2EA3" w:rsidRDefault="00FD2EA3" w:rsidP="009E3730">
      <w:pPr>
        <w:pStyle w:val="yiv0622078881msonormal"/>
        <w:widowControl w:val="0"/>
        <w:spacing w:before="0" w:after="0"/>
        <w:jc w:val="both"/>
        <w:rPr>
          <w:rFonts w:ascii="Arial" w:hAnsi="Arial" w:cs="Arial"/>
          <w:sz w:val="22"/>
          <w:szCs w:val="22"/>
        </w:rPr>
      </w:pPr>
    </w:p>
    <w:p w14:paraId="46619728" w14:textId="77777777" w:rsidR="00D401FE" w:rsidRPr="009D3FD5" w:rsidRDefault="00D401FE" w:rsidP="00D401FE">
      <w:pPr>
        <w:rPr>
          <w:lang w:eastAsia="en-GB"/>
        </w:rPr>
      </w:pPr>
      <w:r w:rsidRPr="009D3FD5">
        <w:t>The General Condition refers to '</w:t>
      </w:r>
      <w:r w:rsidRPr="009D3FD5">
        <w:rPr>
          <w:i/>
          <w:iCs/>
        </w:rPr>
        <w:t xml:space="preserve">satisfactory progress in the .....implementation of </w:t>
      </w:r>
      <w:r w:rsidRPr="009D3FD5">
        <w:t>(a)</w:t>
      </w:r>
      <w:r w:rsidRPr="009D3FD5">
        <w:rPr>
          <w:i/>
          <w:iCs/>
        </w:rPr>
        <w:t xml:space="preserve"> </w:t>
      </w:r>
      <w:r w:rsidRPr="009D3FD5">
        <w:rPr>
          <w:bCs/>
          <w:i/>
          <w:iCs/>
        </w:rPr>
        <w:t xml:space="preserve">relevant and credible medium-term </w:t>
      </w:r>
      <w:r w:rsidRPr="009D3FD5">
        <w:rPr>
          <w:i/>
          <w:iCs/>
        </w:rPr>
        <w:t>VET reform strateg</w:t>
      </w:r>
      <w:r w:rsidRPr="009D3FD5">
        <w:t>(y)</w:t>
      </w:r>
      <w:r w:rsidRPr="009D3FD5">
        <w:rPr>
          <w:i/>
          <w:iCs/>
        </w:rPr>
        <w:t xml:space="preserve">'. </w:t>
      </w:r>
      <w:r w:rsidRPr="009D3FD5">
        <w:t>The criterion/indicator refers to the publication '</w:t>
      </w:r>
      <w:r w:rsidRPr="009D3FD5">
        <w:rPr>
          <w:i/>
          <w:iCs/>
          <w:lang w:eastAsia="en-GB"/>
        </w:rPr>
        <w:t xml:space="preserve">on its web-site (of) a </w:t>
      </w:r>
      <w:r w:rsidRPr="009D3FD5">
        <w:rPr>
          <w:bCs/>
          <w:i/>
          <w:iCs/>
          <w:lang w:eastAsia="en-GB"/>
        </w:rPr>
        <w:t>relevant and credible medium-term VET reform strategy together with the costed Action Plan'</w:t>
      </w:r>
      <w:r w:rsidRPr="009D3FD5">
        <w:rPr>
          <w:bCs/>
          <w:lang w:eastAsia="en-GB"/>
        </w:rPr>
        <w:t xml:space="preserve"> </w:t>
      </w:r>
      <w:r w:rsidRPr="009D3FD5">
        <w:rPr>
          <w:lang w:eastAsia="en-GB"/>
        </w:rPr>
        <w:t xml:space="preserve">and that this should be reflected in the Ministry's annual budget proposal, the BDD, and the budget law, all of which include a medium term strategic framework covering four years, the execution of which is covered by programme budgets covering the same four years. </w:t>
      </w:r>
      <w:r w:rsidRPr="009D3FD5">
        <w:t xml:space="preserve">This means that a costed Action Plan for 2016-2019 </w:t>
      </w:r>
      <w:r>
        <w:t xml:space="preserve">(and </w:t>
      </w:r>
      <w:r>
        <w:lastRenderedPageBreak/>
        <w:t xml:space="preserve">indeed 2017-2020) </w:t>
      </w:r>
      <w:r w:rsidRPr="009D3FD5">
        <w:t xml:space="preserve">should have been submitted as evidence for the </w:t>
      </w:r>
      <w:r>
        <w:t>Fourth</w:t>
      </w:r>
      <w:r w:rsidRPr="009D3FD5">
        <w:t xml:space="preserve"> Instalment, even if the assessment of 'significant progress' </w:t>
      </w:r>
      <w:r>
        <w:t>is concentrated on 2016</w:t>
      </w:r>
      <w:r w:rsidRPr="009D3FD5">
        <w:t xml:space="preserve">. </w:t>
      </w:r>
    </w:p>
    <w:p w14:paraId="28F0BE16" w14:textId="77777777" w:rsidR="00D401FE" w:rsidRPr="009D3FD5" w:rsidRDefault="00D401FE" w:rsidP="00D401FE">
      <w:pPr>
        <w:rPr>
          <w:highlight w:val="green"/>
          <w:lang w:eastAsia="en-GB"/>
        </w:rPr>
      </w:pPr>
    </w:p>
    <w:p w14:paraId="36B922B1" w14:textId="71A181D6" w:rsidR="00D401FE" w:rsidRPr="009D3FD5" w:rsidRDefault="00D401FE" w:rsidP="00D401FE">
      <w:pPr>
        <w:rPr>
          <w:lang w:eastAsia="en-GB"/>
        </w:rPr>
      </w:pPr>
      <w:r>
        <w:rPr>
          <w:lang w:eastAsia="en-GB"/>
        </w:rPr>
        <w:t>With respect to relevance</w:t>
      </w:r>
      <w:r w:rsidRPr="009D3FD5">
        <w:rPr>
          <w:lang w:eastAsia="en-GB"/>
        </w:rPr>
        <w:t xml:space="preserve">, the current Review would repeat the statement of </w:t>
      </w:r>
      <w:r>
        <w:rPr>
          <w:lang w:eastAsia="en-GB"/>
        </w:rPr>
        <w:t>earlier Reviews</w:t>
      </w:r>
      <w:r w:rsidRPr="009D3FD5">
        <w:rPr>
          <w:lang w:eastAsia="en-GB"/>
        </w:rPr>
        <w:t xml:space="preserve"> that </w:t>
      </w:r>
      <w:r w:rsidRPr="009D3FD5">
        <w:rPr>
          <w:i/>
          <w:lang w:eastAsia="en-GB"/>
        </w:rPr>
        <w:t>'the relevance of the VET Reform Strategy is not in question. The EU's Budget Support Guidelines relate relevance to its impact on overriding goals of poverty reduction, economic development, and sustainable and inclusive growth. Georgia needs to strengthen its skills base and ability to respond to existing and future labour market needs to meet opportunities for sustainable growth and reduce its vulnerability to external market developments. A modern VET system supports not only the development of skills among the new generation of workers but also provides the flexibility for the existing workforce to respond to opportunities, raising livelihoods on the one hand and combatting or mitigating negative market developments on the other. Despite the emphasis on broadening the appeal of technical education, VET is still more significant for less well off and more vulnerable groups and has a direct result on poverty reduction and on the inclusion of poorer, more vulnerable sections of the community in the country's development.</w:t>
      </w:r>
      <w:r w:rsidRPr="009D3FD5">
        <w:rPr>
          <w:lang w:eastAsia="en-GB"/>
        </w:rPr>
        <w:t>'</w:t>
      </w:r>
      <w:r>
        <w:rPr>
          <w:lang w:eastAsia="en-GB"/>
        </w:rPr>
        <w:t xml:space="preserve"> As the analysis of </w:t>
      </w:r>
      <w:r w:rsidR="00F20EA3">
        <w:rPr>
          <w:lang w:eastAsia="en-GB"/>
        </w:rPr>
        <w:t xml:space="preserve">the fulfilment of Indicators in Section 5 below makes clear, achievement of these impacts has been less substantial than these thoughts suggest: VET remains a limited response to labour market need, is still undervalued as a career development option among youth in education, though increasingly recognized as a career development and employment option among older age groups, and has limited impact on socially disadvantaged and other vulnerable </w:t>
      </w:r>
      <w:r w:rsidR="00E55184">
        <w:rPr>
          <w:lang w:eastAsia="en-GB"/>
        </w:rPr>
        <w:t>minority</w:t>
      </w:r>
      <w:r w:rsidR="00F20EA3">
        <w:rPr>
          <w:lang w:eastAsia="en-GB"/>
        </w:rPr>
        <w:t xml:space="preserve"> groups (despite some recognized measures to promote inclusion). Nonetheless, these reinforces rather than dilutes the relevance of the Strategy.</w:t>
      </w:r>
    </w:p>
    <w:p w14:paraId="0526C488" w14:textId="77777777" w:rsidR="00D401FE" w:rsidRPr="00835982" w:rsidRDefault="00D401FE" w:rsidP="009E3730">
      <w:pPr>
        <w:pStyle w:val="yiv0622078881msonormal"/>
        <w:widowControl w:val="0"/>
        <w:spacing w:before="0" w:after="0"/>
        <w:jc w:val="both"/>
        <w:rPr>
          <w:rFonts w:ascii="Arial" w:hAnsi="Arial" w:cs="Arial"/>
          <w:sz w:val="22"/>
          <w:szCs w:val="22"/>
        </w:rPr>
      </w:pPr>
    </w:p>
    <w:p w14:paraId="65849E84" w14:textId="0D31BB2E" w:rsidR="003B168D" w:rsidRDefault="003B168D" w:rsidP="003B168D">
      <w:pPr>
        <w:rPr>
          <w:i/>
          <w:lang w:eastAsia="en-GB"/>
        </w:rPr>
      </w:pPr>
      <w:r>
        <w:rPr>
          <w:lang w:eastAsia="en-GB"/>
        </w:rPr>
        <w:t xml:space="preserve">With respect to credibility, as noted by earlier Reviews, </w:t>
      </w:r>
      <w:r w:rsidRPr="009D3FD5">
        <w:rPr>
          <w:lang w:eastAsia="en-GB"/>
        </w:rPr>
        <w:t>the EU Budget Support Guidelines</w:t>
      </w:r>
      <w:r>
        <w:rPr>
          <w:lang w:eastAsia="en-GB"/>
        </w:rPr>
        <w:t xml:space="preserve"> indicate </w:t>
      </w:r>
      <w:r w:rsidRPr="009D3FD5">
        <w:rPr>
          <w:lang w:eastAsia="en-GB"/>
        </w:rPr>
        <w:t>that '</w:t>
      </w:r>
      <w:r w:rsidRPr="009D3FD5">
        <w:rPr>
          <w:i/>
          <w:lang w:eastAsia="en-GB"/>
        </w:rPr>
        <w:t>credibility of the Strategy relates to whether the objectives can be achieved through its implementation and whether it can be implemented. In this the Strategy and the Action Plan for its implementation are one. In assessing credibility several issues are considered:</w:t>
      </w:r>
    </w:p>
    <w:p w14:paraId="2BC22697" w14:textId="77777777" w:rsidR="003B168D" w:rsidRPr="009D3FD5" w:rsidRDefault="003B168D" w:rsidP="003B168D">
      <w:pPr>
        <w:rPr>
          <w:i/>
          <w:lang w:eastAsia="en-GB"/>
        </w:rPr>
      </w:pPr>
    </w:p>
    <w:p w14:paraId="524F3344" w14:textId="77777777" w:rsidR="003B168D" w:rsidRPr="009D3FD5" w:rsidRDefault="003B168D" w:rsidP="007C295F">
      <w:pPr>
        <w:numPr>
          <w:ilvl w:val="0"/>
          <w:numId w:val="26"/>
        </w:numPr>
        <w:rPr>
          <w:i/>
        </w:rPr>
      </w:pPr>
      <w:r w:rsidRPr="009D3FD5">
        <w:rPr>
          <w:i/>
          <w:lang w:eastAsia="en-GB"/>
        </w:rPr>
        <w:t>the track record of Government in the implementation of policy - has the Government in the past shown itself willing to commit adequate human and financial resources and political will to turn policy into reality?</w:t>
      </w:r>
    </w:p>
    <w:p w14:paraId="436E8B53" w14:textId="77777777" w:rsidR="003B168D" w:rsidRPr="009D3FD5" w:rsidRDefault="003B168D" w:rsidP="007C295F">
      <w:pPr>
        <w:numPr>
          <w:ilvl w:val="0"/>
          <w:numId w:val="26"/>
        </w:numPr>
        <w:rPr>
          <w:i/>
          <w:lang w:eastAsia="en-GB"/>
        </w:rPr>
      </w:pPr>
      <w:r w:rsidRPr="009D3FD5">
        <w:rPr>
          <w:i/>
          <w:lang w:eastAsia="en-GB"/>
        </w:rPr>
        <w:t>the strategy's logic - are the objectives culturally, socially, politically, and economically achievable? Will achievement of the expected results realize the objectives? Will the actions/activities proposed produce the expected results?</w:t>
      </w:r>
    </w:p>
    <w:p w14:paraId="02E3BDE8" w14:textId="77777777" w:rsidR="003B168D" w:rsidRPr="009D3FD5" w:rsidRDefault="003B168D" w:rsidP="007C295F">
      <w:pPr>
        <w:numPr>
          <w:ilvl w:val="0"/>
          <w:numId w:val="26"/>
        </w:numPr>
        <w:rPr>
          <w:i/>
          <w:lang w:eastAsia="en-GB"/>
        </w:rPr>
      </w:pPr>
      <w:r w:rsidRPr="009D3FD5">
        <w:rPr>
          <w:i/>
          <w:lang w:eastAsia="en-GB"/>
        </w:rPr>
        <w:t>the realism of the policy - is the quality of the data and analysis underlying the policy sufficient to ensure that implementation of the policy will achieve its objectives? Is the timeframe for implementation realistic (in terms of both the technicalities of implementation and the resources available)?</w:t>
      </w:r>
    </w:p>
    <w:p w14:paraId="75F91D15" w14:textId="77777777" w:rsidR="003B168D" w:rsidRPr="009D3FD5" w:rsidRDefault="003B168D" w:rsidP="007C295F">
      <w:pPr>
        <w:numPr>
          <w:ilvl w:val="0"/>
          <w:numId w:val="26"/>
        </w:numPr>
        <w:rPr>
          <w:i/>
          <w:lang w:eastAsia="en-GB"/>
        </w:rPr>
      </w:pPr>
      <w:r w:rsidRPr="009D3FD5">
        <w:rPr>
          <w:i/>
          <w:lang w:eastAsia="en-GB"/>
        </w:rPr>
        <w:t>institutional capacity and ownership - do the institutions responsible for implementation of the policy have sufficient capacity and capabilities to do so, or will any deficiencies be addressed during the implementation of the policy in sufficient time and scale to ensure that they do not represent a constraint on policy implementation within the timeframe envisaged? Do these institutions have sufficient ownership of the policy/strategy to ensure that they will allocate adequate priority and human and other resources to its timely fulfilment?</w:t>
      </w:r>
    </w:p>
    <w:p w14:paraId="70DDAA7C" w14:textId="77777777" w:rsidR="003B168D" w:rsidRPr="009D3FD5" w:rsidRDefault="003B168D" w:rsidP="007C295F">
      <w:pPr>
        <w:numPr>
          <w:ilvl w:val="0"/>
          <w:numId w:val="26"/>
        </w:numPr>
        <w:rPr>
          <w:i/>
          <w:lang w:eastAsia="en-GB"/>
        </w:rPr>
      </w:pPr>
      <w:r w:rsidRPr="009D3FD5">
        <w:rPr>
          <w:i/>
          <w:lang w:eastAsia="en-GB"/>
        </w:rPr>
        <w:t xml:space="preserve">financing - are sufficient resources committed to implementation of the strategy over the medium term to ensure timely and effective implementation? Has the costing of activities been sufficiently rigorous and comprehensive for the commitment of financial resources to meet them to be sufficient for full and timely implementation of the strategy/policy? Have, or will, these required financial resources been committed in the budget/MTEF process over the medium term? Is the policy financially sustainable or does it create new financial implications/obligations in the future that cannot be met, or cannot be guaranteed to be met? Does the financial plan adequately address issues of fiscal decentralisation, related </w:t>
      </w:r>
      <w:r w:rsidRPr="009D3FD5">
        <w:rPr>
          <w:i/>
          <w:lang w:eastAsia="en-GB"/>
        </w:rPr>
        <w:lastRenderedPageBreak/>
        <w:t>to different levels of institutions responsible for policy implementation over the medium term (for instance, at national agency, local government, individual college, or local community level)?</w:t>
      </w:r>
    </w:p>
    <w:p w14:paraId="02E2518F" w14:textId="77777777" w:rsidR="003B168D" w:rsidRPr="00031598" w:rsidRDefault="003B168D" w:rsidP="003B168D"/>
    <w:p w14:paraId="13C60C29" w14:textId="40D60987" w:rsidR="00031598" w:rsidRPr="00031598" w:rsidRDefault="00031598" w:rsidP="003B168D">
      <w:r w:rsidRPr="00031598">
        <w:t>Government has shown itself committed to the VET reforms as evidenced by the Strategy. Several statements, including that of the Prime Minister in March 2016 have reinforced the idea that VET represents an important pathway to realise both economic and social objectives. This commitment was reiterated in the 2017-2020 BDD, which for VET states the policy priorities as to</w:t>
      </w:r>
    </w:p>
    <w:p w14:paraId="1B9830CD" w14:textId="77777777" w:rsidR="00031598" w:rsidRPr="00031598" w:rsidRDefault="00031598" w:rsidP="003B168D"/>
    <w:p w14:paraId="58334AD9" w14:textId="22762F86" w:rsidR="00031598" w:rsidRPr="00031598" w:rsidRDefault="00031598" w:rsidP="007C295F">
      <w:pPr>
        <w:pStyle w:val="ListParagraph"/>
        <w:numPr>
          <w:ilvl w:val="0"/>
          <w:numId w:val="43"/>
        </w:numPr>
        <w:rPr>
          <w:rFonts w:ascii="Arial" w:hAnsi="Arial" w:cs="Arial"/>
        </w:rPr>
      </w:pPr>
      <w:r w:rsidRPr="00031598">
        <w:rPr>
          <w:rFonts w:ascii="Arial" w:hAnsi="Arial" w:cs="Arial"/>
        </w:rPr>
        <w:t>meet the vocational training needs of population; support the professional development and career growth of individuals;</w:t>
      </w:r>
    </w:p>
    <w:p w14:paraId="0D1A9A07" w14:textId="5EAF6CD8" w:rsidR="00031598" w:rsidRPr="00031598" w:rsidRDefault="00031598" w:rsidP="007C295F">
      <w:pPr>
        <w:pStyle w:val="ListParagraph"/>
        <w:numPr>
          <w:ilvl w:val="0"/>
          <w:numId w:val="43"/>
        </w:numPr>
        <w:rPr>
          <w:rFonts w:ascii="Arial" w:hAnsi="Arial" w:cs="Arial"/>
        </w:rPr>
      </w:pPr>
      <w:r w:rsidRPr="00031598">
        <w:rPr>
          <w:rFonts w:ascii="Arial" w:hAnsi="Arial" w:cs="Arial"/>
        </w:rPr>
        <w:t>establish a common, superior quality and effective system of vocational education;</w:t>
      </w:r>
    </w:p>
    <w:p w14:paraId="4CE4DE34" w14:textId="5098289D" w:rsidR="00031598" w:rsidRPr="00031598" w:rsidRDefault="00031598" w:rsidP="007C295F">
      <w:pPr>
        <w:pStyle w:val="ListParagraph"/>
        <w:numPr>
          <w:ilvl w:val="0"/>
          <w:numId w:val="43"/>
        </w:numPr>
        <w:rPr>
          <w:rFonts w:ascii="Arial" w:hAnsi="Arial" w:cs="Arial"/>
        </w:rPr>
      </w:pPr>
      <w:r w:rsidRPr="00031598">
        <w:rPr>
          <w:rFonts w:ascii="Arial" w:hAnsi="Arial" w:cs="Arial"/>
        </w:rPr>
        <w:t>implement the Strategy and Action Plan of Vocational Education for 2013–2020;</w:t>
      </w:r>
    </w:p>
    <w:p w14:paraId="23FC5AEF" w14:textId="77777777" w:rsidR="00031598" w:rsidRPr="00031598" w:rsidRDefault="00031598" w:rsidP="007C295F">
      <w:pPr>
        <w:pStyle w:val="ListParagraph"/>
        <w:numPr>
          <w:ilvl w:val="0"/>
          <w:numId w:val="43"/>
        </w:numPr>
        <w:rPr>
          <w:rFonts w:ascii="Arial" w:hAnsi="Arial" w:cs="Arial"/>
        </w:rPr>
      </w:pPr>
      <w:r w:rsidRPr="00031598">
        <w:rPr>
          <w:rFonts w:ascii="Arial" w:hAnsi="Arial" w:cs="Arial"/>
        </w:rPr>
        <w:t xml:space="preserve">facilitate the improvement of vocational education quality; </w:t>
      </w:r>
    </w:p>
    <w:p w14:paraId="7D000970" w14:textId="2AD342BD" w:rsidR="00031598" w:rsidRPr="00031598" w:rsidRDefault="00031598" w:rsidP="007C295F">
      <w:pPr>
        <w:pStyle w:val="ListParagraph"/>
        <w:numPr>
          <w:ilvl w:val="0"/>
          <w:numId w:val="43"/>
        </w:numPr>
        <w:rPr>
          <w:rFonts w:ascii="Arial" w:hAnsi="Arial" w:cs="Arial"/>
        </w:rPr>
      </w:pPr>
      <w:r w:rsidRPr="00031598">
        <w:rPr>
          <w:rFonts w:ascii="Arial" w:hAnsi="Arial" w:cs="Arial"/>
        </w:rPr>
        <w:t>increase the access to vocational education; and</w:t>
      </w:r>
    </w:p>
    <w:p w14:paraId="0576FD0A" w14:textId="6EB82E40" w:rsidR="00031598" w:rsidRPr="00031598" w:rsidRDefault="00031598" w:rsidP="007C295F">
      <w:pPr>
        <w:pStyle w:val="ListParagraph"/>
        <w:numPr>
          <w:ilvl w:val="0"/>
          <w:numId w:val="43"/>
        </w:numPr>
        <w:rPr>
          <w:rFonts w:ascii="Arial" w:hAnsi="Arial" w:cs="Arial"/>
        </w:rPr>
      </w:pPr>
      <w:r w:rsidRPr="00031598">
        <w:rPr>
          <w:rFonts w:ascii="Arial" w:hAnsi="Arial" w:cs="Arial"/>
        </w:rPr>
        <w:t>retrain administrative staff at local authorities and public schools in regions densely populated by ethnic minorities for the improvement of their skills and literacy in the official language of the country and development of their qualifications.</w:t>
      </w:r>
    </w:p>
    <w:p w14:paraId="44506DB9" w14:textId="77777777" w:rsidR="00031598" w:rsidRDefault="00031598" w:rsidP="003B168D">
      <w:pPr>
        <w:rPr>
          <w:i/>
        </w:rPr>
      </w:pPr>
    </w:p>
    <w:p w14:paraId="09F4A076" w14:textId="77777777" w:rsidR="005F2D2B" w:rsidRDefault="005F2D2B" w:rsidP="005F2D2B">
      <w:pPr>
        <w:widowControl w:val="0"/>
      </w:pPr>
      <w:r>
        <w:t>Table 3 shows the allocations for VET in the adopted budget over 2013-2016 and shows the increased budgetary commitment since the VET Strategy was approved in 2013. The overall budget for VET accounts for only around 3% of the total education budget, just over 10% of that allocated to higher education and about 7.5% of that for secondary education. A major portion of the VET budget is allocated for the Education Management Information Service (EMIS) which also covers primary and secondary education, although this has grown at a slower rate than the budget for VET overall, from 40% of total allocations in 2013 to 28% in 2016.</w:t>
      </w:r>
    </w:p>
    <w:p w14:paraId="08BC79A8" w14:textId="77777777" w:rsidR="005F2D2B" w:rsidRPr="00271F75" w:rsidRDefault="005F2D2B" w:rsidP="005F2D2B">
      <w:pPr>
        <w:widowControl w:val="0"/>
      </w:pPr>
    </w:p>
    <w:p w14:paraId="4193CAA5" w14:textId="77777777" w:rsidR="005F2D2B" w:rsidRPr="00BF30AD" w:rsidRDefault="005F2D2B" w:rsidP="005F2D2B">
      <w:pPr>
        <w:jc w:val="center"/>
        <w:rPr>
          <w:b/>
        </w:rPr>
      </w:pPr>
      <w:r>
        <w:rPr>
          <w:b/>
        </w:rPr>
        <w:t>Table 3</w:t>
      </w:r>
      <w:r w:rsidRPr="00BF30AD">
        <w:rPr>
          <w:b/>
        </w:rPr>
        <w:t>: VET Programme Budget 2013-2016 - Initial Annual Budget</w:t>
      </w:r>
      <w:r>
        <w:rPr>
          <w:b/>
        </w:rPr>
        <w:t xml:space="preserve"> Submission (GEL'000)</w:t>
      </w:r>
    </w:p>
    <w:p w14:paraId="5DD1E0A6" w14:textId="77777777" w:rsidR="005F2D2B" w:rsidRDefault="005F2D2B" w:rsidP="005F2D2B"/>
    <w:tbl>
      <w:tblPr>
        <w:tblStyle w:val="GridTable5DarkAccent1"/>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718"/>
        <w:gridCol w:w="1078"/>
        <w:gridCol w:w="1165"/>
        <w:gridCol w:w="992"/>
        <w:gridCol w:w="997"/>
        <w:gridCol w:w="1525"/>
      </w:tblGrid>
      <w:tr w:rsidR="005F2D2B" w:rsidRPr="008F09DA" w14:paraId="13BD9293" w14:textId="77777777" w:rsidTr="005F2D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9" w:type="dxa"/>
            <w:gridSpan w:val="2"/>
            <w:tcBorders>
              <w:top w:val="single" w:sz="4" w:space="0" w:color="auto"/>
              <w:left w:val="single" w:sz="4" w:space="0" w:color="auto"/>
              <w:bottom w:val="single" w:sz="4" w:space="0" w:color="auto"/>
              <w:right w:val="single" w:sz="4" w:space="0" w:color="auto"/>
            </w:tcBorders>
            <w:shd w:val="clear" w:color="auto" w:fill="auto"/>
          </w:tcPr>
          <w:p w14:paraId="57A42FCC" w14:textId="77777777" w:rsidR="005F2D2B" w:rsidRPr="008F09DA" w:rsidRDefault="005F2D2B" w:rsidP="005F2D2B">
            <w:pPr>
              <w:jc w:val="center"/>
              <w:rPr>
                <w:color w:val="auto"/>
                <w:sz w:val="20"/>
                <w:szCs w:val="20"/>
              </w:rPr>
            </w:pPr>
            <w:r w:rsidRPr="008F09DA">
              <w:rPr>
                <w:rFonts w:ascii="Arial" w:hAnsi="Arial" w:cs="Arial"/>
                <w:color w:val="auto"/>
                <w:sz w:val="20"/>
                <w:szCs w:val="20"/>
              </w:rPr>
              <w:t xml:space="preserve">Programme </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auto"/>
          </w:tcPr>
          <w:p w14:paraId="50CA89BD" w14:textId="77777777" w:rsidR="005F2D2B" w:rsidRPr="008F09DA" w:rsidRDefault="005F2D2B" w:rsidP="005F2D2B">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353BD4">
              <w:rPr>
                <w:rFonts w:ascii="Arial" w:hAnsi="Arial" w:cs="Arial"/>
                <w:color w:val="auto"/>
                <w:sz w:val="20"/>
                <w:szCs w:val="20"/>
              </w:rPr>
              <w:t>Total</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tcPr>
          <w:p w14:paraId="0512EF55" w14:textId="77777777" w:rsidR="005F2D2B" w:rsidRPr="008F09DA" w:rsidRDefault="005F2D2B" w:rsidP="005F2D2B">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353BD4">
              <w:rPr>
                <w:rFonts w:ascii="Arial" w:hAnsi="Arial" w:cs="Arial"/>
                <w:color w:val="auto"/>
                <w:sz w:val="20"/>
                <w:szCs w:val="20"/>
              </w:rPr>
              <w:t>Budget funds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427430EC" w14:textId="77777777" w:rsidR="005F2D2B" w:rsidRPr="008F09DA" w:rsidRDefault="005F2D2B" w:rsidP="005F2D2B">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353BD4">
              <w:rPr>
                <w:rFonts w:ascii="Arial" w:hAnsi="Arial" w:cs="Arial"/>
                <w:color w:val="auto"/>
                <w:sz w:val="20"/>
                <w:szCs w:val="20"/>
              </w:rPr>
              <w:t>Grants</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tcPr>
          <w:p w14:paraId="7E85AB8B" w14:textId="77777777" w:rsidR="005F2D2B" w:rsidRPr="008F09DA" w:rsidRDefault="005F2D2B" w:rsidP="005F2D2B">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353BD4">
              <w:rPr>
                <w:rFonts w:ascii="Arial" w:hAnsi="Arial" w:cs="Arial"/>
                <w:color w:val="auto"/>
                <w:sz w:val="20"/>
                <w:szCs w:val="20"/>
              </w:rPr>
              <w:t>Credits</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tcPr>
          <w:p w14:paraId="6912DD38" w14:textId="77777777" w:rsidR="005F2D2B" w:rsidRPr="008F09DA" w:rsidRDefault="005F2D2B" w:rsidP="005F2D2B">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353BD4">
              <w:rPr>
                <w:rFonts w:ascii="Arial" w:hAnsi="Arial" w:cs="Arial"/>
                <w:color w:val="auto"/>
                <w:sz w:val="20"/>
                <w:szCs w:val="20"/>
              </w:rPr>
              <w:t>Budget agency</w:t>
            </w:r>
          </w:p>
        </w:tc>
      </w:tr>
      <w:tr w:rsidR="005F2D2B" w:rsidRPr="00353BD4" w14:paraId="5E501080"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left w:val="single" w:sz="4" w:space="0" w:color="auto"/>
              <w:bottom w:val="single" w:sz="4" w:space="0" w:color="auto"/>
              <w:right w:val="single" w:sz="4" w:space="0" w:color="auto"/>
            </w:tcBorders>
            <w:shd w:val="clear" w:color="auto" w:fill="auto"/>
          </w:tcPr>
          <w:p w14:paraId="6AACD416" w14:textId="77777777" w:rsidR="005F2D2B" w:rsidRPr="00353BD4" w:rsidRDefault="005F2D2B" w:rsidP="005F2D2B">
            <w:pPr>
              <w:jc w:val="center"/>
              <w:rPr>
                <w:rFonts w:ascii="Arial" w:hAnsi="Arial" w:cs="Arial"/>
                <w:color w:val="auto"/>
                <w:sz w:val="20"/>
                <w:szCs w:val="20"/>
              </w:rPr>
            </w:pPr>
            <w:r>
              <w:rPr>
                <w:rFonts w:ascii="Arial" w:hAnsi="Arial" w:cs="Arial"/>
                <w:color w:val="auto"/>
                <w:sz w:val="20"/>
                <w:szCs w:val="20"/>
              </w:rPr>
              <w:t>C</w:t>
            </w:r>
            <w:r w:rsidRPr="00353BD4">
              <w:rPr>
                <w:rFonts w:ascii="Arial" w:hAnsi="Arial" w:cs="Arial"/>
                <w:color w:val="auto"/>
                <w:sz w:val="20"/>
                <w:szCs w:val="20"/>
              </w:rPr>
              <w:t>ode</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3514329" w14:textId="77777777" w:rsidR="005F2D2B" w:rsidRPr="00353BD4"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53BD4">
              <w:rPr>
                <w:rFonts w:ascii="Arial" w:hAnsi="Arial" w:cs="Arial"/>
                <w:b/>
                <w:sz w:val="20"/>
                <w:szCs w:val="20"/>
              </w:rPr>
              <w:t>Title</w:t>
            </w:r>
          </w:p>
        </w:tc>
        <w:tc>
          <w:tcPr>
            <w:tcW w:w="1078" w:type="dxa"/>
            <w:vMerge/>
            <w:tcBorders>
              <w:top w:val="single" w:sz="4" w:space="0" w:color="auto"/>
              <w:left w:val="single" w:sz="4" w:space="0" w:color="auto"/>
              <w:bottom w:val="single" w:sz="4" w:space="0" w:color="auto"/>
              <w:right w:val="single" w:sz="4" w:space="0" w:color="auto"/>
            </w:tcBorders>
            <w:shd w:val="clear" w:color="auto" w:fill="auto"/>
          </w:tcPr>
          <w:p w14:paraId="5F8A3656" w14:textId="77777777" w:rsidR="005F2D2B" w:rsidRPr="00353BD4"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165" w:type="dxa"/>
            <w:vMerge/>
            <w:tcBorders>
              <w:top w:val="single" w:sz="4" w:space="0" w:color="auto"/>
              <w:left w:val="single" w:sz="4" w:space="0" w:color="auto"/>
              <w:bottom w:val="single" w:sz="4" w:space="0" w:color="auto"/>
              <w:right w:val="single" w:sz="4" w:space="0" w:color="auto"/>
            </w:tcBorders>
            <w:shd w:val="clear" w:color="auto" w:fill="auto"/>
          </w:tcPr>
          <w:p w14:paraId="54537528" w14:textId="77777777" w:rsidR="005F2D2B" w:rsidRPr="00353BD4"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20C2704D" w14:textId="77777777" w:rsidR="005F2D2B" w:rsidRPr="00353BD4"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97" w:type="dxa"/>
            <w:vMerge/>
            <w:tcBorders>
              <w:top w:val="single" w:sz="4" w:space="0" w:color="auto"/>
              <w:left w:val="single" w:sz="4" w:space="0" w:color="auto"/>
              <w:bottom w:val="single" w:sz="4" w:space="0" w:color="auto"/>
              <w:right w:val="single" w:sz="4" w:space="0" w:color="auto"/>
            </w:tcBorders>
            <w:shd w:val="clear" w:color="auto" w:fill="auto"/>
          </w:tcPr>
          <w:p w14:paraId="5E5AFB9C" w14:textId="77777777" w:rsidR="005F2D2B" w:rsidRPr="00353BD4"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525" w:type="dxa"/>
            <w:vMerge/>
            <w:tcBorders>
              <w:top w:val="single" w:sz="4" w:space="0" w:color="auto"/>
              <w:left w:val="single" w:sz="4" w:space="0" w:color="auto"/>
              <w:bottom w:val="single" w:sz="4" w:space="0" w:color="auto"/>
              <w:right w:val="single" w:sz="4" w:space="0" w:color="auto"/>
            </w:tcBorders>
            <w:shd w:val="clear" w:color="auto" w:fill="auto"/>
          </w:tcPr>
          <w:p w14:paraId="63736E01" w14:textId="77777777" w:rsidR="005F2D2B" w:rsidRPr="00353BD4"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F2D2B" w:rsidRPr="008F09DA" w14:paraId="52B86F53"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9576" w:type="dxa"/>
            <w:gridSpan w:val="7"/>
            <w:tcBorders>
              <w:top w:val="single" w:sz="4" w:space="0" w:color="auto"/>
              <w:left w:val="single" w:sz="4" w:space="0" w:color="auto"/>
            </w:tcBorders>
            <w:shd w:val="clear" w:color="auto" w:fill="BFBFBF" w:themeFill="background1" w:themeFillShade="BF"/>
          </w:tcPr>
          <w:p w14:paraId="4095ED2B"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2013</w:t>
            </w:r>
          </w:p>
        </w:tc>
      </w:tr>
      <w:tr w:rsidR="005F2D2B" w:rsidRPr="008F09DA" w14:paraId="7AB01535"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0893A1CA"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 xml:space="preserve">32 03 </w:t>
            </w:r>
          </w:p>
        </w:tc>
        <w:tc>
          <w:tcPr>
            <w:tcW w:w="2718" w:type="dxa"/>
            <w:shd w:val="clear" w:color="auto" w:fill="auto"/>
          </w:tcPr>
          <w:p w14:paraId="22B285AC"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F09DA">
              <w:rPr>
                <w:rFonts w:ascii="Arial" w:hAnsi="Arial" w:cs="Arial"/>
                <w:b/>
                <w:sz w:val="20"/>
                <w:szCs w:val="20"/>
              </w:rPr>
              <w:t>Vocational education</w:t>
            </w:r>
          </w:p>
        </w:tc>
        <w:tc>
          <w:tcPr>
            <w:tcW w:w="1078" w:type="dxa"/>
            <w:shd w:val="clear" w:color="auto" w:fill="auto"/>
          </w:tcPr>
          <w:p w14:paraId="35BECF4F"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 xml:space="preserve">19,793.0 </w:t>
            </w:r>
          </w:p>
        </w:tc>
        <w:tc>
          <w:tcPr>
            <w:tcW w:w="1165" w:type="dxa"/>
            <w:shd w:val="clear" w:color="auto" w:fill="auto"/>
          </w:tcPr>
          <w:p w14:paraId="7423C989"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19,793.0</w:t>
            </w:r>
          </w:p>
        </w:tc>
        <w:tc>
          <w:tcPr>
            <w:tcW w:w="992" w:type="dxa"/>
            <w:shd w:val="clear" w:color="auto" w:fill="auto"/>
          </w:tcPr>
          <w:p w14:paraId="1BF783AF"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01838E3F"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2EF4A6CF"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48EF5DDF"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502A9EEE"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0E1FFEAF"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Expenditure</w:t>
            </w:r>
          </w:p>
        </w:tc>
        <w:tc>
          <w:tcPr>
            <w:tcW w:w="1078" w:type="dxa"/>
            <w:shd w:val="clear" w:color="auto" w:fill="auto"/>
          </w:tcPr>
          <w:p w14:paraId="7C7A3A77"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18,747.0</w:t>
            </w:r>
          </w:p>
        </w:tc>
        <w:tc>
          <w:tcPr>
            <w:tcW w:w="1165" w:type="dxa"/>
            <w:shd w:val="clear" w:color="auto" w:fill="auto"/>
          </w:tcPr>
          <w:p w14:paraId="7821DE97"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18,747.0</w:t>
            </w:r>
          </w:p>
        </w:tc>
        <w:tc>
          <w:tcPr>
            <w:tcW w:w="992" w:type="dxa"/>
            <w:shd w:val="clear" w:color="auto" w:fill="auto"/>
          </w:tcPr>
          <w:p w14:paraId="46652E55"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32AF46E0"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093ECA9B"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2FF74BD4"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21F10B61"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374E5A23"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non-financial assets</w:t>
            </w:r>
          </w:p>
        </w:tc>
        <w:tc>
          <w:tcPr>
            <w:tcW w:w="1078" w:type="dxa"/>
            <w:shd w:val="clear" w:color="auto" w:fill="auto"/>
          </w:tcPr>
          <w:p w14:paraId="53E4B8A5"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1,046.0</w:t>
            </w:r>
          </w:p>
        </w:tc>
        <w:tc>
          <w:tcPr>
            <w:tcW w:w="1165" w:type="dxa"/>
            <w:shd w:val="clear" w:color="auto" w:fill="auto"/>
          </w:tcPr>
          <w:p w14:paraId="088C7A2C"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1,046.0</w:t>
            </w:r>
          </w:p>
        </w:tc>
        <w:tc>
          <w:tcPr>
            <w:tcW w:w="992" w:type="dxa"/>
            <w:shd w:val="clear" w:color="auto" w:fill="auto"/>
          </w:tcPr>
          <w:p w14:paraId="10379080"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3EAF3FEA"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6433BD70"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3CADC385"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3D24CB33"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32 03 01</w:t>
            </w:r>
          </w:p>
        </w:tc>
        <w:tc>
          <w:tcPr>
            <w:tcW w:w="2718" w:type="dxa"/>
            <w:shd w:val="clear" w:color="auto" w:fill="auto"/>
          </w:tcPr>
          <w:p w14:paraId="47942C6F"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F09DA">
              <w:rPr>
                <w:rFonts w:ascii="Arial" w:hAnsi="Arial" w:cs="Arial"/>
                <w:b/>
                <w:sz w:val="20"/>
                <w:szCs w:val="20"/>
              </w:rPr>
              <w:t>Quality improvement of accessibility to vocational education</w:t>
            </w:r>
          </w:p>
        </w:tc>
        <w:tc>
          <w:tcPr>
            <w:tcW w:w="1078" w:type="dxa"/>
            <w:shd w:val="clear" w:color="auto" w:fill="auto"/>
          </w:tcPr>
          <w:p w14:paraId="1A796E0D"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11,194.0</w:t>
            </w:r>
          </w:p>
        </w:tc>
        <w:tc>
          <w:tcPr>
            <w:tcW w:w="1165" w:type="dxa"/>
            <w:shd w:val="clear" w:color="auto" w:fill="auto"/>
          </w:tcPr>
          <w:p w14:paraId="3F7FA664"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11,194.0</w:t>
            </w:r>
          </w:p>
        </w:tc>
        <w:tc>
          <w:tcPr>
            <w:tcW w:w="992" w:type="dxa"/>
            <w:shd w:val="clear" w:color="auto" w:fill="auto"/>
          </w:tcPr>
          <w:p w14:paraId="1F1F109D"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05CD190D"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2846BC2D"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MoES</w:t>
            </w:r>
          </w:p>
        </w:tc>
      </w:tr>
      <w:tr w:rsidR="005F2D2B" w:rsidRPr="008F09DA" w14:paraId="2D15138F"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71328F7E"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3BB7CE3C"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Expenditure</w:t>
            </w:r>
          </w:p>
        </w:tc>
        <w:tc>
          <w:tcPr>
            <w:tcW w:w="1078" w:type="dxa"/>
            <w:shd w:val="clear" w:color="auto" w:fill="auto"/>
          </w:tcPr>
          <w:p w14:paraId="156F9836"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10,934.0</w:t>
            </w:r>
          </w:p>
        </w:tc>
        <w:tc>
          <w:tcPr>
            <w:tcW w:w="1165" w:type="dxa"/>
            <w:shd w:val="clear" w:color="auto" w:fill="auto"/>
          </w:tcPr>
          <w:p w14:paraId="752EFCDF"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10,934.0</w:t>
            </w:r>
          </w:p>
        </w:tc>
        <w:tc>
          <w:tcPr>
            <w:tcW w:w="992" w:type="dxa"/>
            <w:shd w:val="clear" w:color="auto" w:fill="auto"/>
          </w:tcPr>
          <w:p w14:paraId="26A7EC20"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131A5DDF"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758FEA1B"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1E103647"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1C9C1145"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2A4F4003"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non-financial assets</w:t>
            </w:r>
          </w:p>
        </w:tc>
        <w:tc>
          <w:tcPr>
            <w:tcW w:w="1078" w:type="dxa"/>
            <w:shd w:val="clear" w:color="auto" w:fill="auto"/>
          </w:tcPr>
          <w:p w14:paraId="3D57728E"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260.0</w:t>
            </w:r>
          </w:p>
        </w:tc>
        <w:tc>
          <w:tcPr>
            <w:tcW w:w="1165" w:type="dxa"/>
            <w:shd w:val="clear" w:color="auto" w:fill="auto"/>
          </w:tcPr>
          <w:p w14:paraId="5ED285A7"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260.0</w:t>
            </w:r>
          </w:p>
        </w:tc>
        <w:tc>
          <w:tcPr>
            <w:tcW w:w="992" w:type="dxa"/>
            <w:shd w:val="clear" w:color="auto" w:fill="auto"/>
          </w:tcPr>
          <w:p w14:paraId="4D5E503A"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3638A4E0"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3619FD1E"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3BEB3D38"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6EFEF51E"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32 03 02</w:t>
            </w:r>
          </w:p>
        </w:tc>
        <w:tc>
          <w:tcPr>
            <w:tcW w:w="2718" w:type="dxa"/>
            <w:shd w:val="clear" w:color="auto" w:fill="auto"/>
          </w:tcPr>
          <w:p w14:paraId="460E69FF"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F09DA">
              <w:rPr>
                <w:rFonts w:ascii="Arial" w:hAnsi="Arial" w:cs="Arial"/>
                <w:b/>
                <w:sz w:val="20"/>
                <w:szCs w:val="20"/>
              </w:rPr>
              <w:t>Vocational retraining of ethnic minorities</w:t>
            </w:r>
          </w:p>
        </w:tc>
        <w:tc>
          <w:tcPr>
            <w:tcW w:w="1078" w:type="dxa"/>
            <w:shd w:val="clear" w:color="auto" w:fill="auto"/>
          </w:tcPr>
          <w:p w14:paraId="32053D45"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688.0</w:t>
            </w:r>
          </w:p>
        </w:tc>
        <w:tc>
          <w:tcPr>
            <w:tcW w:w="1165" w:type="dxa"/>
            <w:shd w:val="clear" w:color="auto" w:fill="auto"/>
          </w:tcPr>
          <w:p w14:paraId="0E0C4D8C"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688.0</w:t>
            </w:r>
          </w:p>
        </w:tc>
        <w:tc>
          <w:tcPr>
            <w:tcW w:w="992" w:type="dxa"/>
            <w:shd w:val="clear" w:color="auto" w:fill="auto"/>
          </w:tcPr>
          <w:p w14:paraId="0907A04C"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049D2C13"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ka-GE"/>
              </w:rPr>
            </w:pPr>
            <w:r w:rsidRPr="008F09DA">
              <w:rPr>
                <w:rFonts w:ascii="Arial" w:hAnsi="Arial" w:cs="Arial"/>
                <w:sz w:val="20"/>
                <w:szCs w:val="20"/>
              </w:rPr>
              <w:t>0.0</w:t>
            </w:r>
          </w:p>
        </w:tc>
        <w:tc>
          <w:tcPr>
            <w:tcW w:w="1525" w:type="dxa"/>
            <w:shd w:val="clear" w:color="auto" w:fill="auto"/>
          </w:tcPr>
          <w:p w14:paraId="1CB08BAD"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LEPL – Zurab Zhvania State admin</w:t>
            </w:r>
            <w:r>
              <w:rPr>
                <w:rFonts w:ascii="Arial" w:hAnsi="Arial" w:cs="Arial"/>
                <w:sz w:val="20"/>
                <w:szCs w:val="20"/>
              </w:rPr>
              <w:t>.</w:t>
            </w:r>
            <w:r w:rsidRPr="008F09DA">
              <w:rPr>
                <w:rFonts w:ascii="Arial" w:hAnsi="Arial" w:cs="Arial"/>
                <w:sz w:val="20"/>
                <w:szCs w:val="20"/>
              </w:rPr>
              <w:t>school</w:t>
            </w:r>
          </w:p>
        </w:tc>
      </w:tr>
      <w:tr w:rsidR="005F2D2B" w:rsidRPr="008F09DA" w14:paraId="68FCA8F4"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4A987139"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553C766A"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Expenditure</w:t>
            </w:r>
          </w:p>
        </w:tc>
        <w:tc>
          <w:tcPr>
            <w:tcW w:w="1078" w:type="dxa"/>
            <w:shd w:val="clear" w:color="auto" w:fill="auto"/>
          </w:tcPr>
          <w:p w14:paraId="0B97B121"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674.0</w:t>
            </w:r>
          </w:p>
        </w:tc>
        <w:tc>
          <w:tcPr>
            <w:tcW w:w="1165" w:type="dxa"/>
            <w:shd w:val="clear" w:color="auto" w:fill="auto"/>
          </w:tcPr>
          <w:p w14:paraId="5572F2B0"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674.0</w:t>
            </w:r>
          </w:p>
        </w:tc>
        <w:tc>
          <w:tcPr>
            <w:tcW w:w="992" w:type="dxa"/>
            <w:shd w:val="clear" w:color="auto" w:fill="auto"/>
          </w:tcPr>
          <w:p w14:paraId="35D53084"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4EB304FB"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44D2E088"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3B6BE255"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3FEA99E4"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261EA655"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non-financial assets</w:t>
            </w:r>
          </w:p>
        </w:tc>
        <w:tc>
          <w:tcPr>
            <w:tcW w:w="1078" w:type="dxa"/>
            <w:shd w:val="clear" w:color="auto" w:fill="auto"/>
          </w:tcPr>
          <w:p w14:paraId="00DFD0F1"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14.0</w:t>
            </w:r>
          </w:p>
        </w:tc>
        <w:tc>
          <w:tcPr>
            <w:tcW w:w="1165" w:type="dxa"/>
            <w:shd w:val="clear" w:color="auto" w:fill="auto"/>
          </w:tcPr>
          <w:p w14:paraId="255F5AA9"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14.0</w:t>
            </w:r>
          </w:p>
        </w:tc>
        <w:tc>
          <w:tcPr>
            <w:tcW w:w="992" w:type="dxa"/>
            <w:shd w:val="clear" w:color="auto" w:fill="auto"/>
          </w:tcPr>
          <w:p w14:paraId="5625C635"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0231C92B"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4AFF339D"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0E5E8AA8"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34D6AE9F"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32 03 03</w:t>
            </w:r>
          </w:p>
        </w:tc>
        <w:tc>
          <w:tcPr>
            <w:tcW w:w="2718" w:type="dxa"/>
            <w:shd w:val="clear" w:color="auto" w:fill="auto"/>
          </w:tcPr>
          <w:p w14:paraId="2AF5D823"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ka-GE"/>
              </w:rPr>
            </w:pPr>
            <w:r w:rsidRPr="008F09DA">
              <w:rPr>
                <w:rFonts w:ascii="Arial" w:hAnsi="Arial" w:cs="Arial"/>
                <w:b/>
                <w:sz w:val="20"/>
                <w:szCs w:val="20"/>
              </w:rPr>
              <w:t xml:space="preserve">Education management Information system </w:t>
            </w:r>
          </w:p>
        </w:tc>
        <w:tc>
          <w:tcPr>
            <w:tcW w:w="1078" w:type="dxa"/>
            <w:shd w:val="clear" w:color="auto" w:fill="auto"/>
          </w:tcPr>
          <w:p w14:paraId="34719068"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7,911.0</w:t>
            </w:r>
          </w:p>
        </w:tc>
        <w:tc>
          <w:tcPr>
            <w:tcW w:w="1165" w:type="dxa"/>
            <w:shd w:val="clear" w:color="auto" w:fill="auto"/>
          </w:tcPr>
          <w:p w14:paraId="03BDA985"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7,911.0</w:t>
            </w:r>
          </w:p>
        </w:tc>
        <w:tc>
          <w:tcPr>
            <w:tcW w:w="992" w:type="dxa"/>
            <w:shd w:val="clear" w:color="auto" w:fill="auto"/>
          </w:tcPr>
          <w:p w14:paraId="1E1D0E96"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5BC55DF7"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3DB2C5E4"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LEPL EMIS</w:t>
            </w:r>
          </w:p>
        </w:tc>
      </w:tr>
      <w:tr w:rsidR="005F2D2B" w:rsidRPr="008F09DA" w14:paraId="05EA38B1"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5BFA05CD"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21BD8136"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 xml:space="preserve">Expenditure </w:t>
            </w:r>
          </w:p>
        </w:tc>
        <w:tc>
          <w:tcPr>
            <w:tcW w:w="1078" w:type="dxa"/>
            <w:shd w:val="clear" w:color="auto" w:fill="auto"/>
          </w:tcPr>
          <w:p w14:paraId="7E12B221"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7,139.0</w:t>
            </w:r>
          </w:p>
        </w:tc>
        <w:tc>
          <w:tcPr>
            <w:tcW w:w="1165" w:type="dxa"/>
            <w:shd w:val="clear" w:color="auto" w:fill="auto"/>
          </w:tcPr>
          <w:p w14:paraId="2E48A110"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7,139.0</w:t>
            </w:r>
          </w:p>
        </w:tc>
        <w:tc>
          <w:tcPr>
            <w:tcW w:w="992" w:type="dxa"/>
            <w:shd w:val="clear" w:color="auto" w:fill="auto"/>
          </w:tcPr>
          <w:p w14:paraId="3357AD11"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45973F3D"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5661EDBC"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3476FA92"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single" w:sz="4" w:space="0" w:color="auto"/>
            </w:tcBorders>
            <w:shd w:val="clear" w:color="auto" w:fill="auto"/>
          </w:tcPr>
          <w:p w14:paraId="058D874A" w14:textId="77777777" w:rsidR="005F2D2B" w:rsidRPr="008F09DA" w:rsidRDefault="005F2D2B" w:rsidP="005F2D2B">
            <w:pPr>
              <w:rPr>
                <w:rFonts w:ascii="Arial" w:hAnsi="Arial" w:cs="Arial"/>
                <w:color w:val="auto"/>
                <w:sz w:val="20"/>
                <w:szCs w:val="20"/>
              </w:rPr>
            </w:pPr>
          </w:p>
        </w:tc>
        <w:tc>
          <w:tcPr>
            <w:tcW w:w="2718" w:type="dxa"/>
            <w:tcBorders>
              <w:bottom w:val="single" w:sz="4" w:space="0" w:color="auto"/>
            </w:tcBorders>
            <w:shd w:val="clear" w:color="auto" w:fill="auto"/>
          </w:tcPr>
          <w:p w14:paraId="218BE313"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non-financial assets</w:t>
            </w:r>
          </w:p>
        </w:tc>
        <w:tc>
          <w:tcPr>
            <w:tcW w:w="1078" w:type="dxa"/>
            <w:tcBorders>
              <w:bottom w:val="single" w:sz="4" w:space="0" w:color="auto"/>
            </w:tcBorders>
            <w:shd w:val="clear" w:color="auto" w:fill="auto"/>
          </w:tcPr>
          <w:p w14:paraId="0E93046E"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772.0</w:t>
            </w:r>
          </w:p>
        </w:tc>
        <w:tc>
          <w:tcPr>
            <w:tcW w:w="1165" w:type="dxa"/>
            <w:tcBorders>
              <w:bottom w:val="single" w:sz="4" w:space="0" w:color="auto"/>
            </w:tcBorders>
            <w:shd w:val="clear" w:color="auto" w:fill="auto"/>
          </w:tcPr>
          <w:p w14:paraId="391DB01A"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772.0</w:t>
            </w:r>
          </w:p>
        </w:tc>
        <w:tc>
          <w:tcPr>
            <w:tcW w:w="992" w:type="dxa"/>
            <w:tcBorders>
              <w:bottom w:val="single" w:sz="4" w:space="0" w:color="auto"/>
            </w:tcBorders>
            <w:shd w:val="clear" w:color="auto" w:fill="auto"/>
          </w:tcPr>
          <w:p w14:paraId="42F99B81"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tcBorders>
              <w:bottom w:val="single" w:sz="4" w:space="0" w:color="auto"/>
            </w:tcBorders>
            <w:shd w:val="clear" w:color="auto" w:fill="auto"/>
          </w:tcPr>
          <w:p w14:paraId="7CCF7754"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ka-GE"/>
              </w:rPr>
            </w:pPr>
            <w:r w:rsidRPr="008F09DA">
              <w:rPr>
                <w:rFonts w:ascii="Arial" w:hAnsi="Arial" w:cs="Arial"/>
                <w:sz w:val="20"/>
                <w:szCs w:val="20"/>
              </w:rPr>
              <w:t>0.0</w:t>
            </w:r>
          </w:p>
        </w:tc>
        <w:tc>
          <w:tcPr>
            <w:tcW w:w="1525" w:type="dxa"/>
            <w:tcBorders>
              <w:bottom w:val="single" w:sz="4" w:space="0" w:color="auto"/>
            </w:tcBorders>
            <w:shd w:val="clear" w:color="auto" w:fill="auto"/>
          </w:tcPr>
          <w:p w14:paraId="3E21DF0E"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2CAC422E"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76" w:type="dxa"/>
            <w:gridSpan w:val="7"/>
            <w:tcBorders>
              <w:left w:val="single" w:sz="4" w:space="0" w:color="auto"/>
            </w:tcBorders>
            <w:shd w:val="clear" w:color="auto" w:fill="BFBFBF" w:themeFill="background1" w:themeFillShade="BF"/>
          </w:tcPr>
          <w:p w14:paraId="53778EC0"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2014</w:t>
            </w:r>
          </w:p>
        </w:tc>
      </w:tr>
      <w:tr w:rsidR="005F2D2B" w:rsidRPr="008F09DA" w14:paraId="3B088E4C"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67739DCC"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 xml:space="preserve">32 03 </w:t>
            </w:r>
          </w:p>
        </w:tc>
        <w:tc>
          <w:tcPr>
            <w:tcW w:w="2718" w:type="dxa"/>
            <w:shd w:val="clear" w:color="auto" w:fill="auto"/>
          </w:tcPr>
          <w:p w14:paraId="59799910"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F09DA">
              <w:rPr>
                <w:rFonts w:ascii="Arial" w:hAnsi="Arial" w:cs="Arial"/>
                <w:b/>
                <w:sz w:val="20"/>
                <w:szCs w:val="20"/>
              </w:rPr>
              <w:t>Vocational education</w:t>
            </w:r>
          </w:p>
        </w:tc>
        <w:tc>
          <w:tcPr>
            <w:tcW w:w="1078" w:type="dxa"/>
            <w:shd w:val="clear" w:color="auto" w:fill="auto"/>
          </w:tcPr>
          <w:p w14:paraId="28F1E19E"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37,318.0</w:t>
            </w:r>
          </w:p>
        </w:tc>
        <w:tc>
          <w:tcPr>
            <w:tcW w:w="1165" w:type="dxa"/>
            <w:shd w:val="clear" w:color="auto" w:fill="auto"/>
          </w:tcPr>
          <w:p w14:paraId="626925F7"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37,318.0</w:t>
            </w:r>
          </w:p>
        </w:tc>
        <w:tc>
          <w:tcPr>
            <w:tcW w:w="992" w:type="dxa"/>
            <w:shd w:val="clear" w:color="auto" w:fill="auto"/>
          </w:tcPr>
          <w:p w14:paraId="76E25E14"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65400DF0"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6563A6F2"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5DA4319A"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5247C12A"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25CA5402"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Expenditure</w:t>
            </w:r>
          </w:p>
        </w:tc>
        <w:tc>
          <w:tcPr>
            <w:tcW w:w="1078" w:type="dxa"/>
            <w:shd w:val="clear" w:color="auto" w:fill="auto"/>
          </w:tcPr>
          <w:p w14:paraId="5E058BD8"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36,754.0</w:t>
            </w:r>
          </w:p>
        </w:tc>
        <w:tc>
          <w:tcPr>
            <w:tcW w:w="1165" w:type="dxa"/>
            <w:shd w:val="clear" w:color="auto" w:fill="auto"/>
          </w:tcPr>
          <w:p w14:paraId="15D2C360"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36,754.0</w:t>
            </w:r>
          </w:p>
        </w:tc>
        <w:tc>
          <w:tcPr>
            <w:tcW w:w="992" w:type="dxa"/>
            <w:shd w:val="clear" w:color="auto" w:fill="auto"/>
          </w:tcPr>
          <w:p w14:paraId="519DEE8D"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32D5654D"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3F9BF8CA"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684FCA3F"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7F0FC113"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1A6EF7D5"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non-financial assets</w:t>
            </w:r>
          </w:p>
        </w:tc>
        <w:tc>
          <w:tcPr>
            <w:tcW w:w="1078" w:type="dxa"/>
            <w:shd w:val="clear" w:color="auto" w:fill="auto"/>
          </w:tcPr>
          <w:p w14:paraId="2E2658A8"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564.0</w:t>
            </w:r>
          </w:p>
        </w:tc>
        <w:tc>
          <w:tcPr>
            <w:tcW w:w="1165" w:type="dxa"/>
            <w:shd w:val="clear" w:color="auto" w:fill="auto"/>
          </w:tcPr>
          <w:p w14:paraId="1023FA4E"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564.0</w:t>
            </w:r>
          </w:p>
        </w:tc>
        <w:tc>
          <w:tcPr>
            <w:tcW w:w="992" w:type="dxa"/>
            <w:shd w:val="clear" w:color="auto" w:fill="auto"/>
          </w:tcPr>
          <w:p w14:paraId="4F462A92"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51DC11A2"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029D5197"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43AA906D"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580EBC2A"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32 03 01</w:t>
            </w:r>
          </w:p>
        </w:tc>
        <w:tc>
          <w:tcPr>
            <w:tcW w:w="2718" w:type="dxa"/>
            <w:shd w:val="clear" w:color="auto" w:fill="auto"/>
          </w:tcPr>
          <w:p w14:paraId="4855699B"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F09DA">
              <w:rPr>
                <w:rFonts w:ascii="Arial" w:hAnsi="Arial" w:cs="Arial"/>
                <w:b/>
                <w:sz w:val="20"/>
                <w:szCs w:val="20"/>
              </w:rPr>
              <w:t>Quality improvement of accessibility to vocational education</w:t>
            </w:r>
          </w:p>
        </w:tc>
        <w:tc>
          <w:tcPr>
            <w:tcW w:w="1078" w:type="dxa"/>
            <w:shd w:val="clear" w:color="auto" w:fill="auto"/>
          </w:tcPr>
          <w:p w14:paraId="0FC12AB1"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28,650.0</w:t>
            </w:r>
          </w:p>
        </w:tc>
        <w:tc>
          <w:tcPr>
            <w:tcW w:w="1165" w:type="dxa"/>
            <w:shd w:val="clear" w:color="auto" w:fill="auto"/>
          </w:tcPr>
          <w:p w14:paraId="008F7171"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28,650.0</w:t>
            </w:r>
          </w:p>
        </w:tc>
        <w:tc>
          <w:tcPr>
            <w:tcW w:w="992" w:type="dxa"/>
            <w:shd w:val="clear" w:color="auto" w:fill="auto"/>
          </w:tcPr>
          <w:p w14:paraId="19FFA4D0"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7F629235"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038FEE03"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MoES</w:t>
            </w:r>
          </w:p>
        </w:tc>
      </w:tr>
      <w:tr w:rsidR="005F2D2B" w:rsidRPr="008F09DA" w14:paraId="7931DFD2"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01738D4D"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4900856F"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Expenditure</w:t>
            </w:r>
          </w:p>
        </w:tc>
        <w:tc>
          <w:tcPr>
            <w:tcW w:w="1078" w:type="dxa"/>
            <w:shd w:val="clear" w:color="auto" w:fill="auto"/>
          </w:tcPr>
          <w:p w14:paraId="340BD196"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28,550.0</w:t>
            </w:r>
          </w:p>
        </w:tc>
        <w:tc>
          <w:tcPr>
            <w:tcW w:w="1165" w:type="dxa"/>
            <w:shd w:val="clear" w:color="auto" w:fill="auto"/>
          </w:tcPr>
          <w:p w14:paraId="447439C3"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28,550.0</w:t>
            </w:r>
          </w:p>
        </w:tc>
        <w:tc>
          <w:tcPr>
            <w:tcW w:w="992" w:type="dxa"/>
            <w:shd w:val="clear" w:color="auto" w:fill="auto"/>
          </w:tcPr>
          <w:p w14:paraId="39D8D89D"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4EFAD2A8"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077045C9"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4642BFCA"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09647726"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6E3BAA05"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non-financial assets</w:t>
            </w:r>
          </w:p>
        </w:tc>
        <w:tc>
          <w:tcPr>
            <w:tcW w:w="1078" w:type="dxa"/>
            <w:shd w:val="clear" w:color="auto" w:fill="auto"/>
          </w:tcPr>
          <w:p w14:paraId="01F66B05"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100.0</w:t>
            </w:r>
          </w:p>
        </w:tc>
        <w:tc>
          <w:tcPr>
            <w:tcW w:w="1165" w:type="dxa"/>
            <w:shd w:val="clear" w:color="auto" w:fill="auto"/>
          </w:tcPr>
          <w:p w14:paraId="65745330"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100.0</w:t>
            </w:r>
          </w:p>
        </w:tc>
        <w:tc>
          <w:tcPr>
            <w:tcW w:w="992" w:type="dxa"/>
            <w:shd w:val="clear" w:color="auto" w:fill="auto"/>
          </w:tcPr>
          <w:p w14:paraId="3AA8575E"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672C9673"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3494A9CC"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44BEA59F"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09C48992"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32 03 02</w:t>
            </w:r>
          </w:p>
        </w:tc>
        <w:tc>
          <w:tcPr>
            <w:tcW w:w="2718" w:type="dxa"/>
            <w:shd w:val="clear" w:color="auto" w:fill="auto"/>
          </w:tcPr>
          <w:p w14:paraId="53DE49B4"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F09DA">
              <w:rPr>
                <w:rFonts w:ascii="Arial" w:hAnsi="Arial" w:cs="Arial"/>
                <w:b/>
                <w:sz w:val="20"/>
                <w:szCs w:val="20"/>
              </w:rPr>
              <w:t>Vocational retraining of ethnic minorities</w:t>
            </w:r>
          </w:p>
        </w:tc>
        <w:tc>
          <w:tcPr>
            <w:tcW w:w="1078" w:type="dxa"/>
            <w:shd w:val="clear" w:color="auto" w:fill="auto"/>
          </w:tcPr>
          <w:p w14:paraId="11BE69EA"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688.0</w:t>
            </w:r>
          </w:p>
        </w:tc>
        <w:tc>
          <w:tcPr>
            <w:tcW w:w="1165" w:type="dxa"/>
            <w:shd w:val="clear" w:color="auto" w:fill="auto"/>
          </w:tcPr>
          <w:p w14:paraId="50F20295"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688.0</w:t>
            </w:r>
          </w:p>
        </w:tc>
        <w:tc>
          <w:tcPr>
            <w:tcW w:w="992" w:type="dxa"/>
            <w:shd w:val="clear" w:color="auto" w:fill="auto"/>
          </w:tcPr>
          <w:p w14:paraId="6F5A0064"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6ACDFC9A"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ka-GE"/>
              </w:rPr>
            </w:pPr>
            <w:r w:rsidRPr="008F09DA">
              <w:rPr>
                <w:rFonts w:ascii="Arial" w:hAnsi="Arial" w:cs="Arial"/>
                <w:sz w:val="20"/>
                <w:szCs w:val="20"/>
              </w:rPr>
              <w:t>0.0</w:t>
            </w:r>
          </w:p>
        </w:tc>
        <w:tc>
          <w:tcPr>
            <w:tcW w:w="1525" w:type="dxa"/>
            <w:shd w:val="clear" w:color="auto" w:fill="auto"/>
          </w:tcPr>
          <w:p w14:paraId="7B609EF2"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LEPL – Zurab Zhvania State admin</w:t>
            </w:r>
            <w:r>
              <w:rPr>
                <w:rFonts w:ascii="Arial" w:hAnsi="Arial" w:cs="Arial"/>
                <w:sz w:val="20"/>
                <w:szCs w:val="20"/>
              </w:rPr>
              <w:t>.</w:t>
            </w:r>
            <w:r w:rsidRPr="008F09DA">
              <w:rPr>
                <w:rFonts w:ascii="Arial" w:hAnsi="Arial" w:cs="Arial"/>
                <w:sz w:val="20"/>
                <w:szCs w:val="20"/>
              </w:rPr>
              <w:t>school</w:t>
            </w:r>
          </w:p>
        </w:tc>
      </w:tr>
      <w:tr w:rsidR="005F2D2B" w:rsidRPr="008F09DA" w14:paraId="6534E258"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60E49A67"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3D0452DC"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Expenditure</w:t>
            </w:r>
          </w:p>
        </w:tc>
        <w:tc>
          <w:tcPr>
            <w:tcW w:w="1078" w:type="dxa"/>
            <w:shd w:val="clear" w:color="auto" w:fill="auto"/>
          </w:tcPr>
          <w:p w14:paraId="69EB9BE9"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674.0</w:t>
            </w:r>
          </w:p>
        </w:tc>
        <w:tc>
          <w:tcPr>
            <w:tcW w:w="1165" w:type="dxa"/>
            <w:shd w:val="clear" w:color="auto" w:fill="auto"/>
          </w:tcPr>
          <w:p w14:paraId="0EC91942"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674.0</w:t>
            </w:r>
          </w:p>
        </w:tc>
        <w:tc>
          <w:tcPr>
            <w:tcW w:w="992" w:type="dxa"/>
            <w:shd w:val="clear" w:color="auto" w:fill="auto"/>
          </w:tcPr>
          <w:p w14:paraId="53DAA3C2"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05C93ED1"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147B9CA3"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42B756CB"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38DC2E99"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71F47B3F"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of non-financial assets</w:t>
            </w:r>
          </w:p>
        </w:tc>
        <w:tc>
          <w:tcPr>
            <w:tcW w:w="1078" w:type="dxa"/>
            <w:shd w:val="clear" w:color="auto" w:fill="auto"/>
          </w:tcPr>
          <w:p w14:paraId="4B290DA8"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14.0</w:t>
            </w:r>
          </w:p>
        </w:tc>
        <w:tc>
          <w:tcPr>
            <w:tcW w:w="1165" w:type="dxa"/>
            <w:shd w:val="clear" w:color="auto" w:fill="auto"/>
          </w:tcPr>
          <w:p w14:paraId="00FDC3EC"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14.0</w:t>
            </w:r>
          </w:p>
        </w:tc>
        <w:tc>
          <w:tcPr>
            <w:tcW w:w="992" w:type="dxa"/>
            <w:shd w:val="clear" w:color="auto" w:fill="auto"/>
          </w:tcPr>
          <w:p w14:paraId="2251D8B4"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38F32C10"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63EE2968"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018A2C90"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0E8985B0"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32 03 03</w:t>
            </w:r>
          </w:p>
        </w:tc>
        <w:tc>
          <w:tcPr>
            <w:tcW w:w="2718" w:type="dxa"/>
            <w:shd w:val="clear" w:color="auto" w:fill="auto"/>
          </w:tcPr>
          <w:p w14:paraId="4CDA5F8B"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ka-GE"/>
              </w:rPr>
            </w:pPr>
            <w:r w:rsidRPr="008F09DA">
              <w:rPr>
                <w:rFonts w:ascii="Arial" w:hAnsi="Arial" w:cs="Arial"/>
                <w:b/>
                <w:sz w:val="20"/>
                <w:szCs w:val="20"/>
              </w:rPr>
              <w:t xml:space="preserve">Education management Information system </w:t>
            </w:r>
          </w:p>
        </w:tc>
        <w:tc>
          <w:tcPr>
            <w:tcW w:w="1078" w:type="dxa"/>
            <w:shd w:val="clear" w:color="auto" w:fill="auto"/>
          </w:tcPr>
          <w:p w14:paraId="70903095"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7,980.0</w:t>
            </w:r>
          </w:p>
        </w:tc>
        <w:tc>
          <w:tcPr>
            <w:tcW w:w="1165" w:type="dxa"/>
            <w:shd w:val="clear" w:color="auto" w:fill="auto"/>
          </w:tcPr>
          <w:p w14:paraId="66A4C335"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7,980.0</w:t>
            </w:r>
          </w:p>
        </w:tc>
        <w:tc>
          <w:tcPr>
            <w:tcW w:w="992" w:type="dxa"/>
            <w:shd w:val="clear" w:color="auto" w:fill="auto"/>
          </w:tcPr>
          <w:p w14:paraId="59E1A47D"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40704041"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2D5DC638"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LEPL EMIS</w:t>
            </w:r>
          </w:p>
        </w:tc>
      </w:tr>
      <w:tr w:rsidR="005F2D2B" w:rsidRPr="008F09DA" w14:paraId="2D56F937"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2CDC381A"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1761023C"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 xml:space="preserve">Expenditure </w:t>
            </w:r>
          </w:p>
        </w:tc>
        <w:tc>
          <w:tcPr>
            <w:tcW w:w="1078" w:type="dxa"/>
            <w:shd w:val="clear" w:color="auto" w:fill="auto"/>
          </w:tcPr>
          <w:p w14:paraId="7F9F6D08"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7,530.0</w:t>
            </w:r>
          </w:p>
        </w:tc>
        <w:tc>
          <w:tcPr>
            <w:tcW w:w="1165" w:type="dxa"/>
            <w:shd w:val="clear" w:color="auto" w:fill="auto"/>
          </w:tcPr>
          <w:p w14:paraId="2226BB11"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7,530.0</w:t>
            </w:r>
          </w:p>
        </w:tc>
        <w:tc>
          <w:tcPr>
            <w:tcW w:w="992" w:type="dxa"/>
            <w:shd w:val="clear" w:color="auto" w:fill="auto"/>
          </w:tcPr>
          <w:p w14:paraId="42E32D4E"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204DD0AC"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644B06F6"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4CFEEF2F"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single" w:sz="4" w:space="0" w:color="auto"/>
            </w:tcBorders>
            <w:shd w:val="clear" w:color="auto" w:fill="auto"/>
          </w:tcPr>
          <w:p w14:paraId="7CA37164" w14:textId="77777777" w:rsidR="005F2D2B" w:rsidRPr="008F09DA" w:rsidRDefault="005F2D2B" w:rsidP="005F2D2B">
            <w:pPr>
              <w:rPr>
                <w:rFonts w:ascii="Arial" w:hAnsi="Arial" w:cs="Arial"/>
                <w:color w:val="auto"/>
                <w:sz w:val="20"/>
                <w:szCs w:val="20"/>
              </w:rPr>
            </w:pPr>
          </w:p>
        </w:tc>
        <w:tc>
          <w:tcPr>
            <w:tcW w:w="2718" w:type="dxa"/>
            <w:tcBorders>
              <w:bottom w:val="single" w:sz="4" w:space="0" w:color="auto"/>
            </w:tcBorders>
            <w:shd w:val="clear" w:color="auto" w:fill="auto"/>
          </w:tcPr>
          <w:p w14:paraId="2542154C"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non-financial assets</w:t>
            </w:r>
          </w:p>
        </w:tc>
        <w:tc>
          <w:tcPr>
            <w:tcW w:w="1078" w:type="dxa"/>
            <w:tcBorders>
              <w:bottom w:val="single" w:sz="4" w:space="0" w:color="auto"/>
            </w:tcBorders>
            <w:shd w:val="clear" w:color="auto" w:fill="auto"/>
          </w:tcPr>
          <w:p w14:paraId="7337C3C5"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450.0</w:t>
            </w:r>
          </w:p>
        </w:tc>
        <w:tc>
          <w:tcPr>
            <w:tcW w:w="1165" w:type="dxa"/>
            <w:tcBorders>
              <w:bottom w:val="single" w:sz="4" w:space="0" w:color="auto"/>
            </w:tcBorders>
            <w:shd w:val="clear" w:color="auto" w:fill="auto"/>
          </w:tcPr>
          <w:p w14:paraId="3D5E617D"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450.0</w:t>
            </w:r>
          </w:p>
        </w:tc>
        <w:tc>
          <w:tcPr>
            <w:tcW w:w="992" w:type="dxa"/>
            <w:tcBorders>
              <w:bottom w:val="single" w:sz="4" w:space="0" w:color="auto"/>
            </w:tcBorders>
            <w:shd w:val="clear" w:color="auto" w:fill="auto"/>
          </w:tcPr>
          <w:p w14:paraId="68CEDB3D"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tcBorders>
              <w:bottom w:val="single" w:sz="4" w:space="0" w:color="auto"/>
            </w:tcBorders>
            <w:shd w:val="clear" w:color="auto" w:fill="auto"/>
          </w:tcPr>
          <w:p w14:paraId="62BDA367"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ka-GE"/>
              </w:rPr>
            </w:pPr>
            <w:r w:rsidRPr="008F09DA">
              <w:rPr>
                <w:rFonts w:ascii="Arial" w:hAnsi="Arial" w:cs="Arial"/>
                <w:sz w:val="20"/>
                <w:szCs w:val="20"/>
              </w:rPr>
              <w:t>0.0</w:t>
            </w:r>
          </w:p>
        </w:tc>
        <w:tc>
          <w:tcPr>
            <w:tcW w:w="1525" w:type="dxa"/>
            <w:tcBorders>
              <w:bottom w:val="single" w:sz="4" w:space="0" w:color="auto"/>
            </w:tcBorders>
            <w:shd w:val="clear" w:color="auto" w:fill="auto"/>
          </w:tcPr>
          <w:p w14:paraId="20328401"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5EAAF707"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9576" w:type="dxa"/>
            <w:gridSpan w:val="7"/>
            <w:tcBorders>
              <w:left w:val="single" w:sz="4" w:space="0" w:color="auto"/>
            </w:tcBorders>
            <w:shd w:val="clear" w:color="auto" w:fill="BFBFBF" w:themeFill="background1" w:themeFillShade="BF"/>
          </w:tcPr>
          <w:p w14:paraId="6B2AA93A"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2015</w:t>
            </w:r>
          </w:p>
        </w:tc>
      </w:tr>
      <w:tr w:rsidR="005F2D2B" w:rsidRPr="008F09DA" w14:paraId="5FD8487D"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5FD3A32E"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 xml:space="preserve">32 03 </w:t>
            </w:r>
          </w:p>
        </w:tc>
        <w:tc>
          <w:tcPr>
            <w:tcW w:w="2718" w:type="dxa"/>
            <w:shd w:val="clear" w:color="auto" w:fill="auto"/>
          </w:tcPr>
          <w:p w14:paraId="5527FB2B"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F09DA">
              <w:rPr>
                <w:rFonts w:ascii="Arial" w:hAnsi="Arial" w:cs="Arial"/>
                <w:b/>
                <w:sz w:val="20"/>
                <w:szCs w:val="20"/>
              </w:rPr>
              <w:t>Vocational education</w:t>
            </w:r>
          </w:p>
        </w:tc>
        <w:tc>
          <w:tcPr>
            <w:tcW w:w="1078" w:type="dxa"/>
            <w:shd w:val="clear" w:color="auto" w:fill="auto"/>
          </w:tcPr>
          <w:p w14:paraId="79DB8A31"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31,620.3</w:t>
            </w:r>
          </w:p>
        </w:tc>
        <w:tc>
          <w:tcPr>
            <w:tcW w:w="1165" w:type="dxa"/>
            <w:shd w:val="clear" w:color="auto" w:fill="auto"/>
          </w:tcPr>
          <w:p w14:paraId="76517761"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31,620.3</w:t>
            </w:r>
          </w:p>
        </w:tc>
        <w:tc>
          <w:tcPr>
            <w:tcW w:w="992" w:type="dxa"/>
            <w:shd w:val="clear" w:color="auto" w:fill="auto"/>
          </w:tcPr>
          <w:p w14:paraId="2E5DAE90"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5AFE9A8F"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747C4E64"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6E70CFF8"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0761CE7D"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4E3B342D"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Expenditure</w:t>
            </w:r>
          </w:p>
        </w:tc>
        <w:tc>
          <w:tcPr>
            <w:tcW w:w="1078" w:type="dxa"/>
            <w:shd w:val="clear" w:color="auto" w:fill="auto"/>
          </w:tcPr>
          <w:p w14:paraId="504D86FA"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31,181.8</w:t>
            </w:r>
          </w:p>
        </w:tc>
        <w:tc>
          <w:tcPr>
            <w:tcW w:w="1165" w:type="dxa"/>
            <w:shd w:val="clear" w:color="auto" w:fill="auto"/>
          </w:tcPr>
          <w:p w14:paraId="493FFC7C"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31,181.8</w:t>
            </w:r>
          </w:p>
        </w:tc>
        <w:tc>
          <w:tcPr>
            <w:tcW w:w="992" w:type="dxa"/>
            <w:shd w:val="clear" w:color="auto" w:fill="auto"/>
          </w:tcPr>
          <w:p w14:paraId="36C60ED1"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673345BC"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35072706"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00C9CEE6"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78E73F2C"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5A6F7258"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non-financial assets</w:t>
            </w:r>
          </w:p>
        </w:tc>
        <w:tc>
          <w:tcPr>
            <w:tcW w:w="1078" w:type="dxa"/>
            <w:shd w:val="clear" w:color="auto" w:fill="auto"/>
          </w:tcPr>
          <w:p w14:paraId="00828173"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438.5</w:t>
            </w:r>
          </w:p>
        </w:tc>
        <w:tc>
          <w:tcPr>
            <w:tcW w:w="1165" w:type="dxa"/>
            <w:shd w:val="clear" w:color="auto" w:fill="auto"/>
          </w:tcPr>
          <w:p w14:paraId="29ACC656"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438.5</w:t>
            </w:r>
          </w:p>
        </w:tc>
        <w:tc>
          <w:tcPr>
            <w:tcW w:w="992" w:type="dxa"/>
            <w:shd w:val="clear" w:color="auto" w:fill="auto"/>
          </w:tcPr>
          <w:p w14:paraId="64419580"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4311470C"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08DF7CF7"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7E138FA9"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591305C0"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32 03 01</w:t>
            </w:r>
          </w:p>
        </w:tc>
        <w:tc>
          <w:tcPr>
            <w:tcW w:w="2718" w:type="dxa"/>
            <w:shd w:val="clear" w:color="auto" w:fill="auto"/>
          </w:tcPr>
          <w:p w14:paraId="49D0796E"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F09DA">
              <w:rPr>
                <w:rFonts w:ascii="Arial" w:hAnsi="Arial" w:cs="Arial"/>
                <w:b/>
                <w:sz w:val="20"/>
                <w:szCs w:val="20"/>
              </w:rPr>
              <w:t>Quality improvement of accessibility to vocational education</w:t>
            </w:r>
          </w:p>
        </w:tc>
        <w:tc>
          <w:tcPr>
            <w:tcW w:w="1078" w:type="dxa"/>
            <w:shd w:val="clear" w:color="auto" w:fill="auto"/>
          </w:tcPr>
          <w:p w14:paraId="5DCF5EBB"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22,500.0</w:t>
            </w:r>
          </w:p>
        </w:tc>
        <w:tc>
          <w:tcPr>
            <w:tcW w:w="1165" w:type="dxa"/>
            <w:shd w:val="clear" w:color="auto" w:fill="auto"/>
          </w:tcPr>
          <w:p w14:paraId="777209BE"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22,500.0</w:t>
            </w:r>
          </w:p>
        </w:tc>
        <w:tc>
          <w:tcPr>
            <w:tcW w:w="992" w:type="dxa"/>
            <w:shd w:val="clear" w:color="auto" w:fill="auto"/>
          </w:tcPr>
          <w:p w14:paraId="6CECA7BF"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4DEC2F9D"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78EB8328"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MoES</w:t>
            </w:r>
          </w:p>
        </w:tc>
      </w:tr>
      <w:tr w:rsidR="005F2D2B" w:rsidRPr="008F09DA" w14:paraId="6E97302E"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4F7B4998"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47C32828"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Expenditure</w:t>
            </w:r>
          </w:p>
        </w:tc>
        <w:tc>
          <w:tcPr>
            <w:tcW w:w="1078" w:type="dxa"/>
            <w:shd w:val="clear" w:color="auto" w:fill="auto"/>
          </w:tcPr>
          <w:p w14:paraId="24E85B80"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22,300.0</w:t>
            </w:r>
          </w:p>
        </w:tc>
        <w:tc>
          <w:tcPr>
            <w:tcW w:w="1165" w:type="dxa"/>
            <w:shd w:val="clear" w:color="auto" w:fill="auto"/>
          </w:tcPr>
          <w:p w14:paraId="010B1698"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22,300.0</w:t>
            </w:r>
          </w:p>
        </w:tc>
        <w:tc>
          <w:tcPr>
            <w:tcW w:w="992" w:type="dxa"/>
            <w:shd w:val="clear" w:color="auto" w:fill="auto"/>
          </w:tcPr>
          <w:p w14:paraId="216E7793"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25EDF847"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355A91C6"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6C8F9BA4"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392055B3"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2884955C"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non-financial assets</w:t>
            </w:r>
          </w:p>
        </w:tc>
        <w:tc>
          <w:tcPr>
            <w:tcW w:w="1078" w:type="dxa"/>
            <w:shd w:val="clear" w:color="auto" w:fill="auto"/>
          </w:tcPr>
          <w:p w14:paraId="0162C264"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200.0</w:t>
            </w:r>
          </w:p>
        </w:tc>
        <w:tc>
          <w:tcPr>
            <w:tcW w:w="1165" w:type="dxa"/>
            <w:shd w:val="clear" w:color="auto" w:fill="auto"/>
          </w:tcPr>
          <w:p w14:paraId="44C8333F"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200.0</w:t>
            </w:r>
          </w:p>
        </w:tc>
        <w:tc>
          <w:tcPr>
            <w:tcW w:w="992" w:type="dxa"/>
            <w:shd w:val="clear" w:color="auto" w:fill="auto"/>
          </w:tcPr>
          <w:p w14:paraId="4F62C537"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1B349F4E"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4CD04263"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64C77758"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5C52CDF3"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32 03 02</w:t>
            </w:r>
          </w:p>
        </w:tc>
        <w:tc>
          <w:tcPr>
            <w:tcW w:w="2718" w:type="dxa"/>
            <w:shd w:val="clear" w:color="auto" w:fill="auto"/>
          </w:tcPr>
          <w:p w14:paraId="6FB3C85A"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F09DA">
              <w:rPr>
                <w:rFonts w:ascii="Arial" w:hAnsi="Arial" w:cs="Arial"/>
                <w:b/>
                <w:sz w:val="20"/>
                <w:szCs w:val="20"/>
              </w:rPr>
              <w:t>Vocational retraining of ethnic minorities</w:t>
            </w:r>
          </w:p>
        </w:tc>
        <w:tc>
          <w:tcPr>
            <w:tcW w:w="1078" w:type="dxa"/>
            <w:shd w:val="clear" w:color="auto" w:fill="auto"/>
          </w:tcPr>
          <w:p w14:paraId="5F1A262B"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1,643.3</w:t>
            </w:r>
          </w:p>
        </w:tc>
        <w:tc>
          <w:tcPr>
            <w:tcW w:w="1165" w:type="dxa"/>
            <w:shd w:val="clear" w:color="auto" w:fill="auto"/>
          </w:tcPr>
          <w:p w14:paraId="09373B08"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1,643.3</w:t>
            </w:r>
          </w:p>
        </w:tc>
        <w:tc>
          <w:tcPr>
            <w:tcW w:w="992" w:type="dxa"/>
            <w:shd w:val="clear" w:color="auto" w:fill="auto"/>
          </w:tcPr>
          <w:p w14:paraId="26E05B9A"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0826F78B"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ka-GE"/>
              </w:rPr>
            </w:pPr>
            <w:r w:rsidRPr="008F09DA">
              <w:rPr>
                <w:rFonts w:ascii="Arial" w:hAnsi="Arial" w:cs="Arial"/>
                <w:sz w:val="20"/>
                <w:szCs w:val="20"/>
              </w:rPr>
              <w:t>0.0</w:t>
            </w:r>
          </w:p>
        </w:tc>
        <w:tc>
          <w:tcPr>
            <w:tcW w:w="1525" w:type="dxa"/>
            <w:shd w:val="clear" w:color="auto" w:fill="auto"/>
          </w:tcPr>
          <w:p w14:paraId="59F345BE"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LEPL – Zurab Zhvania State admin</w:t>
            </w:r>
            <w:r>
              <w:rPr>
                <w:rFonts w:ascii="Arial" w:hAnsi="Arial" w:cs="Arial"/>
                <w:sz w:val="20"/>
                <w:szCs w:val="20"/>
              </w:rPr>
              <w:t>.</w:t>
            </w:r>
            <w:r w:rsidRPr="008F09DA">
              <w:rPr>
                <w:rFonts w:ascii="Arial" w:hAnsi="Arial" w:cs="Arial"/>
                <w:sz w:val="20"/>
                <w:szCs w:val="20"/>
              </w:rPr>
              <w:t>school</w:t>
            </w:r>
          </w:p>
        </w:tc>
      </w:tr>
      <w:tr w:rsidR="005F2D2B" w:rsidRPr="008F09DA" w14:paraId="216E41A2"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533A4555"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7D82A9F6"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Expenditure</w:t>
            </w:r>
          </w:p>
        </w:tc>
        <w:tc>
          <w:tcPr>
            <w:tcW w:w="1078" w:type="dxa"/>
            <w:shd w:val="clear" w:color="auto" w:fill="auto"/>
          </w:tcPr>
          <w:p w14:paraId="18BF4BA3"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1,569.8</w:t>
            </w:r>
          </w:p>
        </w:tc>
        <w:tc>
          <w:tcPr>
            <w:tcW w:w="1165" w:type="dxa"/>
            <w:shd w:val="clear" w:color="auto" w:fill="auto"/>
          </w:tcPr>
          <w:p w14:paraId="7DC57D0F"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1,569.8</w:t>
            </w:r>
          </w:p>
        </w:tc>
        <w:tc>
          <w:tcPr>
            <w:tcW w:w="992" w:type="dxa"/>
            <w:shd w:val="clear" w:color="auto" w:fill="auto"/>
          </w:tcPr>
          <w:p w14:paraId="1C5BA848"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03538124"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358DF149"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69F7CD32"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1DD8B29B"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1D48941E"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non-financial assets</w:t>
            </w:r>
          </w:p>
        </w:tc>
        <w:tc>
          <w:tcPr>
            <w:tcW w:w="1078" w:type="dxa"/>
            <w:shd w:val="clear" w:color="auto" w:fill="auto"/>
          </w:tcPr>
          <w:p w14:paraId="0466F208"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73.5</w:t>
            </w:r>
          </w:p>
        </w:tc>
        <w:tc>
          <w:tcPr>
            <w:tcW w:w="1165" w:type="dxa"/>
            <w:shd w:val="clear" w:color="auto" w:fill="auto"/>
          </w:tcPr>
          <w:p w14:paraId="7C5FDA0B"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73.5</w:t>
            </w:r>
          </w:p>
        </w:tc>
        <w:tc>
          <w:tcPr>
            <w:tcW w:w="992" w:type="dxa"/>
            <w:shd w:val="clear" w:color="auto" w:fill="auto"/>
          </w:tcPr>
          <w:p w14:paraId="043CE098"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2E80DFCA"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2116278B"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4067986A"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6287DEDD"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32 03 03</w:t>
            </w:r>
          </w:p>
        </w:tc>
        <w:tc>
          <w:tcPr>
            <w:tcW w:w="2718" w:type="dxa"/>
            <w:shd w:val="clear" w:color="auto" w:fill="auto"/>
          </w:tcPr>
          <w:p w14:paraId="117DAD1D"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ka-GE"/>
              </w:rPr>
            </w:pPr>
            <w:r w:rsidRPr="008F09DA">
              <w:rPr>
                <w:rFonts w:ascii="Arial" w:hAnsi="Arial" w:cs="Arial"/>
                <w:b/>
                <w:sz w:val="20"/>
                <w:szCs w:val="20"/>
              </w:rPr>
              <w:t xml:space="preserve">Education management Information system </w:t>
            </w:r>
          </w:p>
        </w:tc>
        <w:tc>
          <w:tcPr>
            <w:tcW w:w="1078" w:type="dxa"/>
            <w:shd w:val="clear" w:color="auto" w:fill="auto"/>
          </w:tcPr>
          <w:p w14:paraId="1D66E96F"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7,477.0</w:t>
            </w:r>
          </w:p>
        </w:tc>
        <w:tc>
          <w:tcPr>
            <w:tcW w:w="1165" w:type="dxa"/>
            <w:shd w:val="clear" w:color="auto" w:fill="auto"/>
          </w:tcPr>
          <w:p w14:paraId="10160E22"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7,477.0</w:t>
            </w:r>
          </w:p>
        </w:tc>
        <w:tc>
          <w:tcPr>
            <w:tcW w:w="992" w:type="dxa"/>
            <w:shd w:val="clear" w:color="auto" w:fill="auto"/>
          </w:tcPr>
          <w:p w14:paraId="3928FAC7"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7429889E"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786B1DEA"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LEPL EMIS</w:t>
            </w:r>
          </w:p>
        </w:tc>
      </w:tr>
      <w:tr w:rsidR="005F2D2B" w:rsidRPr="008F09DA" w14:paraId="0270722A"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614EDE77"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29B971C5"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 xml:space="preserve">Expenditure </w:t>
            </w:r>
          </w:p>
        </w:tc>
        <w:tc>
          <w:tcPr>
            <w:tcW w:w="1078" w:type="dxa"/>
            <w:shd w:val="clear" w:color="auto" w:fill="auto"/>
          </w:tcPr>
          <w:p w14:paraId="4A4E53AE"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7,312.0</w:t>
            </w:r>
          </w:p>
        </w:tc>
        <w:tc>
          <w:tcPr>
            <w:tcW w:w="1165" w:type="dxa"/>
            <w:shd w:val="clear" w:color="auto" w:fill="auto"/>
          </w:tcPr>
          <w:p w14:paraId="39ED0E22"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7,312.0</w:t>
            </w:r>
          </w:p>
        </w:tc>
        <w:tc>
          <w:tcPr>
            <w:tcW w:w="992" w:type="dxa"/>
            <w:shd w:val="clear" w:color="auto" w:fill="auto"/>
          </w:tcPr>
          <w:p w14:paraId="5643F29C"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07BF36B9"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4DA307D6"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31662A1F"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single" w:sz="4" w:space="0" w:color="auto"/>
            </w:tcBorders>
            <w:shd w:val="clear" w:color="auto" w:fill="auto"/>
          </w:tcPr>
          <w:p w14:paraId="2ED86B6F" w14:textId="77777777" w:rsidR="005F2D2B" w:rsidRPr="008F09DA" w:rsidRDefault="005F2D2B" w:rsidP="005F2D2B">
            <w:pPr>
              <w:rPr>
                <w:rFonts w:ascii="Arial" w:hAnsi="Arial" w:cs="Arial"/>
                <w:color w:val="auto"/>
                <w:sz w:val="20"/>
                <w:szCs w:val="20"/>
              </w:rPr>
            </w:pPr>
          </w:p>
        </w:tc>
        <w:tc>
          <w:tcPr>
            <w:tcW w:w="2718" w:type="dxa"/>
            <w:tcBorders>
              <w:bottom w:val="single" w:sz="4" w:space="0" w:color="auto"/>
            </w:tcBorders>
            <w:shd w:val="clear" w:color="auto" w:fill="auto"/>
          </w:tcPr>
          <w:p w14:paraId="3F9E4151"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non-financial assets</w:t>
            </w:r>
          </w:p>
        </w:tc>
        <w:tc>
          <w:tcPr>
            <w:tcW w:w="1078" w:type="dxa"/>
            <w:tcBorders>
              <w:bottom w:val="single" w:sz="4" w:space="0" w:color="auto"/>
            </w:tcBorders>
            <w:shd w:val="clear" w:color="auto" w:fill="auto"/>
          </w:tcPr>
          <w:p w14:paraId="353C8F8D"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165.0</w:t>
            </w:r>
          </w:p>
        </w:tc>
        <w:tc>
          <w:tcPr>
            <w:tcW w:w="1165" w:type="dxa"/>
            <w:tcBorders>
              <w:bottom w:val="single" w:sz="4" w:space="0" w:color="auto"/>
            </w:tcBorders>
            <w:shd w:val="clear" w:color="auto" w:fill="auto"/>
          </w:tcPr>
          <w:p w14:paraId="6F5BE6DE"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165.0</w:t>
            </w:r>
          </w:p>
        </w:tc>
        <w:tc>
          <w:tcPr>
            <w:tcW w:w="992" w:type="dxa"/>
            <w:tcBorders>
              <w:bottom w:val="single" w:sz="4" w:space="0" w:color="auto"/>
            </w:tcBorders>
            <w:shd w:val="clear" w:color="auto" w:fill="auto"/>
          </w:tcPr>
          <w:p w14:paraId="33B4B9E7"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tcBorders>
              <w:bottom w:val="single" w:sz="4" w:space="0" w:color="auto"/>
            </w:tcBorders>
            <w:shd w:val="clear" w:color="auto" w:fill="auto"/>
          </w:tcPr>
          <w:p w14:paraId="374C9215"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ka-GE"/>
              </w:rPr>
            </w:pPr>
            <w:r w:rsidRPr="008F09DA">
              <w:rPr>
                <w:rFonts w:ascii="Arial" w:hAnsi="Arial" w:cs="Arial"/>
                <w:sz w:val="20"/>
                <w:szCs w:val="20"/>
              </w:rPr>
              <w:t>0.0</w:t>
            </w:r>
          </w:p>
        </w:tc>
        <w:tc>
          <w:tcPr>
            <w:tcW w:w="1525" w:type="dxa"/>
            <w:tcBorders>
              <w:bottom w:val="single" w:sz="4" w:space="0" w:color="auto"/>
            </w:tcBorders>
            <w:shd w:val="clear" w:color="auto" w:fill="auto"/>
          </w:tcPr>
          <w:p w14:paraId="0F8D0E31"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1103E7B9"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76" w:type="dxa"/>
            <w:gridSpan w:val="7"/>
            <w:tcBorders>
              <w:left w:val="single" w:sz="4" w:space="0" w:color="auto"/>
            </w:tcBorders>
            <w:shd w:val="clear" w:color="auto" w:fill="BFBFBF" w:themeFill="background1" w:themeFillShade="BF"/>
          </w:tcPr>
          <w:p w14:paraId="376AA335"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2016</w:t>
            </w:r>
          </w:p>
        </w:tc>
      </w:tr>
      <w:tr w:rsidR="005F2D2B" w:rsidRPr="008F09DA" w14:paraId="25F05CAF"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5DDD51E9"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 xml:space="preserve">32 03 </w:t>
            </w:r>
          </w:p>
        </w:tc>
        <w:tc>
          <w:tcPr>
            <w:tcW w:w="2718" w:type="dxa"/>
            <w:shd w:val="clear" w:color="auto" w:fill="auto"/>
          </w:tcPr>
          <w:p w14:paraId="0E9C5035"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F09DA">
              <w:rPr>
                <w:rFonts w:ascii="Arial" w:hAnsi="Arial" w:cs="Arial"/>
                <w:b/>
                <w:sz w:val="20"/>
                <w:szCs w:val="20"/>
              </w:rPr>
              <w:t>Vocational education</w:t>
            </w:r>
          </w:p>
        </w:tc>
        <w:tc>
          <w:tcPr>
            <w:tcW w:w="1078" w:type="dxa"/>
            <w:shd w:val="clear" w:color="auto" w:fill="auto"/>
          </w:tcPr>
          <w:p w14:paraId="1DBDBEB3"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35,8</w:t>
            </w:r>
            <w:r>
              <w:rPr>
                <w:rFonts w:ascii="Arial" w:hAnsi="Arial" w:cs="Arial"/>
                <w:sz w:val="20"/>
                <w:szCs w:val="20"/>
              </w:rPr>
              <w:t>38</w:t>
            </w:r>
            <w:r w:rsidRPr="008F09DA">
              <w:rPr>
                <w:rFonts w:ascii="Arial" w:hAnsi="Arial" w:cs="Arial"/>
                <w:sz w:val="20"/>
                <w:szCs w:val="20"/>
              </w:rPr>
              <w:t>.0</w:t>
            </w:r>
          </w:p>
        </w:tc>
        <w:tc>
          <w:tcPr>
            <w:tcW w:w="1165" w:type="dxa"/>
            <w:shd w:val="clear" w:color="auto" w:fill="auto"/>
          </w:tcPr>
          <w:p w14:paraId="13498A68"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35,838.0</w:t>
            </w:r>
          </w:p>
        </w:tc>
        <w:tc>
          <w:tcPr>
            <w:tcW w:w="992" w:type="dxa"/>
            <w:shd w:val="clear" w:color="auto" w:fill="auto"/>
          </w:tcPr>
          <w:p w14:paraId="074F8629"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10DA8639"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2A5BFC72"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73619683"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1120730E"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24EA8C85"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Expenditure</w:t>
            </w:r>
          </w:p>
        </w:tc>
        <w:tc>
          <w:tcPr>
            <w:tcW w:w="1078" w:type="dxa"/>
            <w:shd w:val="clear" w:color="auto" w:fill="auto"/>
          </w:tcPr>
          <w:p w14:paraId="551D9924"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33,070.0</w:t>
            </w:r>
          </w:p>
        </w:tc>
        <w:tc>
          <w:tcPr>
            <w:tcW w:w="1165" w:type="dxa"/>
            <w:shd w:val="clear" w:color="auto" w:fill="auto"/>
          </w:tcPr>
          <w:p w14:paraId="6B88D736"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33,070.0</w:t>
            </w:r>
          </w:p>
        </w:tc>
        <w:tc>
          <w:tcPr>
            <w:tcW w:w="992" w:type="dxa"/>
            <w:shd w:val="clear" w:color="auto" w:fill="auto"/>
          </w:tcPr>
          <w:p w14:paraId="7BB52A59"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7026A2B9"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153D7FEE"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666C119E"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01D8239E"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5BDB19F9"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non-financial assets</w:t>
            </w:r>
          </w:p>
        </w:tc>
        <w:tc>
          <w:tcPr>
            <w:tcW w:w="1078" w:type="dxa"/>
            <w:shd w:val="clear" w:color="auto" w:fill="auto"/>
          </w:tcPr>
          <w:p w14:paraId="7F803A6D"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2,768.0</w:t>
            </w:r>
          </w:p>
        </w:tc>
        <w:tc>
          <w:tcPr>
            <w:tcW w:w="1165" w:type="dxa"/>
            <w:shd w:val="clear" w:color="auto" w:fill="auto"/>
          </w:tcPr>
          <w:p w14:paraId="754E57B0"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2,768.0</w:t>
            </w:r>
          </w:p>
        </w:tc>
        <w:tc>
          <w:tcPr>
            <w:tcW w:w="992" w:type="dxa"/>
            <w:shd w:val="clear" w:color="auto" w:fill="auto"/>
          </w:tcPr>
          <w:p w14:paraId="5986F0F3"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28D6776A"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46AFEEE1"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4D74B169"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5AECB91B"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32 03 01</w:t>
            </w:r>
          </w:p>
        </w:tc>
        <w:tc>
          <w:tcPr>
            <w:tcW w:w="2718" w:type="dxa"/>
            <w:shd w:val="clear" w:color="auto" w:fill="auto"/>
          </w:tcPr>
          <w:p w14:paraId="4686316D"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F09DA">
              <w:rPr>
                <w:rFonts w:ascii="Arial" w:hAnsi="Arial" w:cs="Arial"/>
                <w:b/>
                <w:sz w:val="20"/>
                <w:szCs w:val="20"/>
              </w:rPr>
              <w:t>Quality improvement of accessibility to vocational education</w:t>
            </w:r>
          </w:p>
        </w:tc>
        <w:tc>
          <w:tcPr>
            <w:tcW w:w="1078" w:type="dxa"/>
            <w:shd w:val="clear" w:color="auto" w:fill="auto"/>
          </w:tcPr>
          <w:p w14:paraId="2522FCAA"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23,550.0</w:t>
            </w:r>
          </w:p>
        </w:tc>
        <w:tc>
          <w:tcPr>
            <w:tcW w:w="1165" w:type="dxa"/>
            <w:shd w:val="clear" w:color="auto" w:fill="auto"/>
          </w:tcPr>
          <w:p w14:paraId="4A43C5F9"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23,550.0</w:t>
            </w:r>
          </w:p>
        </w:tc>
        <w:tc>
          <w:tcPr>
            <w:tcW w:w="992" w:type="dxa"/>
            <w:shd w:val="clear" w:color="auto" w:fill="auto"/>
          </w:tcPr>
          <w:p w14:paraId="250EAE7C"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3F489A65"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5F57FC3E"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MoES</w:t>
            </w:r>
          </w:p>
        </w:tc>
      </w:tr>
      <w:tr w:rsidR="005F2D2B" w:rsidRPr="008F09DA" w14:paraId="01A5B817"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10C6EFA6"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3AE4795D"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Expenditure</w:t>
            </w:r>
          </w:p>
        </w:tc>
        <w:tc>
          <w:tcPr>
            <w:tcW w:w="1078" w:type="dxa"/>
            <w:shd w:val="clear" w:color="auto" w:fill="auto"/>
          </w:tcPr>
          <w:p w14:paraId="6A10B841"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23,150.0</w:t>
            </w:r>
          </w:p>
        </w:tc>
        <w:tc>
          <w:tcPr>
            <w:tcW w:w="1165" w:type="dxa"/>
            <w:shd w:val="clear" w:color="auto" w:fill="auto"/>
          </w:tcPr>
          <w:p w14:paraId="1E797CCB"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23,150.0</w:t>
            </w:r>
          </w:p>
        </w:tc>
        <w:tc>
          <w:tcPr>
            <w:tcW w:w="992" w:type="dxa"/>
            <w:shd w:val="clear" w:color="auto" w:fill="auto"/>
          </w:tcPr>
          <w:p w14:paraId="35B52FCB"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02F7537E"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654ACCF5"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0F83BA06"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4D93EFBF"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3F613E5E"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non-financial assets</w:t>
            </w:r>
          </w:p>
        </w:tc>
        <w:tc>
          <w:tcPr>
            <w:tcW w:w="1078" w:type="dxa"/>
            <w:shd w:val="clear" w:color="auto" w:fill="auto"/>
          </w:tcPr>
          <w:p w14:paraId="10A26222"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400.0</w:t>
            </w:r>
          </w:p>
        </w:tc>
        <w:tc>
          <w:tcPr>
            <w:tcW w:w="1165" w:type="dxa"/>
            <w:shd w:val="clear" w:color="auto" w:fill="auto"/>
          </w:tcPr>
          <w:p w14:paraId="409B7EDB"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400.0</w:t>
            </w:r>
          </w:p>
        </w:tc>
        <w:tc>
          <w:tcPr>
            <w:tcW w:w="992" w:type="dxa"/>
            <w:shd w:val="clear" w:color="auto" w:fill="auto"/>
          </w:tcPr>
          <w:p w14:paraId="285E5C7F"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470F2BCF"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2C107C77"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37E80993"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4B843505"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32 03 02</w:t>
            </w:r>
          </w:p>
        </w:tc>
        <w:tc>
          <w:tcPr>
            <w:tcW w:w="2718" w:type="dxa"/>
            <w:shd w:val="clear" w:color="auto" w:fill="auto"/>
          </w:tcPr>
          <w:p w14:paraId="29F2ED8A"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F09DA">
              <w:rPr>
                <w:rFonts w:ascii="Arial" w:hAnsi="Arial" w:cs="Arial"/>
                <w:b/>
                <w:sz w:val="20"/>
                <w:szCs w:val="20"/>
              </w:rPr>
              <w:t>Vocational retraining of ethnic minorities</w:t>
            </w:r>
          </w:p>
        </w:tc>
        <w:tc>
          <w:tcPr>
            <w:tcW w:w="1078" w:type="dxa"/>
            <w:shd w:val="clear" w:color="auto" w:fill="auto"/>
          </w:tcPr>
          <w:p w14:paraId="678F901C"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2,407.0</w:t>
            </w:r>
          </w:p>
        </w:tc>
        <w:tc>
          <w:tcPr>
            <w:tcW w:w="1165" w:type="dxa"/>
            <w:shd w:val="clear" w:color="auto" w:fill="auto"/>
          </w:tcPr>
          <w:p w14:paraId="09987F3B"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2,407.0</w:t>
            </w:r>
          </w:p>
        </w:tc>
        <w:tc>
          <w:tcPr>
            <w:tcW w:w="992" w:type="dxa"/>
            <w:shd w:val="clear" w:color="auto" w:fill="auto"/>
          </w:tcPr>
          <w:p w14:paraId="3A55B3FB"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04E66AD8"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ka-GE"/>
              </w:rPr>
            </w:pPr>
            <w:r w:rsidRPr="008F09DA">
              <w:rPr>
                <w:rFonts w:ascii="Arial" w:hAnsi="Arial" w:cs="Arial"/>
                <w:sz w:val="20"/>
                <w:szCs w:val="20"/>
              </w:rPr>
              <w:t>0.0</w:t>
            </w:r>
          </w:p>
        </w:tc>
        <w:tc>
          <w:tcPr>
            <w:tcW w:w="1525" w:type="dxa"/>
            <w:shd w:val="clear" w:color="auto" w:fill="auto"/>
          </w:tcPr>
          <w:p w14:paraId="169D9EF6"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LEPL – Zurab Zhvania State admin</w:t>
            </w:r>
            <w:r>
              <w:rPr>
                <w:rFonts w:ascii="Arial" w:hAnsi="Arial" w:cs="Arial"/>
                <w:sz w:val="20"/>
                <w:szCs w:val="20"/>
              </w:rPr>
              <w:t>.</w:t>
            </w:r>
            <w:r w:rsidRPr="008F09DA">
              <w:rPr>
                <w:rFonts w:ascii="Arial" w:hAnsi="Arial" w:cs="Arial"/>
                <w:sz w:val="20"/>
                <w:szCs w:val="20"/>
              </w:rPr>
              <w:t>school</w:t>
            </w:r>
          </w:p>
        </w:tc>
      </w:tr>
      <w:tr w:rsidR="005F2D2B" w:rsidRPr="008F09DA" w14:paraId="164FFBEE"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5BC42DCF"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101E3D23"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Expenditure</w:t>
            </w:r>
          </w:p>
        </w:tc>
        <w:tc>
          <w:tcPr>
            <w:tcW w:w="1078" w:type="dxa"/>
            <w:shd w:val="clear" w:color="auto" w:fill="auto"/>
          </w:tcPr>
          <w:p w14:paraId="731C2082"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2,307.0</w:t>
            </w:r>
          </w:p>
        </w:tc>
        <w:tc>
          <w:tcPr>
            <w:tcW w:w="1165" w:type="dxa"/>
            <w:shd w:val="clear" w:color="auto" w:fill="auto"/>
          </w:tcPr>
          <w:p w14:paraId="19180F4B"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2,307.0</w:t>
            </w:r>
          </w:p>
        </w:tc>
        <w:tc>
          <w:tcPr>
            <w:tcW w:w="992" w:type="dxa"/>
            <w:shd w:val="clear" w:color="auto" w:fill="auto"/>
          </w:tcPr>
          <w:p w14:paraId="4B0F71A8"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2A8829D3"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44B95DCB"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F2D2B" w:rsidRPr="008F09DA" w14:paraId="01012B5B"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1580A25E"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02E1BFE0"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non-financial assets</w:t>
            </w:r>
          </w:p>
        </w:tc>
        <w:tc>
          <w:tcPr>
            <w:tcW w:w="1078" w:type="dxa"/>
            <w:shd w:val="clear" w:color="auto" w:fill="auto"/>
          </w:tcPr>
          <w:p w14:paraId="298AB20B"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100.0</w:t>
            </w:r>
          </w:p>
        </w:tc>
        <w:tc>
          <w:tcPr>
            <w:tcW w:w="1165" w:type="dxa"/>
            <w:shd w:val="clear" w:color="auto" w:fill="auto"/>
          </w:tcPr>
          <w:p w14:paraId="48DD1648"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100.0</w:t>
            </w:r>
          </w:p>
        </w:tc>
        <w:tc>
          <w:tcPr>
            <w:tcW w:w="992" w:type="dxa"/>
            <w:shd w:val="clear" w:color="auto" w:fill="auto"/>
          </w:tcPr>
          <w:p w14:paraId="64ACA12B"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4DAFE6BB"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7033744A"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44D79EAD"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24E8E7E6" w14:textId="77777777" w:rsidR="005F2D2B" w:rsidRPr="008F09DA" w:rsidRDefault="005F2D2B" w:rsidP="005F2D2B">
            <w:pPr>
              <w:rPr>
                <w:rFonts w:ascii="Arial" w:hAnsi="Arial" w:cs="Arial"/>
                <w:color w:val="auto"/>
                <w:sz w:val="20"/>
                <w:szCs w:val="20"/>
              </w:rPr>
            </w:pPr>
            <w:r w:rsidRPr="008F09DA">
              <w:rPr>
                <w:rFonts w:ascii="Arial" w:hAnsi="Arial" w:cs="Arial"/>
                <w:color w:val="auto"/>
                <w:sz w:val="20"/>
                <w:szCs w:val="20"/>
              </w:rPr>
              <w:t>32 03 03</w:t>
            </w:r>
          </w:p>
        </w:tc>
        <w:tc>
          <w:tcPr>
            <w:tcW w:w="2718" w:type="dxa"/>
            <w:shd w:val="clear" w:color="auto" w:fill="auto"/>
          </w:tcPr>
          <w:p w14:paraId="161531FC"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ka-GE"/>
              </w:rPr>
            </w:pPr>
            <w:r w:rsidRPr="008F09DA">
              <w:rPr>
                <w:rFonts w:ascii="Arial" w:hAnsi="Arial" w:cs="Arial"/>
                <w:b/>
                <w:sz w:val="20"/>
                <w:szCs w:val="20"/>
              </w:rPr>
              <w:t xml:space="preserve">Education management Information system </w:t>
            </w:r>
          </w:p>
        </w:tc>
        <w:tc>
          <w:tcPr>
            <w:tcW w:w="1078" w:type="dxa"/>
            <w:shd w:val="clear" w:color="auto" w:fill="auto"/>
          </w:tcPr>
          <w:p w14:paraId="462B3DD7"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9,881.0</w:t>
            </w:r>
          </w:p>
        </w:tc>
        <w:tc>
          <w:tcPr>
            <w:tcW w:w="1165" w:type="dxa"/>
            <w:shd w:val="clear" w:color="auto" w:fill="auto"/>
          </w:tcPr>
          <w:p w14:paraId="03F04686"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9,881.0</w:t>
            </w:r>
          </w:p>
        </w:tc>
        <w:tc>
          <w:tcPr>
            <w:tcW w:w="992" w:type="dxa"/>
            <w:shd w:val="clear" w:color="auto" w:fill="auto"/>
          </w:tcPr>
          <w:p w14:paraId="33CE4392"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0B02F70F"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0BCCA4B6"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LEPL EMIS</w:t>
            </w:r>
          </w:p>
        </w:tc>
      </w:tr>
      <w:tr w:rsidR="005F2D2B" w:rsidRPr="008F09DA" w14:paraId="6DA7BAEC"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tcBorders>
            <w:shd w:val="clear" w:color="auto" w:fill="auto"/>
          </w:tcPr>
          <w:p w14:paraId="1EEF3468"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59BA404A"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 xml:space="preserve">Expenditure </w:t>
            </w:r>
          </w:p>
        </w:tc>
        <w:tc>
          <w:tcPr>
            <w:tcW w:w="1078" w:type="dxa"/>
            <w:shd w:val="clear" w:color="auto" w:fill="auto"/>
          </w:tcPr>
          <w:p w14:paraId="59412DCC"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7,613.0</w:t>
            </w:r>
          </w:p>
        </w:tc>
        <w:tc>
          <w:tcPr>
            <w:tcW w:w="1165" w:type="dxa"/>
            <w:shd w:val="clear" w:color="auto" w:fill="auto"/>
          </w:tcPr>
          <w:p w14:paraId="3486DFEC"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7,613.0</w:t>
            </w:r>
          </w:p>
        </w:tc>
        <w:tc>
          <w:tcPr>
            <w:tcW w:w="992" w:type="dxa"/>
            <w:shd w:val="clear" w:color="auto" w:fill="auto"/>
          </w:tcPr>
          <w:p w14:paraId="35494165"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565E7F4E" w14:textId="77777777" w:rsidR="005F2D2B" w:rsidRPr="008F09DA"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1525" w:type="dxa"/>
            <w:shd w:val="clear" w:color="auto" w:fill="auto"/>
          </w:tcPr>
          <w:p w14:paraId="0246B559" w14:textId="77777777" w:rsidR="005F2D2B" w:rsidRPr="008F09DA" w:rsidRDefault="005F2D2B" w:rsidP="005F2D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2D2B" w:rsidRPr="008F09DA" w14:paraId="7621F75C"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tcBorders>
            <w:shd w:val="clear" w:color="auto" w:fill="auto"/>
          </w:tcPr>
          <w:p w14:paraId="56BAD44A" w14:textId="77777777" w:rsidR="005F2D2B" w:rsidRPr="008F09DA" w:rsidRDefault="005F2D2B" w:rsidP="005F2D2B">
            <w:pPr>
              <w:rPr>
                <w:rFonts w:ascii="Arial" w:hAnsi="Arial" w:cs="Arial"/>
                <w:color w:val="auto"/>
                <w:sz w:val="20"/>
                <w:szCs w:val="20"/>
              </w:rPr>
            </w:pPr>
          </w:p>
        </w:tc>
        <w:tc>
          <w:tcPr>
            <w:tcW w:w="2718" w:type="dxa"/>
            <w:shd w:val="clear" w:color="auto" w:fill="auto"/>
          </w:tcPr>
          <w:p w14:paraId="586F02A8"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Growth non-financial assets</w:t>
            </w:r>
          </w:p>
        </w:tc>
        <w:tc>
          <w:tcPr>
            <w:tcW w:w="1078" w:type="dxa"/>
            <w:shd w:val="clear" w:color="auto" w:fill="auto"/>
          </w:tcPr>
          <w:p w14:paraId="35C5D6D3"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2,268.0</w:t>
            </w:r>
          </w:p>
        </w:tc>
        <w:tc>
          <w:tcPr>
            <w:tcW w:w="1165" w:type="dxa"/>
            <w:shd w:val="clear" w:color="auto" w:fill="auto"/>
          </w:tcPr>
          <w:p w14:paraId="01CF36CC"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2,268.0</w:t>
            </w:r>
          </w:p>
        </w:tc>
        <w:tc>
          <w:tcPr>
            <w:tcW w:w="992" w:type="dxa"/>
            <w:shd w:val="clear" w:color="auto" w:fill="auto"/>
          </w:tcPr>
          <w:p w14:paraId="0575D0EF"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09DA">
              <w:rPr>
                <w:rFonts w:ascii="Arial" w:hAnsi="Arial" w:cs="Arial"/>
                <w:sz w:val="20"/>
                <w:szCs w:val="20"/>
              </w:rPr>
              <w:t>0.0</w:t>
            </w:r>
          </w:p>
        </w:tc>
        <w:tc>
          <w:tcPr>
            <w:tcW w:w="997" w:type="dxa"/>
            <w:shd w:val="clear" w:color="auto" w:fill="auto"/>
          </w:tcPr>
          <w:p w14:paraId="13DD035F" w14:textId="77777777" w:rsidR="005F2D2B" w:rsidRPr="008F09DA"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ka-GE"/>
              </w:rPr>
            </w:pPr>
            <w:r w:rsidRPr="008F09DA">
              <w:rPr>
                <w:rFonts w:ascii="Arial" w:hAnsi="Arial" w:cs="Arial"/>
                <w:sz w:val="20"/>
                <w:szCs w:val="20"/>
              </w:rPr>
              <w:t>0.0</w:t>
            </w:r>
          </w:p>
        </w:tc>
        <w:tc>
          <w:tcPr>
            <w:tcW w:w="1525" w:type="dxa"/>
            <w:shd w:val="clear" w:color="auto" w:fill="auto"/>
          </w:tcPr>
          <w:p w14:paraId="20D713DE" w14:textId="77777777" w:rsidR="005F2D2B" w:rsidRPr="008F09DA" w:rsidRDefault="005F2D2B" w:rsidP="005F2D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01B8677" w14:textId="77777777" w:rsidR="005F2D2B" w:rsidRDefault="005F2D2B" w:rsidP="005F2D2B">
      <w:r w:rsidRPr="00701D24">
        <w:rPr>
          <w:sz w:val="20"/>
          <w:szCs w:val="20"/>
        </w:rPr>
        <w:t>Source: MoF</w:t>
      </w:r>
    </w:p>
    <w:p w14:paraId="0B022CAB" w14:textId="77777777" w:rsidR="005F2D2B" w:rsidRDefault="005F2D2B" w:rsidP="005F2D2B"/>
    <w:p w14:paraId="6D7860C1" w14:textId="77777777" w:rsidR="005F2D2B" w:rsidRDefault="005F2D2B" w:rsidP="005F2D2B">
      <w:r>
        <w:t xml:space="preserve">Despite the growth in the allocations for VET in the original adopted budget, actual budgetary expenditure has been affected by broader budgetary constraints, and the slower growth in VET than anticipated (Table 4). The final amended budget for VET in 2013 was reduced by 20% in 2013, and 35% in 2014, held steady in 2015, but reduced again by 12.5% in 2016. </w:t>
      </w:r>
      <w:r>
        <w:lastRenderedPageBreak/>
        <w:t>Budgetary expenditure on VET nonetheless did show significant growth in 2014 (by 72%) and 2015 (by 26%), but stayed fairly constant in 2016 (increasing by only 1.5%). The allocation for 2017, however, shows a reduction in anticipated spending on VET (down 6% on actual budgetary expenditure in 2016).</w:t>
      </w:r>
    </w:p>
    <w:p w14:paraId="3E24B4A4" w14:textId="77777777" w:rsidR="005F2D2B" w:rsidRDefault="005F2D2B" w:rsidP="005F2D2B"/>
    <w:p w14:paraId="2132BA0B" w14:textId="77777777" w:rsidR="005F2D2B" w:rsidRPr="00701D24" w:rsidRDefault="005F2D2B" w:rsidP="005F2D2B">
      <w:pPr>
        <w:jc w:val="center"/>
        <w:rPr>
          <w:b/>
        </w:rPr>
      </w:pPr>
      <w:r>
        <w:rPr>
          <w:b/>
        </w:rPr>
        <w:t>Table 4</w:t>
      </w:r>
      <w:r w:rsidRPr="00701D24">
        <w:rPr>
          <w:b/>
        </w:rPr>
        <w:t>: VET Programme (32.03) State Budget 2013-2017</w:t>
      </w:r>
      <w:r>
        <w:rPr>
          <w:b/>
        </w:rPr>
        <w:t xml:space="preserve"> (GEL'000)</w:t>
      </w:r>
    </w:p>
    <w:p w14:paraId="3217EFE5" w14:textId="77777777" w:rsidR="005F2D2B" w:rsidRDefault="005F2D2B" w:rsidP="005F2D2B"/>
    <w:tbl>
      <w:tblPr>
        <w:tblStyle w:val="GridTable5DarkAccent5"/>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91"/>
        <w:gridCol w:w="1255"/>
        <w:gridCol w:w="1267"/>
        <w:gridCol w:w="1372"/>
        <w:gridCol w:w="1263"/>
        <w:gridCol w:w="1248"/>
        <w:gridCol w:w="15"/>
      </w:tblGrid>
      <w:tr w:rsidR="005F2D2B" w:rsidRPr="002C2C3C" w14:paraId="304ADE41" w14:textId="77777777" w:rsidTr="005F2D2B">
        <w:trPr>
          <w:gridAfter w:val="1"/>
          <w:cnfStyle w:val="100000000000" w:firstRow="1" w:lastRow="0" w:firstColumn="0" w:lastColumn="0" w:oddVBand="0" w:evenVBand="0" w:oddHBand="0" w:evenHBand="0" w:firstRowFirstColumn="0" w:firstRowLastColumn="0" w:lastRowFirstColumn="0" w:lastRowLastColumn="0"/>
          <w:wAfter w:w="15" w:type="dxa"/>
          <w:jc w:val="center"/>
        </w:trPr>
        <w:tc>
          <w:tcPr>
            <w:cnfStyle w:val="001000000000" w:firstRow="0" w:lastRow="0" w:firstColumn="1" w:lastColumn="0" w:oddVBand="0" w:evenVBand="0" w:oddHBand="0" w:evenHBand="0" w:firstRowFirstColumn="0" w:firstRowLastColumn="0" w:lastRowFirstColumn="0" w:lastRowLastColumn="0"/>
            <w:tcW w:w="1291" w:type="dxa"/>
            <w:vMerge w:val="restart"/>
            <w:tcBorders>
              <w:top w:val="single" w:sz="4" w:space="0" w:color="auto"/>
              <w:left w:val="single" w:sz="4" w:space="0" w:color="auto"/>
              <w:right w:val="single" w:sz="4" w:space="0" w:color="auto"/>
            </w:tcBorders>
            <w:shd w:val="clear" w:color="auto" w:fill="FFFFFF" w:themeFill="background1"/>
          </w:tcPr>
          <w:p w14:paraId="5B5AEAFF" w14:textId="77777777" w:rsidR="005F2D2B" w:rsidRPr="002C2C3C" w:rsidRDefault="005F2D2B" w:rsidP="005F2D2B">
            <w:pPr>
              <w:jc w:val="center"/>
              <w:rPr>
                <w:rFonts w:ascii="Arial" w:hAnsi="Arial" w:cs="Arial"/>
                <w:sz w:val="20"/>
                <w:szCs w:val="20"/>
              </w:rPr>
            </w:pP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F62B6D" w14:textId="77777777" w:rsidR="005F2D2B" w:rsidRPr="002C2C3C" w:rsidRDefault="005F2D2B" w:rsidP="005F2D2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C2C3C">
              <w:rPr>
                <w:rFonts w:ascii="Arial" w:hAnsi="Arial" w:cs="Arial"/>
                <w:color w:val="auto"/>
                <w:sz w:val="20"/>
                <w:szCs w:val="20"/>
              </w:rPr>
              <w:t>Budget Allocation</w:t>
            </w:r>
          </w:p>
        </w:tc>
        <w:tc>
          <w:tcPr>
            <w:tcW w:w="388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3ECD8EE" w14:textId="77777777" w:rsidR="005F2D2B" w:rsidRPr="002C2C3C" w:rsidRDefault="005F2D2B" w:rsidP="005F2D2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C2C3C">
              <w:rPr>
                <w:rFonts w:ascii="Arial" w:hAnsi="Arial" w:cs="Arial"/>
                <w:color w:val="auto"/>
                <w:sz w:val="20"/>
                <w:szCs w:val="20"/>
              </w:rPr>
              <w:t>Expenditure</w:t>
            </w:r>
          </w:p>
        </w:tc>
      </w:tr>
      <w:tr w:rsidR="005F2D2B" w:rsidRPr="002C2C3C" w14:paraId="5BE4C48E" w14:textId="77777777" w:rsidTr="005F2D2B">
        <w:trPr>
          <w:gridAfter w:val="1"/>
          <w:cnfStyle w:val="000000100000" w:firstRow="0" w:lastRow="0" w:firstColumn="0" w:lastColumn="0" w:oddVBand="0" w:evenVBand="0" w:oddHBand="1" w:evenHBand="0" w:firstRowFirstColumn="0" w:firstRowLastColumn="0" w:lastRowFirstColumn="0" w:lastRowLastColumn="0"/>
          <w:wAfter w:w="15" w:type="dxa"/>
          <w:jc w:val="center"/>
        </w:trPr>
        <w:tc>
          <w:tcPr>
            <w:cnfStyle w:val="001000000000" w:firstRow="0" w:lastRow="0" w:firstColumn="1" w:lastColumn="0" w:oddVBand="0" w:evenVBand="0" w:oddHBand="0" w:evenHBand="0" w:firstRowFirstColumn="0" w:firstRowLastColumn="0" w:lastRowFirstColumn="0" w:lastRowLastColumn="0"/>
            <w:tcW w:w="1291" w:type="dxa"/>
            <w:vMerge/>
            <w:tcBorders>
              <w:left w:val="single" w:sz="4" w:space="0" w:color="auto"/>
              <w:bottom w:val="single" w:sz="4" w:space="0" w:color="auto"/>
              <w:right w:val="single" w:sz="4" w:space="0" w:color="auto"/>
            </w:tcBorders>
            <w:shd w:val="clear" w:color="auto" w:fill="FFFFFF" w:themeFill="background1"/>
          </w:tcPr>
          <w:p w14:paraId="433D3B81" w14:textId="77777777" w:rsidR="005F2D2B" w:rsidRPr="002C2C3C" w:rsidRDefault="005F2D2B" w:rsidP="005F2D2B">
            <w:pPr>
              <w:rPr>
                <w:rFonts w:ascii="Arial" w:hAnsi="Arial" w:cs="Arial"/>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0A02D" w14:textId="77777777" w:rsidR="005F2D2B" w:rsidRPr="002C2C3C"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C2C3C">
              <w:rPr>
                <w:rFonts w:ascii="Arial" w:hAnsi="Arial" w:cs="Arial"/>
                <w:b/>
                <w:sz w:val="20"/>
                <w:szCs w:val="20"/>
              </w:rPr>
              <w:t>Initial Approved</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DAFCC" w14:textId="77777777" w:rsidR="005F2D2B" w:rsidRPr="002C2C3C"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C2C3C">
              <w:rPr>
                <w:rFonts w:ascii="Arial" w:hAnsi="Arial" w:cs="Arial"/>
                <w:b/>
                <w:sz w:val="20"/>
                <w:szCs w:val="20"/>
              </w:rPr>
              <w:t>Final Amended</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DE998" w14:textId="77777777" w:rsidR="005F2D2B" w:rsidRPr="002C2C3C"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C2C3C">
              <w:rPr>
                <w:rFonts w:ascii="Arial" w:hAnsi="Arial" w:cs="Arial"/>
                <w:b/>
                <w:sz w:val="20"/>
                <w:szCs w:val="20"/>
              </w:rPr>
              <w:t>State Budget</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453746CF" w14:textId="77777777" w:rsidR="005F2D2B" w:rsidRPr="002C2C3C"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C2C3C">
              <w:rPr>
                <w:rFonts w:ascii="Arial" w:hAnsi="Arial" w:cs="Arial"/>
                <w:b/>
                <w:sz w:val="20"/>
                <w:szCs w:val="20"/>
              </w:rPr>
              <w:t>% original budget</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74A43DD3" w14:textId="77777777" w:rsidR="005F2D2B" w:rsidRPr="002C2C3C"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C2C3C">
              <w:rPr>
                <w:rFonts w:ascii="Arial" w:hAnsi="Arial" w:cs="Arial"/>
                <w:b/>
                <w:sz w:val="20"/>
                <w:szCs w:val="20"/>
              </w:rPr>
              <w:t>% final budget</w:t>
            </w:r>
          </w:p>
        </w:tc>
      </w:tr>
      <w:tr w:rsidR="005F2D2B" w:rsidRPr="002C2C3C" w14:paraId="1F85F4A7" w14:textId="77777777" w:rsidTr="005F2D2B">
        <w:trPr>
          <w:gridAfter w:val="1"/>
          <w:wAfter w:w="15" w:type="dxa"/>
          <w:jc w:val="center"/>
        </w:trPr>
        <w:tc>
          <w:tcPr>
            <w:cnfStyle w:val="001000000000" w:firstRow="0" w:lastRow="0" w:firstColumn="1" w:lastColumn="0" w:oddVBand="0" w:evenVBand="0" w:oddHBand="0" w:evenHBand="0" w:firstRowFirstColumn="0" w:firstRowLastColumn="0" w:lastRowFirstColumn="0" w:lastRowLastColumn="0"/>
            <w:tcW w:w="1291" w:type="dxa"/>
            <w:tcBorders>
              <w:top w:val="single" w:sz="4" w:space="0" w:color="auto"/>
              <w:left w:val="none" w:sz="0" w:space="0" w:color="auto"/>
            </w:tcBorders>
            <w:shd w:val="clear" w:color="auto" w:fill="FFFFFF" w:themeFill="background1"/>
          </w:tcPr>
          <w:p w14:paraId="725573FE" w14:textId="77777777" w:rsidR="005F2D2B" w:rsidRPr="002C2C3C" w:rsidRDefault="005F2D2B" w:rsidP="005F2D2B">
            <w:pPr>
              <w:rPr>
                <w:rFonts w:ascii="Arial" w:hAnsi="Arial" w:cs="Arial"/>
                <w:sz w:val="20"/>
                <w:szCs w:val="20"/>
              </w:rPr>
            </w:pPr>
            <w:r w:rsidRPr="002C2C3C">
              <w:rPr>
                <w:rFonts w:ascii="Arial" w:hAnsi="Arial" w:cs="Arial"/>
                <w:sz w:val="20"/>
                <w:szCs w:val="20"/>
              </w:rPr>
              <w:t>2013</w:t>
            </w:r>
          </w:p>
        </w:tc>
        <w:tc>
          <w:tcPr>
            <w:tcW w:w="1255" w:type="dxa"/>
            <w:tcBorders>
              <w:top w:val="single" w:sz="4" w:space="0" w:color="auto"/>
            </w:tcBorders>
            <w:shd w:val="clear" w:color="auto" w:fill="FFFFFF" w:themeFill="background1"/>
          </w:tcPr>
          <w:p w14:paraId="534FD381" w14:textId="77777777" w:rsidR="005F2D2B" w:rsidRPr="002C2C3C"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2C3C">
              <w:rPr>
                <w:rFonts w:ascii="Arial" w:hAnsi="Arial" w:cs="Arial"/>
                <w:sz w:val="20"/>
                <w:szCs w:val="20"/>
              </w:rPr>
              <w:t>19,793.0</w:t>
            </w:r>
          </w:p>
        </w:tc>
        <w:tc>
          <w:tcPr>
            <w:tcW w:w="1267" w:type="dxa"/>
            <w:tcBorders>
              <w:top w:val="single" w:sz="4" w:space="0" w:color="auto"/>
            </w:tcBorders>
            <w:shd w:val="clear" w:color="auto" w:fill="FFFFFF" w:themeFill="background1"/>
          </w:tcPr>
          <w:p w14:paraId="3871DBFF" w14:textId="77777777" w:rsidR="005F2D2B" w:rsidRPr="002C2C3C"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2C3C">
              <w:rPr>
                <w:rFonts w:ascii="Arial" w:hAnsi="Arial" w:cs="Arial"/>
                <w:sz w:val="20"/>
                <w:szCs w:val="20"/>
              </w:rPr>
              <w:t>15,668.9</w:t>
            </w:r>
          </w:p>
        </w:tc>
        <w:tc>
          <w:tcPr>
            <w:tcW w:w="1372" w:type="dxa"/>
            <w:tcBorders>
              <w:top w:val="single" w:sz="4" w:space="0" w:color="auto"/>
            </w:tcBorders>
            <w:shd w:val="clear" w:color="auto" w:fill="FFFFFF" w:themeFill="background1"/>
          </w:tcPr>
          <w:p w14:paraId="0311A134" w14:textId="77777777" w:rsidR="005F2D2B" w:rsidRPr="002C2C3C"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2C3C">
              <w:rPr>
                <w:rFonts w:ascii="Arial" w:hAnsi="Arial" w:cs="Arial"/>
                <w:sz w:val="20"/>
                <w:szCs w:val="20"/>
              </w:rPr>
              <w:t>14,301.6</w:t>
            </w:r>
          </w:p>
        </w:tc>
        <w:tc>
          <w:tcPr>
            <w:tcW w:w="1263" w:type="dxa"/>
            <w:tcBorders>
              <w:top w:val="single" w:sz="4" w:space="0" w:color="auto"/>
            </w:tcBorders>
            <w:shd w:val="clear" w:color="auto" w:fill="FFFFFF" w:themeFill="background1"/>
          </w:tcPr>
          <w:p w14:paraId="5661FA04" w14:textId="77777777" w:rsidR="005F2D2B" w:rsidRPr="002C2C3C" w:rsidRDefault="005F2D2B" w:rsidP="005F2D2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2C3C">
              <w:rPr>
                <w:rFonts w:ascii="Arial" w:hAnsi="Arial" w:cs="Arial"/>
                <w:sz w:val="20"/>
                <w:szCs w:val="20"/>
              </w:rPr>
              <w:t>72.3</w:t>
            </w:r>
          </w:p>
        </w:tc>
        <w:tc>
          <w:tcPr>
            <w:tcW w:w="1248" w:type="dxa"/>
            <w:tcBorders>
              <w:top w:val="single" w:sz="4" w:space="0" w:color="auto"/>
            </w:tcBorders>
            <w:shd w:val="clear" w:color="auto" w:fill="FFFFFF" w:themeFill="background1"/>
          </w:tcPr>
          <w:p w14:paraId="07C15927" w14:textId="77777777" w:rsidR="005F2D2B" w:rsidRPr="002C2C3C" w:rsidRDefault="005F2D2B" w:rsidP="005F2D2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2C3C">
              <w:rPr>
                <w:rFonts w:ascii="Arial" w:hAnsi="Arial" w:cs="Arial"/>
                <w:sz w:val="20"/>
                <w:szCs w:val="20"/>
              </w:rPr>
              <w:t>91.3</w:t>
            </w:r>
          </w:p>
        </w:tc>
      </w:tr>
      <w:tr w:rsidR="005F2D2B" w:rsidRPr="002C2C3C" w14:paraId="4917F77D"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91" w:type="dxa"/>
            <w:tcBorders>
              <w:left w:val="none" w:sz="0" w:space="0" w:color="auto"/>
            </w:tcBorders>
            <w:shd w:val="clear" w:color="auto" w:fill="FFFFFF" w:themeFill="background1"/>
          </w:tcPr>
          <w:p w14:paraId="71076915" w14:textId="77777777" w:rsidR="005F2D2B" w:rsidRPr="002C2C3C" w:rsidRDefault="005F2D2B" w:rsidP="005F2D2B">
            <w:pPr>
              <w:rPr>
                <w:rFonts w:ascii="Arial" w:hAnsi="Arial" w:cs="Arial"/>
                <w:sz w:val="20"/>
                <w:szCs w:val="20"/>
              </w:rPr>
            </w:pPr>
            <w:r w:rsidRPr="002C2C3C">
              <w:rPr>
                <w:rFonts w:ascii="Arial" w:hAnsi="Arial" w:cs="Arial"/>
                <w:sz w:val="20"/>
                <w:szCs w:val="20"/>
              </w:rPr>
              <w:t>2014</w:t>
            </w:r>
          </w:p>
        </w:tc>
        <w:tc>
          <w:tcPr>
            <w:tcW w:w="1255" w:type="dxa"/>
            <w:shd w:val="clear" w:color="auto" w:fill="FFFFFF" w:themeFill="background1"/>
          </w:tcPr>
          <w:p w14:paraId="4457303B" w14:textId="77777777" w:rsidR="005F2D2B" w:rsidRPr="002C2C3C"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2C3C">
              <w:rPr>
                <w:rFonts w:ascii="Arial" w:hAnsi="Arial" w:cs="Arial"/>
                <w:sz w:val="20"/>
                <w:szCs w:val="20"/>
              </w:rPr>
              <w:t>37,318.0</w:t>
            </w:r>
          </w:p>
        </w:tc>
        <w:tc>
          <w:tcPr>
            <w:tcW w:w="1267" w:type="dxa"/>
            <w:shd w:val="clear" w:color="auto" w:fill="FFFFFF" w:themeFill="background1"/>
          </w:tcPr>
          <w:p w14:paraId="5FE22CF6" w14:textId="77777777" w:rsidR="005F2D2B" w:rsidRPr="002C2C3C"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2C3C">
              <w:rPr>
                <w:rFonts w:ascii="Arial" w:hAnsi="Arial" w:cs="Arial"/>
                <w:sz w:val="20"/>
                <w:szCs w:val="20"/>
              </w:rPr>
              <w:t>24,708.4</w:t>
            </w:r>
          </w:p>
        </w:tc>
        <w:tc>
          <w:tcPr>
            <w:tcW w:w="1372" w:type="dxa"/>
            <w:shd w:val="clear" w:color="auto" w:fill="FFFFFF" w:themeFill="background1"/>
          </w:tcPr>
          <w:p w14:paraId="02E3B7EE" w14:textId="77777777" w:rsidR="005F2D2B" w:rsidRPr="002C2C3C"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2C3C">
              <w:rPr>
                <w:rFonts w:ascii="Arial" w:hAnsi="Arial" w:cs="Arial"/>
                <w:sz w:val="20"/>
                <w:szCs w:val="20"/>
              </w:rPr>
              <w:t>24,582.5</w:t>
            </w:r>
          </w:p>
        </w:tc>
        <w:tc>
          <w:tcPr>
            <w:tcW w:w="1263" w:type="dxa"/>
            <w:shd w:val="clear" w:color="auto" w:fill="FFFFFF" w:themeFill="background1"/>
          </w:tcPr>
          <w:p w14:paraId="7513E1C6" w14:textId="77777777" w:rsidR="005F2D2B" w:rsidRPr="002C2C3C"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2C3C">
              <w:rPr>
                <w:rFonts w:ascii="Arial" w:hAnsi="Arial" w:cs="Arial"/>
                <w:sz w:val="20"/>
                <w:szCs w:val="20"/>
              </w:rPr>
              <w:t>65.9</w:t>
            </w:r>
          </w:p>
        </w:tc>
        <w:tc>
          <w:tcPr>
            <w:tcW w:w="1263" w:type="dxa"/>
            <w:gridSpan w:val="2"/>
            <w:shd w:val="clear" w:color="auto" w:fill="FFFFFF" w:themeFill="background1"/>
          </w:tcPr>
          <w:p w14:paraId="16C9719B" w14:textId="77777777" w:rsidR="005F2D2B" w:rsidRPr="002C2C3C"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2C3C">
              <w:rPr>
                <w:rFonts w:ascii="Arial" w:hAnsi="Arial" w:cs="Arial"/>
                <w:sz w:val="20"/>
                <w:szCs w:val="20"/>
              </w:rPr>
              <w:t>99.5</w:t>
            </w:r>
          </w:p>
        </w:tc>
      </w:tr>
      <w:tr w:rsidR="005F2D2B" w:rsidRPr="002C2C3C" w14:paraId="2C8B0AB6"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291" w:type="dxa"/>
            <w:tcBorders>
              <w:left w:val="none" w:sz="0" w:space="0" w:color="auto"/>
            </w:tcBorders>
            <w:shd w:val="clear" w:color="auto" w:fill="FFFFFF" w:themeFill="background1"/>
          </w:tcPr>
          <w:p w14:paraId="377E4862" w14:textId="77777777" w:rsidR="005F2D2B" w:rsidRPr="002C2C3C" w:rsidRDefault="005F2D2B" w:rsidP="005F2D2B">
            <w:pPr>
              <w:rPr>
                <w:rFonts w:ascii="Arial" w:hAnsi="Arial" w:cs="Arial"/>
                <w:sz w:val="20"/>
                <w:szCs w:val="20"/>
              </w:rPr>
            </w:pPr>
            <w:r w:rsidRPr="002C2C3C">
              <w:rPr>
                <w:rFonts w:ascii="Arial" w:hAnsi="Arial" w:cs="Arial"/>
                <w:sz w:val="20"/>
                <w:szCs w:val="20"/>
              </w:rPr>
              <w:t>2015</w:t>
            </w:r>
          </w:p>
        </w:tc>
        <w:tc>
          <w:tcPr>
            <w:tcW w:w="1255" w:type="dxa"/>
            <w:shd w:val="clear" w:color="auto" w:fill="FFFFFF" w:themeFill="background1"/>
          </w:tcPr>
          <w:p w14:paraId="02ABA681" w14:textId="77777777" w:rsidR="005F2D2B" w:rsidRPr="002C2C3C"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2C3C">
              <w:rPr>
                <w:rFonts w:ascii="Arial" w:hAnsi="Arial" w:cs="Arial"/>
                <w:sz w:val="20"/>
                <w:szCs w:val="20"/>
              </w:rPr>
              <w:t>31,620.3</w:t>
            </w:r>
          </w:p>
        </w:tc>
        <w:tc>
          <w:tcPr>
            <w:tcW w:w="1267" w:type="dxa"/>
            <w:shd w:val="clear" w:color="auto" w:fill="FFFFFF" w:themeFill="background1"/>
          </w:tcPr>
          <w:p w14:paraId="0E1F609C" w14:textId="77777777" w:rsidR="005F2D2B" w:rsidRPr="002C2C3C"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2C3C">
              <w:rPr>
                <w:rFonts w:ascii="Arial" w:hAnsi="Arial" w:cs="Arial"/>
                <w:sz w:val="20"/>
                <w:szCs w:val="20"/>
              </w:rPr>
              <w:t>31,179.6</w:t>
            </w:r>
          </w:p>
        </w:tc>
        <w:tc>
          <w:tcPr>
            <w:tcW w:w="1372" w:type="dxa"/>
            <w:shd w:val="clear" w:color="auto" w:fill="FFFFFF" w:themeFill="background1"/>
          </w:tcPr>
          <w:p w14:paraId="64C9E78F" w14:textId="77777777" w:rsidR="005F2D2B" w:rsidRPr="002C2C3C"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2C3C">
              <w:rPr>
                <w:rFonts w:ascii="Arial" w:hAnsi="Arial" w:cs="Arial"/>
                <w:sz w:val="20"/>
                <w:szCs w:val="20"/>
              </w:rPr>
              <w:t>31,000.3</w:t>
            </w:r>
          </w:p>
        </w:tc>
        <w:tc>
          <w:tcPr>
            <w:tcW w:w="1263" w:type="dxa"/>
            <w:shd w:val="clear" w:color="auto" w:fill="FFFFFF" w:themeFill="background1"/>
          </w:tcPr>
          <w:p w14:paraId="30C55435" w14:textId="77777777" w:rsidR="005F2D2B" w:rsidRPr="002C2C3C" w:rsidRDefault="005F2D2B" w:rsidP="005F2D2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2C3C">
              <w:rPr>
                <w:rFonts w:ascii="Arial" w:hAnsi="Arial" w:cs="Arial"/>
                <w:sz w:val="20"/>
                <w:szCs w:val="20"/>
              </w:rPr>
              <w:t>86.5</w:t>
            </w:r>
          </w:p>
        </w:tc>
        <w:tc>
          <w:tcPr>
            <w:tcW w:w="1263" w:type="dxa"/>
            <w:gridSpan w:val="2"/>
            <w:shd w:val="clear" w:color="auto" w:fill="FFFFFF" w:themeFill="background1"/>
          </w:tcPr>
          <w:p w14:paraId="1D3C4761" w14:textId="77777777" w:rsidR="005F2D2B" w:rsidRPr="002C2C3C" w:rsidRDefault="005F2D2B" w:rsidP="005F2D2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2C3C">
              <w:rPr>
                <w:rFonts w:ascii="Arial" w:hAnsi="Arial" w:cs="Arial"/>
                <w:sz w:val="20"/>
                <w:szCs w:val="20"/>
              </w:rPr>
              <w:t>99.4</w:t>
            </w:r>
          </w:p>
        </w:tc>
      </w:tr>
      <w:tr w:rsidR="005F2D2B" w:rsidRPr="002C2C3C" w14:paraId="12C3E0E4"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91" w:type="dxa"/>
            <w:tcBorders>
              <w:left w:val="none" w:sz="0" w:space="0" w:color="auto"/>
            </w:tcBorders>
            <w:shd w:val="clear" w:color="auto" w:fill="FFFFFF" w:themeFill="background1"/>
          </w:tcPr>
          <w:p w14:paraId="6D26C3FA" w14:textId="77777777" w:rsidR="005F2D2B" w:rsidRPr="002C2C3C" w:rsidRDefault="005F2D2B" w:rsidP="005F2D2B">
            <w:pPr>
              <w:rPr>
                <w:rFonts w:ascii="Arial" w:hAnsi="Arial" w:cs="Arial"/>
                <w:sz w:val="20"/>
                <w:szCs w:val="20"/>
              </w:rPr>
            </w:pPr>
            <w:r w:rsidRPr="002C2C3C">
              <w:rPr>
                <w:rFonts w:ascii="Arial" w:hAnsi="Arial" w:cs="Arial"/>
                <w:sz w:val="20"/>
                <w:szCs w:val="20"/>
              </w:rPr>
              <w:t>2016</w:t>
            </w:r>
            <w:r>
              <w:rPr>
                <w:rFonts w:ascii="Arial" w:hAnsi="Arial" w:cs="Arial"/>
                <w:sz w:val="20"/>
                <w:szCs w:val="20"/>
              </w:rPr>
              <w:t>*</w:t>
            </w:r>
          </w:p>
        </w:tc>
        <w:tc>
          <w:tcPr>
            <w:tcW w:w="1255" w:type="dxa"/>
            <w:shd w:val="clear" w:color="auto" w:fill="FFFFFF" w:themeFill="background1"/>
          </w:tcPr>
          <w:p w14:paraId="03394230" w14:textId="77777777" w:rsidR="005F2D2B" w:rsidRPr="002C2C3C"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2C3C">
              <w:rPr>
                <w:rFonts w:ascii="Arial" w:hAnsi="Arial" w:cs="Arial"/>
                <w:sz w:val="20"/>
                <w:szCs w:val="20"/>
              </w:rPr>
              <w:t>35,8</w:t>
            </w:r>
            <w:r>
              <w:rPr>
                <w:rFonts w:ascii="Arial" w:hAnsi="Arial" w:cs="Arial"/>
                <w:sz w:val="20"/>
                <w:szCs w:val="20"/>
              </w:rPr>
              <w:t>29</w:t>
            </w:r>
            <w:r w:rsidRPr="002C2C3C">
              <w:rPr>
                <w:rFonts w:ascii="Arial" w:hAnsi="Arial" w:cs="Arial"/>
                <w:sz w:val="20"/>
                <w:szCs w:val="20"/>
              </w:rPr>
              <w:t>.0</w:t>
            </w:r>
          </w:p>
        </w:tc>
        <w:tc>
          <w:tcPr>
            <w:tcW w:w="1267" w:type="dxa"/>
            <w:shd w:val="clear" w:color="auto" w:fill="FFFFFF" w:themeFill="background1"/>
          </w:tcPr>
          <w:p w14:paraId="46ACE25C" w14:textId="77777777" w:rsidR="005F2D2B" w:rsidRPr="002C2C3C"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2C3C">
              <w:rPr>
                <w:rFonts w:ascii="Arial" w:hAnsi="Arial" w:cs="Arial"/>
                <w:sz w:val="20"/>
                <w:szCs w:val="20"/>
              </w:rPr>
              <w:t>31,336.6</w:t>
            </w:r>
          </w:p>
        </w:tc>
        <w:tc>
          <w:tcPr>
            <w:tcW w:w="1372" w:type="dxa"/>
            <w:shd w:val="clear" w:color="auto" w:fill="FFFFFF" w:themeFill="background1"/>
          </w:tcPr>
          <w:p w14:paraId="7174C2BB" w14:textId="77777777" w:rsidR="005F2D2B" w:rsidRPr="002C2C3C"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2C3C">
              <w:rPr>
                <w:rFonts w:ascii="Arial" w:hAnsi="Arial" w:cs="Arial"/>
                <w:sz w:val="20"/>
                <w:szCs w:val="20"/>
              </w:rPr>
              <w:t>31,474.0</w:t>
            </w:r>
          </w:p>
        </w:tc>
        <w:tc>
          <w:tcPr>
            <w:tcW w:w="1263" w:type="dxa"/>
            <w:shd w:val="clear" w:color="auto" w:fill="FFFFFF" w:themeFill="background1"/>
          </w:tcPr>
          <w:p w14:paraId="275F7293" w14:textId="77777777" w:rsidR="005F2D2B" w:rsidRPr="002C2C3C"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2C3C">
              <w:rPr>
                <w:rFonts w:ascii="Arial" w:hAnsi="Arial" w:cs="Arial"/>
                <w:sz w:val="20"/>
                <w:szCs w:val="20"/>
              </w:rPr>
              <w:t>87.8</w:t>
            </w:r>
          </w:p>
        </w:tc>
        <w:tc>
          <w:tcPr>
            <w:tcW w:w="1263" w:type="dxa"/>
            <w:gridSpan w:val="2"/>
            <w:shd w:val="clear" w:color="auto" w:fill="FFFFFF" w:themeFill="background1"/>
          </w:tcPr>
          <w:p w14:paraId="13BB47F3" w14:textId="77777777" w:rsidR="005F2D2B" w:rsidRPr="002C2C3C"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2C3C">
              <w:rPr>
                <w:rFonts w:ascii="Arial" w:hAnsi="Arial" w:cs="Arial"/>
                <w:sz w:val="20"/>
                <w:szCs w:val="20"/>
              </w:rPr>
              <w:t>100.4</w:t>
            </w:r>
          </w:p>
        </w:tc>
      </w:tr>
      <w:tr w:rsidR="005F2D2B" w:rsidRPr="002C2C3C" w14:paraId="58E7E750"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291" w:type="dxa"/>
            <w:tcBorders>
              <w:left w:val="none" w:sz="0" w:space="0" w:color="auto"/>
              <w:bottom w:val="none" w:sz="0" w:space="0" w:color="auto"/>
            </w:tcBorders>
            <w:shd w:val="clear" w:color="auto" w:fill="FFFFFF" w:themeFill="background1"/>
          </w:tcPr>
          <w:p w14:paraId="7F97335C" w14:textId="77777777" w:rsidR="005F2D2B" w:rsidRPr="002C2C3C" w:rsidRDefault="005F2D2B" w:rsidP="005F2D2B">
            <w:pPr>
              <w:rPr>
                <w:rFonts w:ascii="Arial" w:hAnsi="Arial" w:cs="Arial"/>
                <w:sz w:val="20"/>
                <w:szCs w:val="20"/>
              </w:rPr>
            </w:pPr>
            <w:r w:rsidRPr="002C2C3C">
              <w:rPr>
                <w:rFonts w:ascii="Arial" w:hAnsi="Arial" w:cs="Arial"/>
                <w:sz w:val="20"/>
                <w:szCs w:val="20"/>
              </w:rPr>
              <w:t>2017</w:t>
            </w:r>
          </w:p>
        </w:tc>
        <w:tc>
          <w:tcPr>
            <w:tcW w:w="1255" w:type="dxa"/>
            <w:shd w:val="clear" w:color="auto" w:fill="FFFFFF" w:themeFill="background1"/>
          </w:tcPr>
          <w:p w14:paraId="669A5AE3" w14:textId="77777777" w:rsidR="005F2D2B" w:rsidRPr="002C2C3C"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2C3C">
              <w:rPr>
                <w:rFonts w:ascii="Arial" w:hAnsi="Arial" w:cs="Arial"/>
                <w:sz w:val="20"/>
                <w:szCs w:val="20"/>
              </w:rPr>
              <w:t>29,580.0</w:t>
            </w:r>
          </w:p>
        </w:tc>
        <w:tc>
          <w:tcPr>
            <w:tcW w:w="1267" w:type="dxa"/>
            <w:shd w:val="clear" w:color="auto" w:fill="FFFFFF" w:themeFill="background1"/>
          </w:tcPr>
          <w:p w14:paraId="4A9DAA14" w14:textId="77777777" w:rsidR="005F2D2B" w:rsidRPr="002C2C3C"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72" w:type="dxa"/>
            <w:shd w:val="clear" w:color="auto" w:fill="FFFFFF" w:themeFill="background1"/>
          </w:tcPr>
          <w:p w14:paraId="1D92A586" w14:textId="77777777" w:rsidR="005F2D2B" w:rsidRPr="002C2C3C"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3" w:type="dxa"/>
            <w:shd w:val="clear" w:color="auto" w:fill="FFFFFF" w:themeFill="background1"/>
          </w:tcPr>
          <w:p w14:paraId="1DE4BA82" w14:textId="77777777" w:rsidR="005F2D2B" w:rsidRPr="002C2C3C" w:rsidRDefault="005F2D2B" w:rsidP="005F2D2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3" w:type="dxa"/>
            <w:gridSpan w:val="2"/>
            <w:shd w:val="clear" w:color="auto" w:fill="FFFFFF" w:themeFill="background1"/>
          </w:tcPr>
          <w:p w14:paraId="6AD3C2DF" w14:textId="77777777" w:rsidR="005F2D2B" w:rsidRPr="002C2C3C" w:rsidRDefault="005F2D2B" w:rsidP="005F2D2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3A1BD1B" w14:textId="77777777" w:rsidR="005F2D2B" w:rsidRDefault="005F2D2B" w:rsidP="005F2D2B">
      <w:pPr>
        <w:ind w:left="709"/>
        <w:rPr>
          <w:sz w:val="20"/>
          <w:szCs w:val="20"/>
        </w:rPr>
      </w:pPr>
      <w:r w:rsidRPr="00701D24">
        <w:rPr>
          <w:sz w:val="20"/>
          <w:szCs w:val="20"/>
        </w:rPr>
        <w:t>Source: MoF</w:t>
      </w:r>
    </w:p>
    <w:p w14:paraId="7EE094DD" w14:textId="77777777" w:rsidR="005F2D2B" w:rsidRPr="00701D24" w:rsidRDefault="005F2D2B" w:rsidP="005F2D2B">
      <w:pPr>
        <w:ind w:left="1418" w:hanging="709"/>
        <w:rPr>
          <w:sz w:val="20"/>
          <w:szCs w:val="20"/>
        </w:rPr>
      </w:pPr>
      <w:r>
        <w:rPr>
          <w:sz w:val="20"/>
          <w:szCs w:val="20"/>
        </w:rPr>
        <w:t>Note: * the final adopted budget in 2016 was reported as GEL 35,829,000 as against an initial submission of GEL 35,838,000.</w:t>
      </w:r>
    </w:p>
    <w:p w14:paraId="08BBDD3F" w14:textId="77777777" w:rsidR="005F2D2B" w:rsidRDefault="005F2D2B" w:rsidP="005F2D2B"/>
    <w:p w14:paraId="2A237036" w14:textId="77777777" w:rsidR="005F2D2B" w:rsidRDefault="005F2D2B" w:rsidP="005F2D2B">
      <w:pPr>
        <w:widowControl w:val="0"/>
      </w:pPr>
      <w:r>
        <w:t>Budgetary spending on VET is, however, only part of the story. Between 2013 and 2016 there has been a threefold increase in funding coming from state VET providers themselves (Table 5). In 2016, such funding amounted to 35% of total expenditure on VET, equivalent to 55% of the funding direct from the state budget. This reflects the increased revenue of VET providers from short courses and programmes provided to adult students (school-leavers being mainly financed by the state through vouchers under the state budget allocation). The result was a more than doubling of state expenditure on VET between 2013 and 2015, with further growth in 2016.</w:t>
      </w:r>
    </w:p>
    <w:p w14:paraId="2C94958B" w14:textId="77777777" w:rsidR="005F2D2B" w:rsidRDefault="005F2D2B" w:rsidP="005F2D2B">
      <w:pPr>
        <w:widowControl w:val="0"/>
      </w:pPr>
    </w:p>
    <w:p w14:paraId="5B39CBBD" w14:textId="77777777" w:rsidR="005F2D2B" w:rsidRPr="00BF30AD" w:rsidRDefault="005F2D2B" w:rsidP="005F2D2B">
      <w:pPr>
        <w:jc w:val="center"/>
        <w:rPr>
          <w:b/>
        </w:rPr>
      </w:pPr>
      <w:r>
        <w:rPr>
          <w:b/>
        </w:rPr>
        <w:t>Table 5</w:t>
      </w:r>
      <w:r w:rsidRPr="00BF30AD">
        <w:rPr>
          <w:b/>
        </w:rPr>
        <w:t>: VET Programme</w:t>
      </w:r>
      <w:r>
        <w:rPr>
          <w:b/>
        </w:rPr>
        <w:t xml:space="preserve"> </w:t>
      </w:r>
      <w:r w:rsidRPr="00BF30AD">
        <w:rPr>
          <w:b/>
        </w:rPr>
        <w:t>Budget Execution 2013-2016</w:t>
      </w:r>
      <w:r>
        <w:rPr>
          <w:b/>
        </w:rPr>
        <w:t xml:space="preserve"> (GEL'000)</w:t>
      </w:r>
    </w:p>
    <w:p w14:paraId="5349EE1F" w14:textId="77777777" w:rsidR="005F2D2B" w:rsidRDefault="005F2D2B" w:rsidP="005F2D2B"/>
    <w:tbl>
      <w:tblPr>
        <w:tblStyle w:val="GridTable5DarkAccent5"/>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13"/>
        <w:gridCol w:w="1305"/>
        <w:gridCol w:w="1257"/>
        <w:gridCol w:w="1272"/>
        <w:gridCol w:w="1198"/>
        <w:gridCol w:w="1418"/>
        <w:gridCol w:w="1463"/>
        <w:gridCol w:w="16"/>
      </w:tblGrid>
      <w:tr w:rsidR="005F2D2B" w:rsidRPr="00FD6993" w14:paraId="38B8203B" w14:textId="77777777" w:rsidTr="005F2D2B">
        <w:trPr>
          <w:gridAfter w:val="1"/>
          <w:cnfStyle w:val="100000000000" w:firstRow="1" w:lastRow="0" w:firstColumn="0" w:lastColumn="0" w:oddVBand="0" w:evenVBand="0" w:oddHBand="0" w:evenHBand="0" w:firstRowFirstColumn="0" w:firstRowLastColumn="0" w:lastRowFirstColumn="0" w:lastRowLastColumn="0"/>
          <w:wAfter w:w="16" w:type="dxa"/>
          <w:jc w:val="center"/>
        </w:trPr>
        <w:tc>
          <w:tcPr>
            <w:cnfStyle w:val="001000000000" w:firstRow="0" w:lastRow="0" w:firstColumn="1" w:lastColumn="0" w:oddVBand="0" w:evenVBand="0" w:oddHBand="0" w:evenHBand="0" w:firstRowFirstColumn="0" w:firstRowLastColumn="0" w:lastRowFirstColumn="0" w:lastRowLastColumn="0"/>
            <w:tcW w:w="1313" w:type="dxa"/>
            <w:vMerge w:val="restart"/>
            <w:tcBorders>
              <w:top w:val="none" w:sz="0" w:space="0" w:color="auto"/>
              <w:left w:val="none" w:sz="0" w:space="0" w:color="auto"/>
              <w:right w:val="none" w:sz="0" w:space="0" w:color="auto"/>
            </w:tcBorders>
            <w:shd w:val="clear" w:color="auto" w:fill="FFFFFF" w:themeFill="background1"/>
          </w:tcPr>
          <w:p w14:paraId="5640FAA5" w14:textId="77777777" w:rsidR="005F2D2B" w:rsidRPr="00FD6993" w:rsidRDefault="005F2D2B" w:rsidP="005F2D2B">
            <w:pPr>
              <w:rPr>
                <w:rFonts w:ascii="Arial" w:hAnsi="Arial" w:cs="Arial"/>
                <w:sz w:val="20"/>
                <w:szCs w:val="20"/>
              </w:rPr>
            </w:pPr>
          </w:p>
        </w:tc>
        <w:tc>
          <w:tcPr>
            <w:tcW w:w="1305" w:type="dxa"/>
            <w:vMerge w:val="restart"/>
            <w:tcBorders>
              <w:top w:val="none" w:sz="0" w:space="0" w:color="auto"/>
              <w:left w:val="none" w:sz="0" w:space="0" w:color="auto"/>
              <w:right w:val="none" w:sz="0" w:space="0" w:color="auto"/>
            </w:tcBorders>
            <w:shd w:val="clear" w:color="auto" w:fill="FFFFFF" w:themeFill="background1"/>
            <w:vAlign w:val="center"/>
          </w:tcPr>
          <w:p w14:paraId="15DC6E8D" w14:textId="77777777" w:rsidR="005F2D2B" w:rsidRPr="00FD6993" w:rsidRDefault="005F2D2B" w:rsidP="005F2D2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D6993">
              <w:rPr>
                <w:rFonts w:ascii="Arial" w:hAnsi="Arial" w:cs="Arial"/>
                <w:sz w:val="20"/>
                <w:szCs w:val="20"/>
              </w:rPr>
              <w:t>Overall</w:t>
            </w:r>
            <w:r>
              <w:rPr>
                <w:rFonts w:ascii="Arial" w:hAnsi="Arial" w:cs="Arial"/>
                <w:sz w:val="20"/>
                <w:szCs w:val="20"/>
              </w:rPr>
              <w:t xml:space="preserve"> Anticipated</w:t>
            </w:r>
            <w:r w:rsidRPr="00FD6993">
              <w:rPr>
                <w:rFonts w:ascii="Arial" w:hAnsi="Arial" w:cs="Arial"/>
                <w:sz w:val="20"/>
                <w:szCs w:val="20"/>
              </w:rPr>
              <w:t xml:space="preserve"> </w:t>
            </w:r>
            <w:r>
              <w:rPr>
                <w:rFonts w:ascii="Arial" w:hAnsi="Arial" w:cs="Arial"/>
                <w:sz w:val="20"/>
                <w:szCs w:val="20"/>
              </w:rPr>
              <w:t>Financing*</w:t>
            </w:r>
          </w:p>
        </w:tc>
        <w:tc>
          <w:tcPr>
            <w:tcW w:w="2529" w:type="dxa"/>
            <w:gridSpan w:val="2"/>
            <w:tcBorders>
              <w:top w:val="none" w:sz="0" w:space="0" w:color="auto"/>
              <w:left w:val="none" w:sz="0" w:space="0" w:color="auto"/>
              <w:right w:val="none" w:sz="0" w:space="0" w:color="auto"/>
            </w:tcBorders>
            <w:shd w:val="clear" w:color="auto" w:fill="FFFFFF" w:themeFill="background1"/>
            <w:vAlign w:val="center"/>
          </w:tcPr>
          <w:p w14:paraId="4489CC32" w14:textId="77777777" w:rsidR="005F2D2B" w:rsidRPr="00FD6993" w:rsidRDefault="005F2D2B" w:rsidP="005F2D2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D6993">
              <w:rPr>
                <w:rFonts w:ascii="Arial" w:hAnsi="Arial" w:cs="Arial"/>
                <w:sz w:val="20"/>
                <w:szCs w:val="20"/>
              </w:rPr>
              <w:t>State Budget</w:t>
            </w:r>
          </w:p>
        </w:tc>
        <w:tc>
          <w:tcPr>
            <w:tcW w:w="4079" w:type="dxa"/>
            <w:gridSpan w:val="3"/>
            <w:tcBorders>
              <w:top w:val="none" w:sz="0" w:space="0" w:color="auto"/>
              <w:left w:val="none" w:sz="0" w:space="0" w:color="auto"/>
              <w:right w:val="none" w:sz="0" w:space="0" w:color="auto"/>
            </w:tcBorders>
            <w:shd w:val="clear" w:color="auto" w:fill="FFFFFF" w:themeFill="background1"/>
            <w:vAlign w:val="center"/>
          </w:tcPr>
          <w:p w14:paraId="756B841C" w14:textId="77777777" w:rsidR="005F2D2B" w:rsidRPr="00FD6993" w:rsidRDefault="005F2D2B" w:rsidP="005F2D2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D6993">
              <w:rPr>
                <w:rFonts w:ascii="Arial" w:hAnsi="Arial" w:cs="Arial"/>
                <w:color w:val="auto"/>
                <w:sz w:val="20"/>
                <w:szCs w:val="20"/>
              </w:rPr>
              <w:t>Expenditure</w:t>
            </w:r>
          </w:p>
        </w:tc>
      </w:tr>
      <w:tr w:rsidR="005F2D2B" w:rsidRPr="00FD6993" w14:paraId="636E268C" w14:textId="77777777" w:rsidTr="005F2D2B">
        <w:trPr>
          <w:gridAfter w:val="1"/>
          <w:cnfStyle w:val="000000100000" w:firstRow="0" w:lastRow="0" w:firstColumn="0" w:lastColumn="0" w:oddVBand="0" w:evenVBand="0" w:oddHBand="1" w:evenHBand="0" w:firstRowFirstColumn="0" w:firstRowLastColumn="0" w:lastRowFirstColumn="0" w:lastRowLastColumn="0"/>
          <w:wAfter w:w="16" w:type="dxa"/>
          <w:jc w:val="center"/>
        </w:trPr>
        <w:tc>
          <w:tcPr>
            <w:cnfStyle w:val="001000000000" w:firstRow="0" w:lastRow="0" w:firstColumn="1" w:lastColumn="0" w:oddVBand="0" w:evenVBand="0" w:oddHBand="0" w:evenHBand="0" w:firstRowFirstColumn="0" w:firstRowLastColumn="0" w:lastRowFirstColumn="0" w:lastRowLastColumn="0"/>
            <w:tcW w:w="1313" w:type="dxa"/>
            <w:vMerge/>
            <w:shd w:val="clear" w:color="auto" w:fill="FFFFFF" w:themeFill="background1"/>
          </w:tcPr>
          <w:p w14:paraId="0AB94D3B" w14:textId="77777777" w:rsidR="005F2D2B" w:rsidRPr="00FD6993" w:rsidRDefault="005F2D2B" w:rsidP="005F2D2B">
            <w:pPr>
              <w:rPr>
                <w:rFonts w:ascii="Arial" w:hAnsi="Arial" w:cs="Arial"/>
                <w:sz w:val="20"/>
                <w:szCs w:val="20"/>
              </w:rPr>
            </w:pPr>
          </w:p>
        </w:tc>
        <w:tc>
          <w:tcPr>
            <w:tcW w:w="1305" w:type="dxa"/>
            <w:vMerge/>
            <w:shd w:val="clear" w:color="auto" w:fill="FFFFFF" w:themeFill="background1"/>
            <w:vAlign w:val="center"/>
          </w:tcPr>
          <w:p w14:paraId="01D48317" w14:textId="77777777" w:rsidR="005F2D2B" w:rsidRPr="00FD6993"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ka-GE"/>
              </w:rPr>
            </w:pPr>
          </w:p>
        </w:tc>
        <w:tc>
          <w:tcPr>
            <w:tcW w:w="1257" w:type="dxa"/>
            <w:shd w:val="clear" w:color="auto" w:fill="FFFFFF" w:themeFill="background1"/>
            <w:vAlign w:val="center"/>
          </w:tcPr>
          <w:p w14:paraId="50B5B4BD" w14:textId="77777777" w:rsidR="005F2D2B" w:rsidRPr="00FD6993"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D6993">
              <w:rPr>
                <w:rFonts w:ascii="Arial" w:hAnsi="Arial" w:cs="Arial"/>
                <w:b/>
                <w:sz w:val="20"/>
                <w:szCs w:val="20"/>
              </w:rPr>
              <w:t>Initial Approved</w:t>
            </w:r>
          </w:p>
        </w:tc>
        <w:tc>
          <w:tcPr>
            <w:tcW w:w="1272" w:type="dxa"/>
            <w:shd w:val="clear" w:color="auto" w:fill="FFFFFF" w:themeFill="background1"/>
            <w:vAlign w:val="center"/>
          </w:tcPr>
          <w:p w14:paraId="65E39705" w14:textId="77777777" w:rsidR="005F2D2B" w:rsidRPr="00FD6993"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D6993">
              <w:rPr>
                <w:rFonts w:ascii="Arial" w:hAnsi="Arial" w:cs="Arial"/>
                <w:b/>
                <w:sz w:val="20"/>
                <w:szCs w:val="20"/>
              </w:rPr>
              <w:t>Final Amended</w:t>
            </w:r>
          </w:p>
        </w:tc>
        <w:tc>
          <w:tcPr>
            <w:tcW w:w="1198" w:type="dxa"/>
            <w:shd w:val="clear" w:color="auto" w:fill="FFFFFF" w:themeFill="background1"/>
            <w:vAlign w:val="center"/>
          </w:tcPr>
          <w:p w14:paraId="67257BEC" w14:textId="77777777" w:rsidR="005F2D2B" w:rsidRPr="00FD6993"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D6993">
              <w:rPr>
                <w:rFonts w:ascii="Arial" w:hAnsi="Arial" w:cs="Arial"/>
                <w:b/>
                <w:sz w:val="20"/>
                <w:szCs w:val="20"/>
              </w:rPr>
              <w:t>Total</w:t>
            </w:r>
          </w:p>
        </w:tc>
        <w:tc>
          <w:tcPr>
            <w:tcW w:w="1418" w:type="dxa"/>
            <w:shd w:val="clear" w:color="auto" w:fill="FFFFFF" w:themeFill="background1"/>
            <w:vAlign w:val="center"/>
          </w:tcPr>
          <w:p w14:paraId="240FF629" w14:textId="77777777" w:rsidR="005F2D2B" w:rsidRPr="00FD6993"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D6993">
              <w:rPr>
                <w:rFonts w:ascii="Arial" w:hAnsi="Arial" w:cs="Arial"/>
                <w:b/>
                <w:sz w:val="20"/>
                <w:szCs w:val="20"/>
              </w:rPr>
              <w:t>State Budget</w:t>
            </w:r>
          </w:p>
        </w:tc>
        <w:tc>
          <w:tcPr>
            <w:tcW w:w="1463" w:type="dxa"/>
            <w:shd w:val="clear" w:color="auto" w:fill="FFFFFF" w:themeFill="background1"/>
            <w:vAlign w:val="center"/>
          </w:tcPr>
          <w:p w14:paraId="13634C2D" w14:textId="77777777" w:rsidR="005F2D2B" w:rsidRPr="00FD6993" w:rsidRDefault="005F2D2B" w:rsidP="005F2D2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State VET Colleges o</w:t>
            </w:r>
            <w:r w:rsidRPr="00FD6993">
              <w:rPr>
                <w:rFonts w:ascii="Arial" w:hAnsi="Arial" w:cs="Arial"/>
                <w:b/>
                <w:sz w:val="20"/>
                <w:szCs w:val="20"/>
              </w:rPr>
              <w:t>wn budget</w:t>
            </w:r>
          </w:p>
        </w:tc>
      </w:tr>
      <w:tr w:rsidR="005F2D2B" w:rsidRPr="00FD6993" w14:paraId="1506B769" w14:textId="77777777" w:rsidTr="005F2D2B">
        <w:trPr>
          <w:gridAfter w:val="1"/>
          <w:wAfter w:w="16" w:type="dxa"/>
          <w:jc w:val="center"/>
        </w:trPr>
        <w:tc>
          <w:tcPr>
            <w:cnfStyle w:val="001000000000" w:firstRow="0" w:lastRow="0" w:firstColumn="1" w:lastColumn="0" w:oddVBand="0" w:evenVBand="0" w:oddHBand="0" w:evenHBand="0" w:firstRowFirstColumn="0" w:firstRowLastColumn="0" w:lastRowFirstColumn="0" w:lastRowLastColumn="0"/>
            <w:tcW w:w="1313" w:type="dxa"/>
            <w:tcBorders>
              <w:left w:val="none" w:sz="0" w:space="0" w:color="auto"/>
            </w:tcBorders>
            <w:shd w:val="clear" w:color="auto" w:fill="FFFFFF" w:themeFill="background1"/>
          </w:tcPr>
          <w:p w14:paraId="13C9BEA6" w14:textId="77777777" w:rsidR="005F2D2B" w:rsidRPr="00FD6993" w:rsidRDefault="005F2D2B" w:rsidP="005F2D2B">
            <w:pPr>
              <w:rPr>
                <w:rFonts w:ascii="Arial" w:hAnsi="Arial" w:cs="Arial"/>
                <w:sz w:val="20"/>
                <w:szCs w:val="20"/>
              </w:rPr>
            </w:pPr>
            <w:r w:rsidRPr="00FD6993">
              <w:rPr>
                <w:rFonts w:ascii="Arial" w:hAnsi="Arial" w:cs="Arial"/>
                <w:sz w:val="20"/>
                <w:szCs w:val="20"/>
              </w:rPr>
              <w:t>2013</w:t>
            </w:r>
          </w:p>
        </w:tc>
        <w:tc>
          <w:tcPr>
            <w:tcW w:w="1305" w:type="dxa"/>
            <w:shd w:val="clear" w:color="auto" w:fill="FFFFFF" w:themeFill="background1"/>
          </w:tcPr>
          <w:p w14:paraId="3DA3AE76" w14:textId="77777777" w:rsidR="005F2D2B" w:rsidRPr="00FD6993"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6993">
              <w:rPr>
                <w:rFonts w:ascii="Arial" w:hAnsi="Arial" w:cs="Arial"/>
                <w:sz w:val="20"/>
                <w:szCs w:val="20"/>
              </w:rPr>
              <w:t>18,868.9</w:t>
            </w:r>
          </w:p>
        </w:tc>
        <w:tc>
          <w:tcPr>
            <w:tcW w:w="1257" w:type="dxa"/>
            <w:shd w:val="clear" w:color="auto" w:fill="FFFFFF" w:themeFill="background1"/>
          </w:tcPr>
          <w:p w14:paraId="4B68BBA2" w14:textId="77777777" w:rsidR="005F2D2B" w:rsidRPr="00FD6993"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6993">
              <w:rPr>
                <w:rFonts w:ascii="Arial" w:hAnsi="Arial" w:cs="Arial"/>
                <w:sz w:val="20"/>
                <w:szCs w:val="20"/>
              </w:rPr>
              <w:t>19,793.0</w:t>
            </w:r>
          </w:p>
        </w:tc>
        <w:tc>
          <w:tcPr>
            <w:tcW w:w="1272" w:type="dxa"/>
            <w:shd w:val="clear" w:color="auto" w:fill="FFFFFF" w:themeFill="background1"/>
          </w:tcPr>
          <w:p w14:paraId="0BF31CBB" w14:textId="77777777" w:rsidR="005F2D2B" w:rsidRPr="00FD6993"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6993">
              <w:rPr>
                <w:rFonts w:ascii="Arial" w:hAnsi="Arial" w:cs="Arial"/>
                <w:sz w:val="20"/>
                <w:szCs w:val="20"/>
              </w:rPr>
              <w:t>15,668.9</w:t>
            </w:r>
          </w:p>
        </w:tc>
        <w:tc>
          <w:tcPr>
            <w:tcW w:w="1198" w:type="dxa"/>
            <w:shd w:val="clear" w:color="auto" w:fill="FFFFFF" w:themeFill="background1"/>
          </w:tcPr>
          <w:p w14:paraId="08A1F479" w14:textId="77777777" w:rsidR="005F2D2B" w:rsidRPr="00FD6993"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6993">
              <w:rPr>
                <w:rFonts w:ascii="Arial" w:hAnsi="Arial" w:cs="Arial"/>
                <w:sz w:val="20"/>
                <w:szCs w:val="20"/>
              </w:rPr>
              <w:t xml:space="preserve">21,279.5 </w:t>
            </w:r>
          </w:p>
        </w:tc>
        <w:tc>
          <w:tcPr>
            <w:tcW w:w="1418" w:type="dxa"/>
            <w:shd w:val="clear" w:color="auto" w:fill="FFFFFF" w:themeFill="background1"/>
          </w:tcPr>
          <w:p w14:paraId="482C84D2" w14:textId="77777777" w:rsidR="005F2D2B" w:rsidRPr="00FD6993"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6993">
              <w:rPr>
                <w:rFonts w:ascii="Arial" w:hAnsi="Arial" w:cs="Arial"/>
                <w:sz w:val="20"/>
                <w:szCs w:val="20"/>
              </w:rPr>
              <w:t>14,301.6</w:t>
            </w:r>
          </w:p>
        </w:tc>
        <w:tc>
          <w:tcPr>
            <w:tcW w:w="1463" w:type="dxa"/>
            <w:shd w:val="clear" w:color="auto" w:fill="FFFFFF" w:themeFill="background1"/>
          </w:tcPr>
          <w:p w14:paraId="6EF05556" w14:textId="77777777" w:rsidR="005F2D2B" w:rsidRPr="00FD6993"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6993">
              <w:rPr>
                <w:rFonts w:ascii="Arial" w:hAnsi="Arial" w:cs="Arial"/>
                <w:sz w:val="20"/>
                <w:szCs w:val="20"/>
              </w:rPr>
              <w:t>6,977.9</w:t>
            </w:r>
          </w:p>
        </w:tc>
      </w:tr>
      <w:tr w:rsidR="005F2D2B" w:rsidRPr="00FD6993" w14:paraId="27790685"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3" w:type="dxa"/>
            <w:tcBorders>
              <w:left w:val="none" w:sz="0" w:space="0" w:color="auto"/>
            </w:tcBorders>
            <w:shd w:val="clear" w:color="auto" w:fill="FFFFFF" w:themeFill="background1"/>
          </w:tcPr>
          <w:p w14:paraId="3DB6F1AA" w14:textId="77777777" w:rsidR="005F2D2B" w:rsidRPr="00FD6993" w:rsidRDefault="005F2D2B" w:rsidP="005F2D2B">
            <w:pPr>
              <w:rPr>
                <w:rFonts w:ascii="Arial" w:hAnsi="Arial" w:cs="Arial"/>
                <w:sz w:val="20"/>
                <w:szCs w:val="20"/>
              </w:rPr>
            </w:pPr>
            <w:r w:rsidRPr="00FD6993">
              <w:rPr>
                <w:rFonts w:ascii="Arial" w:hAnsi="Arial" w:cs="Arial"/>
                <w:sz w:val="20"/>
                <w:szCs w:val="20"/>
              </w:rPr>
              <w:t>2014</w:t>
            </w:r>
          </w:p>
        </w:tc>
        <w:tc>
          <w:tcPr>
            <w:tcW w:w="1305" w:type="dxa"/>
            <w:shd w:val="clear" w:color="auto" w:fill="FFFFFF" w:themeFill="background1"/>
          </w:tcPr>
          <w:p w14:paraId="2E61DB47" w14:textId="77777777" w:rsidR="005F2D2B" w:rsidRPr="00FD6993"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6993">
              <w:rPr>
                <w:rFonts w:ascii="Arial" w:hAnsi="Arial" w:cs="Arial"/>
                <w:sz w:val="20"/>
                <w:szCs w:val="20"/>
              </w:rPr>
              <w:t>29,408.4</w:t>
            </w:r>
          </w:p>
        </w:tc>
        <w:tc>
          <w:tcPr>
            <w:tcW w:w="1257" w:type="dxa"/>
            <w:shd w:val="clear" w:color="auto" w:fill="FFFFFF" w:themeFill="background1"/>
          </w:tcPr>
          <w:p w14:paraId="7B26086F" w14:textId="77777777" w:rsidR="005F2D2B" w:rsidRPr="00FD6993"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6993">
              <w:rPr>
                <w:rFonts w:ascii="Arial" w:hAnsi="Arial" w:cs="Arial"/>
                <w:sz w:val="20"/>
                <w:szCs w:val="20"/>
              </w:rPr>
              <w:t>37,318.0</w:t>
            </w:r>
          </w:p>
        </w:tc>
        <w:tc>
          <w:tcPr>
            <w:tcW w:w="1272" w:type="dxa"/>
            <w:shd w:val="clear" w:color="auto" w:fill="FFFFFF" w:themeFill="background1"/>
          </w:tcPr>
          <w:p w14:paraId="7D1E7BC3" w14:textId="77777777" w:rsidR="005F2D2B" w:rsidRPr="00FD6993"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6993">
              <w:rPr>
                <w:rFonts w:ascii="Arial" w:hAnsi="Arial" w:cs="Arial"/>
                <w:sz w:val="20"/>
                <w:szCs w:val="20"/>
              </w:rPr>
              <w:t>24,708.4</w:t>
            </w:r>
          </w:p>
        </w:tc>
        <w:tc>
          <w:tcPr>
            <w:tcW w:w="1198" w:type="dxa"/>
            <w:shd w:val="clear" w:color="auto" w:fill="FFFFFF" w:themeFill="background1"/>
          </w:tcPr>
          <w:p w14:paraId="157EE858" w14:textId="77777777" w:rsidR="005F2D2B" w:rsidRPr="00FD6993"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6993">
              <w:rPr>
                <w:rFonts w:ascii="Arial" w:hAnsi="Arial" w:cs="Arial"/>
                <w:sz w:val="20"/>
                <w:szCs w:val="20"/>
              </w:rPr>
              <w:t>28,563.6</w:t>
            </w:r>
          </w:p>
        </w:tc>
        <w:tc>
          <w:tcPr>
            <w:tcW w:w="1418" w:type="dxa"/>
            <w:shd w:val="clear" w:color="auto" w:fill="FFFFFF" w:themeFill="background1"/>
          </w:tcPr>
          <w:p w14:paraId="40A43F3A" w14:textId="77777777" w:rsidR="005F2D2B" w:rsidRPr="00FD6993"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6993">
              <w:rPr>
                <w:rFonts w:ascii="Arial" w:hAnsi="Arial" w:cs="Arial"/>
                <w:sz w:val="20"/>
                <w:szCs w:val="20"/>
              </w:rPr>
              <w:t>24,582.5</w:t>
            </w:r>
          </w:p>
        </w:tc>
        <w:tc>
          <w:tcPr>
            <w:tcW w:w="1479" w:type="dxa"/>
            <w:gridSpan w:val="2"/>
            <w:shd w:val="clear" w:color="auto" w:fill="FFFFFF" w:themeFill="background1"/>
          </w:tcPr>
          <w:p w14:paraId="781A63F1" w14:textId="77777777" w:rsidR="005F2D2B" w:rsidRPr="00FD6993"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6993">
              <w:rPr>
                <w:rFonts w:ascii="Arial" w:hAnsi="Arial" w:cs="Arial"/>
                <w:sz w:val="20"/>
                <w:szCs w:val="20"/>
              </w:rPr>
              <w:t>3,981.1</w:t>
            </w:r>
          </w:p>
        </w:tc>
      </w:tr>
      <w:tr w:rsidR="005F2D2B" w:rsidRPr="00FD6993" w14:paraId="36E9C937" w14:textId="77777777" w:rsidTr="005F2D2B">
        <w:trPr>
          <w:jc w:val="center"/>
        </w:trPr>
        <w:tc>
          <w:tcPr>
            <w:cnfStyle w:val="001000000000" w:firstRow="0" w:lastRow="0" w:firstColumn="1" w:lastColumn="0" w:oddVBand="0" w:evenVBand="0" w:oddHBand="0" w:evenHBand="0" w:firstRowFirstColumn="0" w:firstRowLastColumn="0" w:lastRowFirstColumn="0" w:lastRowLastColumn="0"/>
            <w:tcW w:w="1313" w:type="dxa"/>
            <w:tcBorders>
              <w:left w:val="none" w:sz="0" w:space="0" w:color="auto"/>
            </w:tcBorders>
            <w:shd w:val="clear" w:color="auto" w:fill="FFFFFF" w:themeFill="background1"/>
          </w:tcPr>
          <w:p w14:paraId="68FBDA6E" w14:textId="77777777" w:rsidR="005F2D2B" w:rsidRPr="00FD6993" w:rsidRDefault="005F2D2B" w:rsidP="005F2D2B">
            <w:pPr>
              <w:rPr>
                <w:rFonts w:ascii="Arial" w:hAnsi="Arial" w:cs="Arial"/>
                <w:sz w:val="20"/>
                <w:szCs w:val="20"/>
              </w:rPr>
            </w:pPr>
            <w:r w:rsidRPr="00FD6993">
              <w:rPr>
                <w:rFonts w:ascii="Arial" w:hAnsi="Arial" w:cs="Arial"/>
                <w:sz w:val="20"/>
                <w:szCs w:val="20"/>
              </w:rPr>
              <w:t>2015</w:t>
            </w:r>
          </w:p>
        </w:tc>
        <w:tc>
          <w:tcPr>
            <w:tcW w:w="1305" w:type="dxa"/>
            <w:shd w:val="clear" w:color="auto" w:fill="FFFFFF" w:themeFill="background1"/>
          </w:tcPr>
          <w:p w14:paraId="20F79E0E" w14:textId="77777777" w:rsidR="005F2D2B" w:rsidRPr="00FD6993"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6993">
              <w:rPr>
                <w:rFonts w:ascii="Arial" w:hAnsi="Arial" w:cs="Arial"/>
                <w:sz w:val="20"/>
                <w:szCs w:val="20"/>
              </w:rPr>
              <w:t>53,201.6</w:t>
            </w:r>
          </w:p>
        </w:tc>
        <w:tc>
          <w:tcPr>
            <w:tcW w:w="1257" w:type="dxa"/>
            <w:shd w:val="clear" w:color="auto" w:fill="FFFFFF" w:themeFill="background1"/>
          </w:tcPr>
          <w:p w14:paraId="56774EBC" w14:textId="77777777" w:rsidR="005F2D2B" w:rsidRPr="00FD6993"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6993">
              <w:rPr>
                <w:rFonts w:ascii="Arial" w:hAnsi="Arial" w:cs="Arial"/>
                <w:sz w:val="20"/>
                <w:szCs w:val="20"/>
              </w:rPr>
              <w:t>31,620.3</w:t>
            </w:r>
          </w:p>
        </w:tc>
        <w:tc>
          <w:tcPr>
            <w:tcW w:w="1272" w:type="dxa"/>
            <w:shd w:val="clear" w:color="auto" w:fill="FFFFFF" w:themeFill="background1"/>
          </w:tcPr>
          <w:p w14:paraId="3A145F5C" w14:textId="77777777" w:rsidR="005F2D2B" w:rsidRPr="00FD6993"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6993">
              <w:rPr>
                <w:rFonts w:ascii="Arial" w:hAnsi="Arial" w:cs="Arial"/>
                <w:sz w:val="20"/>
                <w:szCs w:val="20"/>
              </w:rPr>
              <w:t>31,179.6</w:t>
            </w:r>
          </w:p>
        </w:tc>
        <w:tc>
          <w:tcPr>
            <w:tcW w:w="1198" w:type="dxa"/>
            <w:shd w:val="clear" w:color="auto" w:fill="FFFFFF" w:themeFill="background1"/>
          </w:tcPr>
          <w:p w14:paraId="3A9B16D4" w14:textId="77777777" w:rsidR="005F2D2B" w:rsidRPr="00FD6993"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6993">
              <w:rPr>
                <w:rFonts w:ascii="Arial" w:hAnsi="Arial" w:cs="Arial"/>
                <w:sz w:val="20"/>
                <w:szCs w:val="20"/>
              </w:rPr>
              <w:t>45,666.8</w:t>
            </w:r>
          </w:p>
        </w:tc>
        <w:tc>
          <w:tcPr>
            <w:tcW w:w="1418" w:type="dxa"/>
            <w:shd w:val="clear" w:color="auto" w:fill="FFFFFF" w:themeFill="background1"/>
          </w:tcPr>
          <w:p w14:paraId="6AC784A7" w14:textId="77777777" w:rsidR="005F2D2B" w:rsidRPr="00FD6993"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6993">
              <w:rPr>
                <w:rFonts w:ascii="Arial" w:hAnsi="Arial" w:cs="Arial"/>
                <w:sz w:val="20"/>
                <w:szCs w:val="20"/>
              </w:rPr>
              <w:t>31,000.3</w:t>
            </w:r>
          </w:p>
        </w:tc>
        <w:tc>
          <w:tcPr>
            <w:tcW w:w="1479" w:type="dxa"/>
            <w:gridSpan w:val="2"/>
            <w:shd w:val="clear" w:color="auto" w:fill="FFFFFF" w:themeFill="background1"/>
          </w:tcPr>
          <w:p w14:paraId="0338D902" w14:textId="77777777" w:rsidR="005F2D2B" w:rsidRPr="00FD6993" w:rsidRDefault="005F2D2B" w:rsidP="005F2D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6993">
              <w:rPr>
                <w:rFonts w:ascii="Arial" w:hAnsi="Arial" w:cs="Arial"/>
                <w:sz w:val="20"/>
                <w:szCs w:val="20"/>
              </w:rPr>
              <w:t>14,666.5</w:t>
            </w:r>
          </w:p>
        </w:tc>
      </w:tr>
      <w:tr w:rsidR="005F2D2B" w:rsidRPr="00FD6993" w14:paraId="0DE489E6" w14:textId="77777777" w:rsidTr="005F2D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3" w:type="dxa"/>
            <w:tcBorders>
              <w:left w:val="none" w:sz="0" w:space="0" w:color="auto"/>
              <w:bottom w:val="none" w:sz="0" w:space="0" w:color="auto"/>
            </w:tcBorders>
            <w:shd w:val="clear" w:color="auto" w:fill="FFFFFF" w:themeFill="background1"/>
          </w:tcPr>
          <w:p w14:paraId="41D91242" w14:textId="77777777" w:rsidR="005F2D2B" w:rsidRPr="00FD6993" w:rsidRDefault="005F2D2B" w:rsidP="005F2D2B">
            <w:pPr>
              <w:rPr>
                <w:rFonts w:ascii="Arial" w:hAnsi="Arial" w:cs="Arial"/>
                <w:sz w:val="20"/>
                <w:szCs w:val="20"/>
              </w:rPr>
            </w:pPr>
            <w:r w:rsidRPr="00FD6993">
              <w:rPr>
                <w:rFonts w:ascii="Arial" w:hAnsi="Arial" w:cs="Arial"/>
                <w:sz w:val="20"/>
                <w:szCs w:val="20"/>
              </w:rPr>
              <w:t>2016</w:t>
            </w:r>
          </w:p>
        </w:tc>
        <w:tc>
          <w:tcPr>
            <w:tcW w:w="1305" w:type="dxa"/>
            <w:shd w:val="clear" w:color="auto" w:fill="FFFFFF" w:themeFill="background1"/>
          </w:tcPr>
          <w:p w14:paraId="3F9E3F33" w14:textId="77777777" w:rsidR="005F2D2B" w:rsidRPr="00FD6993"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6993">
              <w:rPr>
                <w:rFonts w:ascii="Arial" w:hAnsi="Arial" w:cs="Arial"/>
                <w:sz w:val="20"/>
                <w:szCs w:val="20"/>
              </w:rPr>
              <w:t>52,925.0</w:t>
            </w:r>
          </w:p>
        </w:tc>
        <w:tc>
          <w:tcPr>
            <w:tcW w:w="1257" w:type="dxa"/>
            <w:shd w:val="clear" w:color="auto" w:fill="FFFFFF" w:themeFill="background1"/>
          </w:tcPr>
          <w:p w14:paraId="34EB5D79" w14:textId="77777777" w:rsidR="005F2D2B" w:rsidRPr="00FD6993"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6993">
              <w:rPr>
                <w:rFonts w:ascii="Arial" w:hAnsi="Arial" w:cs="Arial"/>
                <w:sz w:val="20"/>
                <w:szCs w:val="20"/>
              </w:rPr>
              <w:t>35,838.0</w:t>
            </w:r>
          </w:p>
        </w:tc>
        <w:tc>
          <w:tcPr>
            <w:tcW w:w="1272" w:type="dxa"/>
            <w:shd w:val="clear" w:color="auto" w:fill="FFFFFF" w:themeFill="background1"/>
          </w:tcPr>
          <w:p w14:paraId="446DAB8C" w14:textId="77777777" w:rsidR="005F2D2B" w:rsidRPr="00FD6993"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6993">
              <w:rPr>
                <w:rFonts w:ascii="Arial" w:hAnsi="Arial" w:cs="Arial"/>
                <w:sz w:val="20"/>
                <w:szCs w:val="20"/>
              </w:rPr>
              <w:t>31,336.6</w:t>
            </w:r>
          </w:p>
        </w:tc>
        <w:tc>
          <w:tcPr>
            <w:tcW w:w="1198" w:type="dxa"/>
            <w:shd w:val="clear" w:color="auto" w:fill="FFFFFF" w:themeFill="background1"/>
          </w:tcPr>
          <w:p w14:paraId="3E5AE35D" w14:textId="77777777" w:rsidR="005F2D2B" w:rsidRPr="00FD6993"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6993">
              <w:rPr>
                <w:rFonts w:ascii="Arial" w:hAnsi="Arial" w:cs="Arial"/>
                <w:sz w:val="20"/>
                <w:szCs w:val="20"/>
              </w:rPr>
              <w:t>48,723.0</w:t>
            </w:r>
          </w:p>
        </w:tc>
        <w:tc>
          <w:tcPr>
            <w:tcW w:w="1418" w:type="dxa"/>
            <w:shd w:val="clear" w:color="auto" w:fill="FFFFFF" w:themeFill="background1"/>
          </w:tcPr>
          <w:p w14:paraId="3FD147E4" w14:textId="77777777" w:rsidR="005F2D2B" w:rsidRPr="00FD6993"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6993">
              <w:rPr>
                <w:rFonts w:ascii="Arial" w:hAnsi="Arial" w:cs="Arial"/>
                <w:sz w:val="20"/>
                <w:szCs w:val="20"/>
              </w:rPr>
              <w:t>31,474.0</w:t>
            </w:r>
          </w:p>
        </w:tc>
        <w:tc>
          <w:tcPr>
            <w:tcW w:w="1479" w:type="dxa"/>
            <w:gridSpan w:val="2"/>
            <w:shd w:val="clear" w:color="auto" w:fill="FFFFFF" w:themeFill="background1"/>
          </w:tcPr>
          <w:p w14:paraId="5ABFDF40" w14:textId="77777777" w:rsidR="005F2D2B" w:rsidRPr="00FD6993" w:rsidRDefault="005F2D2B" w:rsidP="005F2D2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6993">
              <w:rPr>
                <w:rFonts w:ascii="Arial" w:hAnsi="Arial" w:cs="Arial"/>
                <w:sz w:val="20"/>
                <w:szCs w:val="20"/>
              </w:rPr>
              <w:t>17,249.1</w:t>
            </w:r>
          </w:p>
        </w:tc>
      </w:tr>
    </w:tbl>
    <w:p w14:paraId="138AE266" w14:textId="77777777" w:rsidR="005F2D2B" w:rsidRDefault="005F2D2B" w:rsidP="005F2D2B">
      <w:pPr>
        <w:rPr>
          <w:sz w:val="20"/>
          <w:szCs w:val="20"/>
        </w:rPr>
      </w:pPr>
      <w:r w:rsidRPr="00701D24">
        <w:rPr>
          <w:sz w:val="20"/>
          <w:szCs w:val="20"/>
        </w:rPr>
        <w:t>Source: MoF</w:t>
      </w:r>
    </w:p>
    <w:p w14:paraId="521C0C1D" w14:textId="77777777" w:rsidR="005F2D2B" w:rsidRPr="00701D24" w:rsidRDefault="005F2D2B" w:rsidP="005F2D2B">
      <w:pPr>
        <w:rPr>
          <w:sz w:val="20"/>
          <w:szCs w:val="20"/>
        </w:rPr>
      </w:pPr>
      <w:r>
        <w:rPr>
          <w:sz w:val="20"/>
          <w:szCs w:val="20"/>
        </w:rPr>
        <w:t>Note: * total financing plan in BDD.</w:t>
      </w:r>
    </w:p>
    <w:p w14:paraId="1909A30F" w14:textId="77777777" w:rsidR="005F2D2B" w:rsidRDefault="005F2D2B" w:rsidP="005F2D2B"/>
    <w:p w14:paraId="21C126DB" w14:textId="77777777" w:rsidR="005F2D2B" w:rsidRDefault="005F2D2B" w:rsidP="005F2D2B">
      <w:r>
        <w:t>This overall spending on VET was forecast in the FY2017-2020 BDD to continue to grow, despite the reduction in state budget allocation for 2017, but behind the expectations set in the BDDs for 2015 and 2016. The figure suggests that funding from VET providers will also fall back by about 10% in 2017.</w:t>
      </w:r>
    </w:p>
    <w:p w14:paraId="09FC6013" w14:textId="77777777" w:rsidR="005F2D2B" w:rsidRDefault="005F2D2B" w:rsidP="005F2D2B"/>
    <w:p w14:paraId="31FE7B71" w14:textId="77777777" w:rsidR="005F2D2B" w:rsidRPr="00EF44E4" w:rsidRDefault="005F2D2B" w:rsidP="005F2D2B">
      <w:pPr>
        <w:jc w:val="center"/>
        <w:rPr>
          <w:b/>
        </w:rPr>
      </w:pPr>
      <w:r w:rsidRPr="00EF44E4">
        <w:rPr>
          <w:b/>
        </w:rPr>
        <w:t>Table 6: VET Programme BDD 2017-2020</w:t>
      </w:r>
      <w:r>
        <w:rPr>
          <w:b/>
        </w:rPr>
        <w:t xml:space="preserve"> (GEL'000)</w:t>
      </w:r>
    </w:p>
    <w:p w14:paraId="0AD25CEB" w14:textId="77777777" w:rsidR="005F2D2B" w:rsidRDefault="005F2D2B" w:rsidP="005F2D2B"/>
    <w:tbl>
      <w:tblPr>
        <w:tblW w:w="3418" w:type="pct"/>
        <w:jc w:val="center"/>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1002"/>
        <w:gridCol w:w="1002"/>
        <w:gridCol w:w="1025"/>
        <w:gridCol w:w="1002"/>
      </w:tblGrid>
      <w:tr w:rsidR="005F2D2B" w:rsidRPr="00EF44E4" w14:paraId="200FC5E9" w14:textId="77777777" w:rsidTr="005F2D2B">
        <w:trPr>
          <w:jc w:val="center"/>
        </w:trPr>
        <w:tc>
          <w:tcPr>
            <w:tcW w:w="1830" w:type="pct"/>
            <w:tcBorders>
              <w:top w:val="single" w:sz="4" w:space="0" w:color="auto"/>
              <w:left w:val="single" w:sz="4" w:space="0" w:color="auto"/>
              <w:bottom w:val="single" w:sz="4" w:space="0" w:color="auto"/>
              <w:right w:val="single" w:sz="4" w:space="0" w:color="auto"/>
            </w:tcBorders>
            <w:vAlign w:val="center"/>
          </w:tcPr>
          <w:p w14:paraId="4343660F" w14:textId="77777777" w:rsidR="005F2D2B" w:rsidRPr="00EF44E4" w:rsidRDefault="005F2D2B" w:rsidP="005F2D2B">
            <w:pPr>
              <w:spacing w:line="276" w:lineRule="auto"/>
              <w:jc w:val="center"/>
              <w:rPr>
                <w:rFonts w:eastAsia="Sylfaen"/>
                <w:b/>
                <w:sz w:val="20"/>
                <w:szCs w:val="20"/>
              </w:rPr>
            </w:pPr>
          </w:p>
        </w:tc>
        <w:tc>
          <w:tcPr>
            <w:tcW w:w="788" w:type="pct"/>
            <w:tcBorders>
              <w:top w:val="single" w:sz="4" w:space="0" w:color="auto"/>
              <w:left w:val="single" w:sz="4" w:space="0" w:color="auto"/>
              <w:bottom w:val="single" w:sz="4" w:space="0" w:color="auto"/>
              <w:right w:val="single" w:sz="4" w:space="0" w:color="auto"/>
            </w:tcBorders>
            <w:vAlign w:val="center"/>
          </w:tcPr>
          <w:p w14:paraId="0BAF1A41" w14:textId="77777777" w:rsidR="005F2D2B" w:rsidRPr="00EF44E4" w:rsidRDefault="005F2D2B" w:rsidP="005F2D2B">
            <w:pPr>
              <w:jc w:val="center"/>
              <w:rPr>
                <w:b/>
                <w:sz w:val="20"/>
                <w:szCs w:val="20"/>
              </w:rPr>
            </w:pPr>
            <w:r w:rsidRPr="00EF44E4">
              <w:rPr>
                <w:b/>
                <w:sz w:val="20"/>
                <w:szCs w:val="20"/>
              </w:rPr>
              <w:t>2017</w:t>
            </w:r>
          </w:p>
        </w:tc>
        <w:tc>
          <w:tcPr>
            <w:tcW w:w="788" w:type="pct"/>
            <w:tcBorders>
              <w:top w:val="single" w:sz="4" w:space="0" w:color="auto"/>
              <w:left w:val="single" w:sz="4" w:space="0" w:color="auto"/>
              <w:bottom w:val="single" w:sz="4" w:space="0" w:color="auto"/>
              <w:right w:val="single" w:sz="4" w:space="0" w:color="auto"/>
            </w:tcBorders>
            <w:vAlign w:val="center"/>
          </w:tcPr>
          <w:p w14:paraId="578EEA0E" w14:textId="77777777" w:rsidR="005F2D2B" w:rsidRPr="00EF44E4" w:rsidRDefault="005F2D2B" w:rsidP="005F2D2B">
            <w:pPr>
              <w:jc w:val="center"/>
              <w:rPr>
                <w:b/>
                <w:sz w:val="20"/>
                <w:szCs w:val="20"/>
              </w:rPr>
            </w:pPr>
            <w:r w:rsidRPr="00EF44E4">
              <w:rPr>
                <w:b/>
                <w:sz w:val="20"/>
                <w:szCs w:val="20"/>
              </w:rPr>
              <w:t>2018</w:t>
            </w:r>
          </w:p>
        </w:tc>
        <w:tc>
          <w:tcPr>
            <w:tcW w:w="806" w:type="pct"/>
            <w:tcBorders>
              <w:top w:val="single" w:sz="4" w:space="0" w:color="auto"/>
              <w:left w:val="single" w:sz="4" w:space="0" w:color="auto"/>
              <w:bottom w:val="single" w:sz="4" w:space="0" w:color="auto"/>
              <w:right w:val="single" w:sz="4" w:space="0" w:color="auto"/>
            </w:tcBorders>
            <w:vAlign w:val="center"/>
          </w:tcPr>
          <w:p w14:paraId="20B60F01" w14:textId="77777777" w:rsidR="005F2D2B" w:rsidRPr="00EF44E4" w:rsidRDefault="005F2D2B" w:rsidP="005F2D2B">
            <w:pPr>
              <w:jc w:val="center"/>
              <w:rPr>
                <w:b/>
                <w:sz w:val="20"/>
                <w:szCs w:val="20"/>
              </w:rPr>
            </w:pPr>
            <w:r w:rsidRPr="00EF44E4">
              <w:rPr>
                <w:b/>
                <w:sz w:val="20"/>
                <w:szCs w:val="20"/>
              </w:rPr>
              <w:t>2019</w:t>
            </w:r>
          </w:p>
        </w:tc>
        <w:tc>
          <w:tcPr>
            <w:tcW w:w="788" w:type="pct"/>
            <w:tcBorders>
              <w:top w:val="single" w:sz="4" w:space="0" w:color="auto"/>
              <w:left w:val="single" w:sz="4" w:space="0" w:color="auto"/>
              <w:bottom w:val="single" w:sz="4" w:space="0" w:color="auto"/>
              <w:right w:val="single" w:sz="4" w:space="0" w:color="auto"/>
            </w:tcBorders>
            <w:vAlign w:val="center"/>
          </w:tcPr>
          <w:p w14:paraId="036A4CC5" w14:textId="77777777" w:rsidR="005F2D2B" w:rsidRPr="00EF44E4" w:rsidRDefault="005F2D2B" w:rsidP="005F2D2B">
            <w:pPr>
              <w:jc w:val="center"/>
              <w:rPr>
                <w:b/>
                <w:sz w:val="20"/>
                <w:szCs w:val="20"/>
              </w:rPr>
            </w:pPr>
            <w:r w:rsidRPr="00EF44E4">
              <w:rPr>
                <w:b/>
                <w:sz w:val="20"/>
                <w:szCs w:val="20"/>
              </w:rPr>
              <w:t>2020</w:t>
            </w:r>
          </w:p>
        </w:tc>
      </w:tr>
      <w:tr w:rsidR="005F2D2B" w:rsidRPr="00EF44E4" w14:paraId="7ECF271E" w14:textId="77777777" w:rsidTr="005F2D2B">
        <w:trPr>
          <w:jc w:val="center"/>
        </w:trPr>
        <w:tc>
          <w:tcPr>
            <w:tcW w:w="1830" w:type="pct"/>
            <w:tcBorders>
              <w:top w:val="single" w:sz="4" w:space="0" w:color="auto"/>
              <w:left w:val="single" w:sz="4" w:space="0" w:color="auto"/>
              <w:bottom w:val="single" w:sz="4" w:space="0" w:color="auto"/>
              <w:right w:val="single" w:sz="4" w:space="0" w:color="auto"/>
            </w:tcBorders>
            <w:vAlign w:val="center"/>
            <w:hideMark/>
          </w:tcPr>
          <w:p w14:paraId="182832CB" w14:textId="77777777" w:rsidR="005F2D2B" w:rsidRPr="00EF44E4" w:rsidRDefault="005F2D2B" w:rsidP="005F2D2B">
            <w:pPr>
              <w:spacing w:line="276" w:lineRule="auto"/>
              <w:rPr>
                <w:rFonts w:eastAsia="Sylfaen"/>
                <w:b/>
                <w:sz w:val="20"/>
                <w:szCs w:val="20"/>
              </w:rPr>
            </w:pPr>
            <w:r w:rsidRPr="00EF44E4">
              <w:rPr>
                <w:rFonts w:eastAsia="Sylfaen"/>
                <w:b/>
                <w:sz w:val="20"/>
                <w:szCs w:val="20"/>
              </w:rPr>
              <w:t xml:space="preserve">Vocational Education </w:t>
            </w:r>
          </w:p>
        </w:tc>
        <w:tc>
          <w:tcPr>
            <w:tcW w:w="788" w:type="pct"/>
            <w:tcBorders>
              <w:top w:val="single" w:sz="4" w:space="0" w:color="auto"/>
              <w:left w:val="single" w:sz="4" w:space="0" w:color="auto"/>
              <w:bottom w:val="single" w:sz="4" w:space="0" w:color="auto"/>
              <w:right w:val="single" w:sz="4" w:space="0" w:color="auto"/>
            </w:tcBorders>
            <w:vAlign w:val="center"/>
            <w:hideMark/>
          </w:tcPr>
          <w:p w14:paraId="59316398" w14:textId="77777777" w:rsidR="005F2D2B" w:rsidRPr="00EF44E4" w:rsidRDefault="005F2D2B" w:rsidP="005F2D2B">
            <w:pPr>
              <w:jc w:val="right"/>
              <w:rPr>
                <w:sz w:val="20"/>
                <w:szCs w:val="20"/>
              </w:rPr>
            </w:pPr>
            <w:r w:rsidRPr="00EF44E4">
              <w:rPr>
                <w:sz w:val="20"/>
                <w:szCs w:val="20"/>
              </w:rPr>
              <w:t>44,909.0</w:t>
            </w:r>
          </w:p>
        </w:tc>
        <w:tc>
          <w:tcPr>
            <w:tcW w:w="788" w:type="pct"/>
            <w:tcBorders>
              <w:top w:val="single" w:sz="4" w:space="0" w:color="auto"/>
              <w:left w:val="single" w:sz="4" w:space="0" w:color="auto"/>
              <w:bottom w:val="single" w:sz="4" w:space="0" w:color="auto"/>
              <w:right w:val="single" w:sz="4" w:space="0" w:color="auto"/>
            </w:tcBorders>
            <w:vAlign w:val="center"/>
            <w:hideMark/>
          </w:tcPr>
          <w:p w14:paraId="56C6B3DB" w14:textId="77777777" w:rsidR="005F2D2B" w:rsidRPr="00EF44E4" w:rsidRDefault="005F2D2B" w:rsidP="005F2D2B">
            <w:pPr>
              <w:jc w:val="right"/>
              <w:rPr>
                <w:sz w:val="20"/>
                <w:szCs w:val="20"/>
              </w:rPr>
            </w:pPr>
            <w:r w:rsidRPr="00EF44E4">
              <w:rPr>
                <w:sz w:val="20"/>
                <w:szCs w:val="20"/>
              </w:rPr>
              <w:t>50,000.0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1FEEB925" w14:textId="77777777" w:rsidR="005F2D2B" w:rsidRPr="00EF44E4" w:rsidRDefault="005F2D2B" w:rsidP="005F2D2B">
            <w:pPr>
              <w:jc w:val="right"/>
              <w:rPr>
                <w:sz w:val="20"/>
                <w:szCs w:val="20"/>
              </w:rPr>
            </w:pPr>
            <w:r w:rsidRPr="00EF44E4">
              <w:rPr>
                <w:sz w:val="20"/>
                <w:szCs w:val="20"/>
              </w:rPr>
              <w:t>53,000.0</w:t>
            </w:r>
          </w:p>
        </w:tc>
        <w:tc>
          <w:tcPr>
            <w:tcW w:w="788" w:type="pct"/>
            <w:tcBorders>
              <w:top w:val="single" w:sz="4" w:space="0" w:color="auto"/>
              <w:left w:val="single" w:sz="4" w:space="0" w:color="auto"/>
              <w:bottom w:val="single" w:sz="4" w:space="0" w:color="auto"/>
              <w:right w:val="single" w:sz="4" w:space="0" w:color="auto"/>
            </w:tcBorders>
            <w:vAlign w:val="center"/>
            <w:hideMark/>
          </w:tcPr>
          <w:p w14:paraId="24417917" w14:textId="77777777" w:rsidR="005F2D2B" w:rsidRPr="00EF44E4" w:rsidRDefault="005F2D2B" w:rsidP="005F2D2B">
            <w:pPr>
              <w:jc w:val="right"/>
              <w:rPr>
                <w:sz w:val="20"/>
                <w:szCs w:val="20"/>
              </w:rPr>
            </w:pPr>
            <w:r w:rsidRPr="00EF44E4">
              <w:rPr>
                <w:sz w:val="20"/>
                <w:szCs w:val="20"/>
              </w:rPr>
              <w:t>55,000.0</w:t>
            </w:r>
          </w:p>
        </w:tc>
      </w:tr>
    </w:tbl>
    <w:p w14:paraId="6C1C99D7" w14:textId="77777777" w:rsidR="005F2D2B" w:rsidRDefault="005F2D2B" w:rsidP="005F2D2B">
      <w:pPr>
        <w:ind w:left="1418"/>
        <w:rPr>
          <w:sz w:val="20"/>
          <w:szCs w:val="20"/>
        </w:rPr>
      </w:pPr>
      <w:r w:rsidRPr="00701D24">
        <w:rPr>
          <w:sz w:val="20"/>
          <w:szCs w:val="20"/>
        </w:rPr>
        <w:t>Source: MoF</w:t>
      </w:r>
      <w:r>
        <w:rPr>
          <w:sz w:val="20"/>
          <w:szCs w:val="20"/>
        </w:rPr>
        <w:t>/BDD FY2017-2020</w:t>
      </w:r>
    </w:p>
    <w:p w14:paraId="2046B555" w14:textId="77777777" w:rsidR="005F2D2B" w:rsidRDefault="005F2D2B" w:rsidP="005F2D2B"/>
    <w:p w14:paraId="70573D1D" w14:textId="53A74AD4" w:rsidR="005F2D2B" w:rsidRDefault="005F2D2B" w:rsidP="005F2D2B">
      <w:pPr>
        <w:rPr>
          <w:i/>
        </w:rPr>
      </w:pPr>
      <w:r>
        <w:t xml:space="preserve">The BDD emphasises the implementation of the </w:t>
      </w:r>
      <w:r w:rsidRPr="00B4254B">
        <w:rPr>
          <w:i/>
        </w:rPr>
        <w:t>'dual or work-based learning approach...by means of public private partnership</w:t>
      </w:r>
      <w:r>
        <w:t xml:space="preserve">', jointly delivered by </w:t>
      </w:r>
      <w:r w:rsidRPr="004D0845">
        <w:t>teacher</w:t>
      </w:r>
      <w:r>
        <w:t>s</w:t>
      </w:r>
      <w:r w:rsidRPr="004D0845">
        <w:t xml:space="preserve"> and employer</w:t>
      </w:r>
      <w:r>
        <w:t>s</w:t>
      </w:r>
      <w:r w:rsidRPr="004D0845">
        <w:t xml:space="preserve">. </w:t>
      </w:r>
      <w:r>
        <w:t>VET '</w:t>
      </w:r>
      <w:r w:rsidRPr="009D5BEE">
        <w:rPr>
          <w:i/>
        </w:rPr>
        <w:t>will be focussed on the educational needs of adolescents as well as adults'</w:t>
      </w:r>
      <w:r>
        <w:t xml:space="preserve">. Expansion of modular teaching is to provide full modular programmes for youngsters and individual modules for </w:t>
      </w:r>
      <w:r>
        <w:lastRenderedPageBreak/>
        <w:t>adults. '</w:t>
      </w:r>
      <w:r w:rsidRPr="009D5BEE">
        <w:rPr>
          <w:i/>
        </w:rPr>
        <w:t>Education for adults will be developed in cooperation with the private sector</w:t>
      </w:r>
      <w:r>
        <w:t xml:space="preserve">.' The state is to define VET priorities based on the labour market survey, ensuring the engagement of employers </w:t>
      </w:r>
      <w:r w:rsidRPr="009D5BEE">
        <w:rPr>
          <w:i/>
        </w:rPr>
        <w:t>'in elaboration and implementation of vocational programmes as well as in the process of selection and assessment of the students</w:t>
      </w:r>
      <w:r>
        <w:t xml:space="preserve">'. The BDD makes reference to $16mn under the </w:t>
      </w:r>
      <w:r w:rsidRPr="004D0845">
        <w:t>Millennium Challenge Second Compact</w:t>
      </w:r>
      <w:r>
        <w:t xml:space="preserve"> over </w:t>
      </w:r>
      <w:r w:rsidRPr="004D0845">
        <w:t>2016</w:t>
      </w:r>
      <w:r>
        <w:t>-</w:t>
      </w:r>
      <w:r w:rsidRPr="004D0845">
        <w:t>2019</w:t>
      </w:r>
      <w:r>
        <w:t xml:space="preserve"> to </w:t>
      </w:r>
      <w:r w:rsidRPr="004D0845">
        <w:t xml:space="preserve">be </w:t>
      </w:r>
      <w:r w:rsidRPr="00436AE1">
        <w:rPr>
          <w:i/>
        </w:rPr>
        <w:t>'allocated for implementation of new curricula for vocational education</w:t>
      </w:r>
      <w:r w:rsidRPr="00436AE1">
        <w:rPr>
          <w:b/>
          <w:i/>
        </w:rPr>
        <w:t xml:space="preserve"> </w:t>
      </w:r>
      <w:r w:rsidRPr="00436AE1">
        <w:rPr>
          <w:i/>
        </w:rPr>
        <w:t>in accordance with international labour market standards</w:t>
      </w:r>
      <w:r>
        <w:t>', and to continuing cooperation with the EU in capacity building and the implementation of lifelong learning integrating education and employment</w:t>
      </w:r>
      <w:r w:rsidRPr="004D0845">
        <w:t xml:space="preserve">. </w:t>
      </w:r>
    </w:p>
    <w:p w14:paraId="1E7C15F8" w14:textId="77777777" w:rsidR="005F2D2B" w:rsidRDefault="005F2D2B" w:rsidP="003B168D">
      <w:pPr>
        <w:rPr>
          <w:i/>
        </w:rPr>
      </w:pPr>
    </w:p>
    <w:p w14:paraId="2FCD3366" w14:textId="38C918CA" w:rsidR="00031598" w:rsidRPr="00FF43C6" w:rsidRDefault="00FF43C6" w:rsidP="003B168D">
      <w:r w:rsidRPr="00FF43C6">
        <w:t xml:space="preserve">The task of realizing the Strategy's objectives is immense, and will of necessity not be achieved in the short, or even fully in the medium term. However, the intervention logic of the Strategy and Action plan is sound, and </w:t>
      </w:r>
      <w:r>
        <w:t>the results of activities will contribute towards achievement of the objectives, though further activities and investment will be necessary over the longer term. T</w:t>
      </w:r>
      <w:r w:rsidRPr="00FF43C6">
        <w:t>o date the Government has shown itself willing, within the macroeconomic and fiscal realities of the country, to devote the human and financial resources required</w:t>
      </w:r>
      <w:r w:rsidR="009B5141">
        <w:t xml:space="preserve"> to implement the Strategy</w:t>
      </w:r>
      <w:r w:rsidR="008B6897">
        <w:t xml:space="preserve"> (although there remains the need to further strengthen institutional capacity)</w:t>
      </w:r>
      <w:r w:rsidR="009B5141">
        <w:t xml:space="preserve">. Despite macroeconomic difficulties and fiscal constraints, implementation of the Strategy has not been noticeably restricted by lack of funds </w:t>
      </w:r>
      <w:r w:rsidRPr="00FF43C6">
        <w:t>.</w:t>
      </w:r>
      <w:r>
        <w:t xml:space="preserve"> Indeed, recent years have seen a major expansion of VET facilities, programmes and teachers, plus significant efforts to address issues of quality and access and the need to cater to different target groups in different ways.</w:t>
      </w:r>
      <w:r w:rsidR="009B5141">
        <w:t xml:space="preserve"> There are needs to improve data collection and analysis to support strategic policy development, as is evident in the assessment of some Fourth Instalment Indicators presented below, but steps towards this are in hand. Further, despite the aspirations of the Strategy, Government recognizes that the time for achievement of objectives will extend well beyond the current Strategy timeframe, and there is already discussion among stakeholders of the extension of the Strategy beyond 2020.</w:t>
      </w:r>
    </w:p>
    <w:p w14:paraId="7976D6C0" w14:textId="77777777" w:rsidR="00FF43C6" w:rsidRPr="00FF43C6" w:rsidRDefault="00FF43C6" w:rsidP="003B168D"/>
    <w:p w14:paraId="2CAF9065" w14:textId="047F16E4" w:rsidR="00BF79D7" w:rsidRDefault="008B6897" w:rsidP="008B6897">
      <w:r w:rsidRPr="008B6897">
        <w:t>While there are problems, and have been delays, in implementation, criticism about implementation centres on technical details more than the broader direction of policy, and the Review finds no reason to question whether sufficient progress has been achieved to meet the need for compliance with the General Condition.</w:t>
      </w:r>
    </w:p>
    <w:p w14:paraId="1A9DE8AB" w14:textId="77777777" w:rsidR="008B6897" w:rsidRPr="00C15503" w:rsidRDefault="008B6897" w:rsidP="008B6897"/>
    <w:p w14:paraId="103C88F0" w14:textId="77777777" w:rsidR="00FD2EA3" w:rsidRPr="00C15503" w:rsidRDefault="00FD2EA3" w:rsidP="009E3730">
      <w:pPr>
        <w:pStyle w:val="Heading3"/>
        <w:widowControl w:val="0"/>
        <w:suppressAutoHyphens/>
      </w:pPr>
      <w:bookmarkStart w:id="29" w:name="_Toc456280456"/>
      <w:bookmarkStart w:id="30" w:name="_Toc486837756"/>
      <w:r w:rsidRPr="00C15503">
        <w:t>iii)</w:t>
      </w:r>
      <w:r w:rsidRPr="00C15503">
        <w:tab/>
        <w:t>EVET Council</w:t>
      </w:r>
      <w:bookmarkEnd w:id="29"/>
      <w:bookmarkEnd w:id="30"/>
    </w:p>
    <w:p w14:paraId="7D5E0EB0" w14:textId="77777777" w:rsidR="00FD2EA3" w:rsidRPr="00C15503" w:rsidRDefault="00FD2EA3" w:rsidP="009E3730">
      <w:pPr>
        <w:widowControl w:val="0"/>
        <w:suppressAutoHyphens/>
      </w:pPr>
    </w:p>
    <w:p w14:paraId="1C667C49" w14:textId="77777777" w:rsidR="00FD2EA3" w:rsidRDefault="00FD2EA3" w:rsidP="009E3730">
      <w:pPr>
        <w:widowControl w:val="0"/>
        <w:tabs>
          <w:tab w:val="left" w:pos="298"/>
        </w:tabs>
        <w:suppressAutoHyphens/>
        <w:spacing w:before="20" w:after="20" w:line="276" w:lineRule="auto"/>
        <w:rPr>
          <w:i/>
          <w:iCs/>
        </w:rPr>
      </w:pPr>
      <w:r w:rsidRPr="00F278A9">
        <w:rPr>
          <w:b/>
          <w:iCs/>
          <w:u w:val="single"/>
        </w:rPr>
        <w:t>Indicator 3</w:t>
      </w:r>
      <w:r w:rsidRPr="00F278A9">
        <w:rPr>
          <w:b/>
          <w:iCs/>
        </w:rPr>
        <w:t>:</w:t>
      </w:r>
      <w:r>
        <w:rPr>
          <w:i/>
          <w:iCs/>
        </w:rPr>
        <w:t xml:space="preserve"> Employment-VET Coordination Council established to steer the present programme and meets at least quarterly to monitor strategy implementation.</w:t>
      </w:r>
    </w:p>
    <w:p w14:paraId="22BACA39" w14:textId="77777777" w:rsidR="00FD2EA3" w:rsidRDefault="00FD2EA3" w:rsidP="009E3730">
      <w:pPr>
        <w:widowControl w:val="0"/>
        <w:suppressAutoHyphens/>
      </w:pPr>
    </w:p>
    <w:p w14:paraId="72ECAE0B" w14:textId="77777777" w:rsidR="00FD2EA3" w:rsidRDefault="00FD2EA3" w:rsidP="009E3730">
      <w:pPr>
        <w:widowControl w:val="0"/>
        <w:suppressAutoHyphens/>
        <w:rPr>
          <w:i/>
          <w:iCs/>
        </w:rPr>
      </w:pPr>
      <w:r>
        <w:rPr>
          <w:i/>
          <w:iCs/>
        </w:rPr>
        <w:t>Source of Verification:</w:t>
      </w:r>
    </w:p>
    <w:p w14:paraId="7CDDC4D1" w14:textId="77777777" w:rsidR="00FD2EA3" w:rsidRDefault="00FD2EA3" w:rsidP="007C295F">
      <w:pPr>
        <w:widowControl w:val="0"/>
        <w:numPr>
          <w:ilvl w:val="0"/>
          <w:numId w:val="23"/>
        </w:numPr>
        <w:suppressAutoHyphens/>
        <w:rPr>
          <w:i/>
          <w:iCs/>
        </w:rPr>
      </w:pPr>
      <w:r>
        <w:rPr>
          <w:i/>
          <w:iCs/>
          <w:lang w:eastAsia="en-GB"/>
        </w:rPr>
        <w:t>Minutes of Employment-VET Coordination Council</w:t>
      </w:r>
    </w:p>
    <w:p w14:paraId="62D48A9F" w14:textId="77777777" w:rsidR="00FD2EA3" w:rsidRDefault="00FD2EA3" w:rsidP="007C295F">
      <w:pPr>
        <w:widowControl w:val="0"/>
        <w:numPr>
          <w:ilvl w:val="0"/>
          <w:numId w:val="23"/>
        </w:numPr>
        <w:suppressAutoHyphens/>
        <w:rPr>
          <w:i/>
          <w:iCs/>
        </w:rPr>
      </w:pPr>
      <w:r>
        <w:rPr>
          <w:i/>
          <w:iCs/>
          <w:lang w:eastAsia="en-GB"/>
        </w:rPr>
        <w:t>Annual reports VET- Employment Council</w:t>
      </w:r>
    </w:p>
    <w:p w14:paraId="0ED6E9FB" w14:textId="77777777" w:rsidR="00FD2EA3" w:rsidRDefault="00FD2EA3" w:rsidP="009E3730">
      <w:pPr>
        <w:widowControl w:val="0"/>
        <w:suppressAutoHyphens/>
      </w:pPr>
    </w:p>
    <w:p w14:paraId="65DAEB18" w14:textId="77777777" w:rsidR="00FD2EA3" w:rsidRDefault="00FD2EA3" w:rsidP="009E3730">
      <w:pPr>
        <w:widowControl w:val="0"/>
        <w:suppressAutoHyphens/>
        <w:rPr>
          <w:b/>
          <w:bCs/>
        </w:rPr>
      </w:pPr>
      <w:r w:rsidRPr="00721309">
        <w:rPr>
          <w:b/>
          <w:bCs/>
          <w:u w:val="single"/>
        </w:rPr>
        <w:t>Review Assessment</w:t>
      </w:r>
      <w:r>
        <w:rPr>
          <w:b/>
          <w:bCs/>
        </w:rPr>
        <w:t xml:space="preserve">: </w:t>
      </w:r>
      <w:r w:rsidRPr="00F278A9">
        <w:rPr>
          <w:b/>
          <w:bCs/>
          <w:u w:val="single"/>
        </w:rPr>
        <w:t>fulfilled</w:t>
      </w:r>
      <w:r>
        <w:rPr>
          <w:b/>
          <w:bCs/>
        </w:rPr>
        <w:t>.</w:t>
      </w:r>
    </w:p>
    <w:p w14:paraId="1A79D84E" w14:textId="77777777" w:rsidR="00FD2EA3" w:rsidRDefault="00FD2EA3" w:rsidP="009E3730">
      <w:pPr>
        <w:widowControl w:val="0"/>
        <w:suppressAutoHyphens/>
      </w:pPr>
    </w:p>
    <w:p w14:paraId="4F6BE0FB" w14:textId="77777777" w:rsidR="00FD2EA3" w:rsidRPr="005153DF" w:rsidRDefault="00FD2EA3" w:rsidP="009E3730">
      <w:pPr>
        <w:widowControl w:val="0"/>
        <w:suppressAutoHyphens/>
      </w:pPr>
      <w:r w:rsidRPr="005153DF">
        <w:t xml:space="preserve">The establishment of an EVET Coordination Council under joint chairmanship of MoLHSA and MOES, as referred to in Section 2.3.1 of the TAPs (Annex II of the FA), was specified in the FA as a pre-condition for the AAP2013 EVET Programme. The Council, which is essentially the Steering Committee for the EU Programme, was established on March 17th 2014 by MoES Order N261. </w:t>
      </w:r>
    </w:p>
    <w:p w14:paraId="78A2E34F" w14:textId="77777777" w:rsidR="00FD2EA3" w:rsidRPr="005153DF" w:rsidRDefault="00FD2EA3" w:rsidP="009E3730">
      <w:pPr>
        <w:widowControl w:val="0"/>
        <w:suppressAutoHyphens/>
      </w:pPr>
    </w:p>
    <w:p w14:paraId="1BF73DA5" w14:textId="77777777" w:rsidR="00FD2EA3" w:rsidRPr="005153DF" w:rsidRDefault="00FD2EA3" w:rsidP="009E3730">
      <w:pPr>
        <w:widowControl w:val="0"/>
        <w:suppressAutoHyphens/>
        <w:rPr>
          <w:lang w:val="en-US"/>
        </w:rPr>
      </w:pPr>
      <w:r w:rsidRPr="005153DF">
        <w:t>The Order states that Council Members are to include deputy ministers from eight ministries (MoES, MoLHSA, MoF, MoSYA, Ministry of Agriculture, Ministry of Regional Development and Infrastructure, Ministry of Economy and Sustainable Development, Ministry of European and Euro-Atlantic Integration), representatives from three Government Agencies (NCEQE, NCTPD, SSA), a representative from EUD, and representatives from six non-</w:t>
      </w:r>
      <w:r w:rsidRPr="005153DF">
        <w:lastRenderedPageBreak/>
        <w:t>governmental/civil society organisations (the</w:t>
      </w:r>
      <w:r w:rsidRPr="005153DF">
        <w:rPr>
          <w:lang w:val="en-US"/>
        </w:rPr>
        <w:t xml:space="preserve"> Adult Education Association of Georgia, the Georgian Trade Union Confederation, the Georgian Small and Medium Enterprises Association, the Georgian Business Association, the Association Management Centre, and the Georgian Young Economists Association), only one of whom is a representative of employees. One of these non-governmental members (the Adult Education Association) was also designated as representative of NVETC in the Order but this was </w:t>
      </w:r>
      <w:r w:rsidRPr="005153DF">
        <w:t>subsequently amended as t</w:t>
      </w:r>
      <w:r w:rsidRPr="005153DF">
        <w:rPr>
          <w:lang w:val="en-US"/>
        </w:rPr>
        <w:t xml:space="preserve">he Adult Education Association declined to be a member of either the NVETC or the EVET Council. At a re-election on the 30th of June 2014, the Georgian Employers' Association took over as NVETC representative on the EVET Council. Observer status was afforded, under the March 2014 Order, to representatives of other donor agencies involved in VET development in Georgia, including specifically UNDP, IOM, GIZ, and the Millennium Challenge Corporation. </w:t>
      </w:r>
    </w:p>
    <w:p w14:paraId="7704A4CD" w14:textId="77777777" w:rsidR="00FD2EA3" w:rsidRPr="005153DF" w:rsidRDefault="00FD2EA3" w:rsidP="009E3730">
      <w:pPr>
        <w:widowControl w:val="0"/>
        <w:suppressAutoHyphens/>
        <w:rPr>
          <w:lang w:val="en-US"/>
        </w:rPr>
      </w:pPr>
    </w:p>
    <w:p w14:paraId="08333FB7" w14:textId="77777777" w:rsidR="00FD2EA3" w:rsidRPr="00F278A9" w:rsidRDefault="00FD2EA3" w:rsidP="009E3730">
      <w:pPr>
        <w:widowControl w:val="0"/>
        <w:suppressAutoHyphens/>
        <w:rPr>
          <w:highlight w:val="green"/>
        </w:rPr>
      </w:pPr>
      <w:r w:rsidRPr="005153DF">
        <w:t>Working Groups covering 'Labour Market Research and the Labour Market Information System' and '</w:t>
      </w:r>
      <w:r w:rsidRPr="005153DF">
        <w:rPr>
          <w:szCs w:val="28"/>
        </w:rPr>
        <w:t>Career Planning and Consulting of those Wishing to Obtain Vocational Education' were subsequently established under the EVET Coordination Council. As with the Council, membership of the working groups comprises mainly representatives of Government agencies (including relevant specialised agencies) plus one from each of the Georgian Employers' Association and Georgian Trade Union Confederation, with EUD, IoM etc. as appropriate.</w:t>
      </w:r>
    </w:p>
    <w:p w14:paraId="3120110B" w14:textId="77777777" w:rsidR="00FD2EA3" w:rsidRDefault="00FD2EA3" w:rsidP="009E3730">
      <w:pPr>
        <w:widowControl w:val="0"/>
        <w:suppressAutoHyphens/>
        <w:rPr>
          <w:highlight w:val="green"/>
        </w:rPr>
      </w:pPr>
    </w:p>
    <w:p w14:paraId="363AAA5D" w14:textId="64B4FF1E" w:rsidR="00FD2EA3" w:rsidRPr="00386BA8" w:rsidRDefault="00FD2EA3" w:rsidP="009E3730">
      <w:pPr>
        <w:widowControl w:val="0"/>
        <w:suppressAutoHyphens/>
      </w:pPr>
      <w:r w:rsidRPr="00386BA8">
        <w:t xml:space="preserve">According to the TAPs and the General Condition, the Council is required to meet at least quarterly, and the sources of verification call for an annual report on the Council's activities. Over 2014, the Council met once each quarter in March, June, October, and December. In 2015, although it met four times, the Council did not meet quarterly. After meetings in March (31st) and June (29th), the Council did not meet again until December, when it met twice (the 9th and 28th). </w:t>
      </w:r>
      <w:r w:rsidR="00A87AC1">
        <w:t xml:space="preserve">In 2016, the Council also met four times, but again not on a quarterly pattern. Meetings were held in March (March 31st) and three times in December (December </w:t>
      </w:r>
      <w:r w:rsidR="00316CBE">
        <w:t xml:space="preserve">7th, </w:t>
      </w:r>
      <w:r w:rsidR="00A87AC1">
        <w:t xml:space="preserve">22nd, and 28th). </w:t>
      </w:r>
      <w:r w:rsidR="00316CBE">
        <w:t>The working groups, however, continued to meet throughout the year. There were also other meetings during the year that involved many of the EVET Council members, but there were issues arising from changes in ministers, both during the year and after the October elections that made formal Council meetings difficult</w:t>
      </w:r>
      <w:r w:rsidR="00947FE4">
        <w:t>. The replacement of the Minister of MoES in June 2016 necessitated a new Order by the new minister to confirm Council membership (</w:t>
      </w:r>
      <w:r w:rsidR="0013368E">
        <w:t xml:space="preserve">MoES </w:t>
      </w:r>
      <w:r w:rsidR="00947FE4">
        <w:t xml:space="preserve">Order </w:t>
      </w:r>
      <w:r w:rsidR="0013368E">
        <w:t>No.</w:t>
      </w:r>
      <w:r w:rsidR="00947FE4">
        <w:t>524 of 30th June 2016)</w:t>
      </w:r>
      <w:r w:rsidR="0013368E">
        <w:t xml:space="preserve">, while a similar uncertainty arose because of resignation of ministers and deputy ministers some weeks before the election so that they could stand as Members of Parliament, and after the election while new ministers were appointed (MoES Order No.954 of 20th December 2016). </w:t>
      </w:r>
      <w:r w:rsidR="00316CBE">
        <w:t>The same was true of the NVETC, the composition of which includes many of the members of the EVETC. While greater frequency and regularity of meetings is desirable, there is little evidence t</w:t>
      </w:r>
      <w:r w:rsidR="00083BF0">
        <w:t>o</w:t>
      </w:r>
      <w:r w:rsidR="00316CBE">
        <w:t xml:space="preserve"> suggest </w:t>
      </w:r>
      <w:r w:rsidR="00083BF0">
        <w:t xml:space="preserve">that </w:t>
      </w:r>
      <w:r w:rsidR="00316CBE">
        <w:t>the irregularity of meetings has seriously affected the performance of activities under the EU Programme, or the two sector strategies</w:t>
      </w:r>
      <w:r w:rsidR="00083BF0">
        <w:t>.</w:t>
      </w:r>
      <w:r w:rsidR="00316CBE">
        <w:t xml:space="preserve"> </w:t>
      </w:r>
      <w:r w:rsidR="00083BF0">
        <w:t>T</w:t>
      </w:r>
      <w:r w:rsidRPr="00386BA8">
        <w:t>he Review</w:t>
      </w:r>
      <w:r w:rsidR="00083BF0">
        <w:t>, therefore,</w:t>
      </w:r>
      <w:r w:rsidRPr="00386BA8">
        <w:t xml:space="preserve"> does not consider this a significant enough deficiency for the General Condition to be considered as unfulfilled. </w:t>
      </w:r>
    </w:p>
    <w:p w14:paraId="03A683B0" w14:textId="77777777" w:rsidR="00FD2EA3" w:rsidRPr="00386BA8" w:rsidRDefault="00FD2EA3" w:rsidP="009E3730">
      <w:pPr>
        <w:widowControl w:val="0"/>
        <w:suppressAutoHyphens/>
      </w:pPr>
    </w:p>
    <w:p w14:paraId="26169882" w14:textId="66EF691F" w:rsidR="00FD2EA3" w:rsidRPr="00F278A9" w:rsidRDefault="00FD2EA3" w:rsidP="009E3730">
      <w:pPr>
        <w:widowControl w:val="0"/>
        <w:suppressAutoHyphens/>
        <w:rPr>
          <w:highlight w:val="green"/>
        </w:rPr>
      </w:pPr>
      <w:r w:rsidRPr="00386BA8">
        <w:t xml:space="preserve">Minutes are available for each of the meetings. </w:t>
      </w:r>
      <w:r w:rsidR="00083BF0">
        <w:t>A separate</w:t>
      </w:r>
      <w:r w:rsidRPr="00386BA8">
        <w:t xml:space="preserve"> annual report on the meetings held during 201</w:t>
      </w:r>
      <w:r w:rsidR="00083BF0">
        <w:t>6</w:t>
      </w:r>
      <w:r w:rsidRPr="00386BA8">
        <w:t xml:space="preserve"> was </w:t>
      </w:r>
      <w:r w:rsidR="00083BF0">
        <w:t xml:space="preserve">not </w:t>
      </w:r>
      <w:r w:rsidRPr="00386BA8">
        <w:t>made available to the Review</w:t>
      </w:r>
      <w:r w:rsidR="00083BF0">
        <w:t>, but they are covered in the MoES self-assessment report and various strategy progress documents.</w:t>
      </w:r>
      <w:r w:rsidRPr="00386BA8">
        <w:t xml:space="preserve"> </w:t>
      </w:r>
    </w:p>
    <w:p w14:paraId="4BE57517" w14:textId="77777777" w:rsidR="00FD2EA3" w:rsidRDefault="00FD2EA3" w:rsidP="009E3730">
      <w:pPr>
        <w:widowControl w:val="0"/>
        <w:suppressAutoHyphens/>
      </w:pPr>
    </w:p>
    <w:p w14:paraId="197D040D" w14:textId="77777777" w:rsidR="00FD2EA3" w:rsidRDefault="00FD2EA3" w:rsidP="009E3730">
      <w:pPr>
        <w:pStyle w:val="Heading2"/>
        <w:widowControl w:val="0"/>
        <w:suppressAutoHyphens/>
      </w:pPr>
      <w:bookmarkStart w:id="31" w:name="_Toc419079085"/>
      <w:bookmarkStart w:id="32" w:name="_Toc456280457"/>
      <w:bookmarkStart w:id="33" w:name="_Toc486837757"/>
      <w:r>
        <w:t>b)</w:t>
      </w:r>
      <w:r>
        <w:tab/>
        <w:t>Macroeconomic Stability</w:t>
      </w:r>
      <w:bookmarkEnd w:id="31"/>
      <w:bookmarkEnd w:id="32"/>
      <w:bookmarkEnd w:id="33"/>
    </w:p>
    <w:p w14:paraId="6C111A7F" w14:textId="77777777" w:rsidR="00FD2EA3" w:rsidRDefault="00FD2EA3" w:rsidP="009E3730">
      <w:pPr>
        <w:widowControl w:val="0"/>
        <w:suppressAutoHyphens/>
      </w:pPr>
    </w:p>
    <w:p w14:paraId="673267AE" w14:textId="77777777" w:rsidR="00FD2EA3" w:rsidRDefault="00FD2EA3" w:rsidP="009E3730">
      <w:pPr>
        <w:widowControl w:val="0"/>
        <w:suppressAutoHyphens/>
        <w:rPr>
          <w:b/>
          <w:bCs/>
          <w:i/>
          <w:iCs/>
        </w:rPr>
      </w:pPr>
      <w:r w:rsidRPr="00F278A9">
        <w:rPr>
          <w:b/>
          <w:bCs/>
          <w:iCs/>
          <w:u w:val="single"/>
        </w:rPr>
        <w:t>General Condition 2</w:t>
      </w:r>
      <w:r w:rsidRPr="00F278A9">
        <w:rPr>
          <w:b/>
          <w:bCs/>
          <w:iCs/>
        </w:rPr>
        <w:t>:</w:t>
      </w:r>
      <w:r>
        <w:rPr>
          <w:b/>
          <w:bCs/>
          <w:i/>
          <w:iCs/>
        </w:rPr>
        <w:t xml:space="preserve"> the Government of Georgia maintains stability orientated macroeconomic policies.</w:t>
      </w:r>
    </w:p>
    <w:p w14:paraId="13C06DA2" w14:textId="77777777" w:rsidR="00FD2EA3" w:rsidRDefault="00FD2EA3" w:rsidP="009E3730">
      <w:pPr>
        <w:widowControl w:val="0"/>
        <w:suppressAutoHyphens/>
      </w:pPr>
    </w:p>
    <w:p w14:paraId="583A9726" w14:textId="77777777" w:rsidR="00FD2EA3" w:rsidRDefault="00FD2EA3" w:rsidP="009E3730">
      <w:pPr>
        <w:widowControl w:val="0"/>
        <w:suppressAutoHyphens/>
        <w:rPr>
          <w:i/>
          <w:iCs/>
        </w:rPr>
      </w:pPr>
      <w:r>
        <w:rPr>
          <w:i/>
          <w:iCs/>
        </w:rPr>
        <w:t>Source of Verification: IMF, WB, and EU reports.</w:t>
      </w:r>
    </w:p>
    <w:p w14:paraId="5AC56897" w14:textId="77777777" w:rsidR="00FD2EA3" w:rsidRDefault="00FD2EA3" w:rsidP="009E3730">
      <w:pPr>
        <w:widowControl w:val="0"/>
        <w:suppressAutoHyphens/>
      </w:pPr>
    </w:p>
    <w:p w14:paraId="624A5640" w14:textId="77777777" w:rsidR="00FD2EA3" w:rsidRDefault="00FD2EA3" w:rsidP="009E3730">
      <w:pPr>
        <w:widowControl w:val="0"/>
        <w:suppressAutoHyphens/>
        <w:rPr>
          <w:b/>
          <w:bCs/>
        </w:rPr>
      </w:pPr>
      <w:r w:rsidRPr="00721309">
        <w:rPr>
          <w:b/>
          <w:bCs/>
          <w:u w:val="single"/>
        </w:rPr>
        <w:t>Review Assessment</w:t>
      </w:r>
      <w:r>
        <w:rPr>
          <w:b/>
          <w:bCs/>
        </w:rPr>
        <w:t xml:space="preserve">: </w:t>
      </w:r>
      <w:r w:rsidRPr="00C17DB6">
        <w:rPr>
          <w:b/>
          <w:bCs/>
          <w:u w:val="single"/>
        </w:rPr>
        <w:t>compliance</w:t>
      </w:r>
      <w:r>
        <w:rPr>
          <w:b/>
          <w:bCs/>
        </w:rPr>
        <w:t>.</w:t>
      </w:r>
    </w:p>
    <w:p w14:paraId="58DBB695" w14:textId="77777777" w:rsidR="00FD2EA3" w:rsidRDefault="00FD2EA3" w:rsidP="009E3730">
      <w:pPr>
        <w:widowControl w:val="0"/>
        <w:suppressAutoHyphens/>
      </w:pPr>
    </w:p>
    <w:p w14:paraId="373DF7DB" w14:textId="52B4AC85" w:rsidR="00DC6C96" w:rsidRDefault="00DC6C96" w:rsidP="009E3730">
      <w:pPr>
        <w:widowControl w:val="0"/>
        <w:suppressAutoHyphens/>
      </w:pPr>
      <w:r>
        <w:t>On April 12th 2017 the IMF Board approved a new three-year Extended F</w:t>
      </w:r>
      <w:r w:rsidR="00AD186B">
        <w:t>und</w:t>
      </w:r>
      <w:r>
        <w:t xml:space="preserve"> Facility (EFF) for SDR 210.4mn (equivalent to about US$ 285.3mn), 100% of Georgia's quota. In doing so it agreed to cancel the previous three-year Stand-By Agreement (SBA) approved in July 2014 for SDR 100mn (estimated at the time as equivalent to US$154mn), the Second and Third Reviews for which </w:t>
      </w:r>
      <w:r w:rsidR="00AD186B">
        <w:t>had been under consideration for much of 2016</w:t>
      </w:r>
      <w:r w:rsidR="00471008">
        <w:rPr>
          <w:rStyle w:val="FootnoteReference"/>
        </w:rPr>
        <w:footnoteReference w:id="20"/>
      </w:r>
      <w:r w:rsidR="00AD186B">
        <w:t xml:space="preserve">. The new arrangement reflected the difficult macroeconomic and fiscal situation faced by Georgia, </w:t>
      </w:r>
      <w:r w:rsidR="009F703D">
        <w:t xml:space="preserve">as a result of extended external shock since 2014, </w:t>
      </w:r>
      <w:r w:rsidR="00AD186B">
        <w:t xml:space="preserve">in large part the result of the downturn in the economies of its major trading partners,  the result </w:t>
      </w:r>
      <w:r w:rsidR="009F703D">
        <w:t xml:space="preserve">particularly </w:t>
      </w:r>
      <w:r w:rsidR="00AD186B">
        <w:t xml:space="preserve">of the collapse in oil prices from late 2014 through 2015 and 2016. In the process, </w:t>
      </w:r>
      <w:r w:rsidR="009F703D">
        <w:t>the fundamental weaknesses of the Georgian economy have been exposed (identified as a narrow production base, high under- and un-employment, and skill mismatches - a feature that renders the AAP2013 EVET SRC particularly relevant).</w:t>
      </w:r>
    </w:p>
    <w:p w14:paraId="32899818" w14:textId="77777777" w:rsidR="00A716A7" w:rsidRDefault="00A716A7" w:rsidP="009E3730">
      <w:pPr>
        <w:widowControl w:val="0"/>
        <w:suppressAutoHyphens/>
      </w:pPr>
    </w:p>
    <w:p w14:paraId="639C97D3" w14:textId="074ECFF6" w:rsidR="00A716A7" w:rsidRDefault="00A716A7" w:rsidP="00D415D7">
      <w:pPr>
        <w:widowControl w:val="0"/>
        <w:suppressAutoHyphens/>
      </w:pPr>
      <w:r>
        <w:t>Under the circumstances, Georgia's economy performed relatively well in 2016, achieving a average growth rate of 2.8% over 2015-2016 (2.9% in 2015, 2.7% in 2016), higher than most of its trading partners. Inflation of 4% in 2015</w:t>
      </w:r>
      <w:r w:rsidR="005A5E70">
        <w:t>, up from 3.1% in 2014 after a period of deflation,</w:t>
      </w:r>
      <w:r>
        <w:t xml:space="preserve"> was </w:t>
      </w:r>
      <w:r w:rsidR="005A5E70">
        <w:t>brought</w:t>
      </w:r>
      <w:r>
        <w:t xml:space="preserve"> down to 2.1% in 2016 (1.8% at the end of the year). </w:t>
      </w:r>
      <w:r w:rsidR="005A5E70">
        <w:t>The fiscal deficit rose from 3.0% GDP in 2014 to 3.8% in 2015 and 4.1% in 2016, while public debt rose from 35.6% of GDP in 2014 to 41.4% in 2015 and 44.9% in 2016. The current account deficit rose from 5.8% of GDP in 2013 to 10.6% in 2014, 12.0% in 2015, and 12.4% in 2016. External debt jumped in 2015 to 107.8% of GDP from 83.3% in 2014</w:t>
      </w:r>
      <w:r w:rsidR="002D2254">
        <w:t>, and continued to rise in 2016 to 111.8%. With high dollarization of the economy, this situation was distorted through the drop in the value of the Lari, from GEL1.77 to the US$1.00 in 2014 to GEL2.27 in 2015 and GEL2.37 in 2016.</w:t>
      </w:r>
    </w:p>
    <w:p w14:paraId="28931933" w14:textId="77777777" w:rsidR="00851242" w:rsidRDefault="00851242" w:rsidP="009E3730">
      <w:pPr>
        <w:widowControl w:val="0"/>
        <w:suppressAutoHyphens/>
      </w:pPr>
    </w:p>
    <w:p w14:paraId="453FD65D" w14:textId="07FFD5A2" w:rsidR="00440FA1" w:rsidRDefault="00440FA1" w:rsidP="00440FA1">
      <w:r w:rsidRPr="00440FA1">
        <w:t xml:space="preserve">The </w:t>
      </w:r>
      <w:r>
        <w:t>reform programme</w:t>
      </w:r>
      <w:r w:rsidRPr="00440FA1">
        <w:t xml:space="preserve"> supported by the EFF aims to strengthen financial stability, reduce external imbalances, enhance fiscal credibility, increase infrastructure investment, and undertake structural reforms</w:t>
      </w:r>
      <w:r>
        <w:t xml:space="preserve">, </w:t>
      </w:r>
      <w:r w:rsidRPr="00440FA1">
        <w:t>envisag</w:t>
      </w:r>
      <w:r>
        <w:t>ing</w:t>
      </w:r>
    </w:p>
    <w:p w14:paraId="7CB36AD6" w14:textId="77777777" w:rsidR="00440FA1" w:rsidRPr="00440FA1" w:rsidRDefault="00440FA1" w:rsidP="00440FA1"/>
    <w:p w14:paraId="3D0F74F8" w14:textId="4C89139F" w:rsidR="00440FA1" w:rsidRDefault="00440FA1" w:rsidP="007C295F">
      <w:pPr>
        <w:pStyle w:val="ListParagraph"/>
        <w:numPr>
          <w:ilvl w:val="0"/>
          <w:numId w:val="48"/>
        </w:numPr>
        <w:rPr>
          <w:rFonts w:ascii="Arial" w:hAnsi="Arial" w:cs="Arial"/>
        </w:rPr>
      </w:pPr>
      <w:r w:rsidRPr="00440FA1">
        <w:rPr>
          <w:rFonts w:ascii="Arial" w:hAnsi="Arial" w:cs="Arial"/>
        </w:rPr>
        <w:t>f</w:t>
      </w:r>
      <w:r w:rsidRPr="00440FA1">
        <w:rPr>
          <w:rFonts w:ascii="Arial" w:hAnsi="Arial" w:cs="Arial"/>
          <w:bCs/>
          <w:iCs/>
        </w:rPr>
        <w:t>iscal consolidation over the medium term,</w:t>
      </w:r>
      <w:r w:rsidRPr="00440FA1">
        <w:rPr>
          <w:rFonts w:ascii="Arial" w:hAnsi="Arial" w:cs="Arial"/>
        </w:rPr>
        <w:t xml:space="preserve"> limiting debt to the current level, </w:t>
      </w:r>
      <w:r w:rsidRPr="00440FA1">
        <w:rPr>
          <w:rFonts w:ascii="Arial" w:hAnsi="Arial" w:cs="Arial"/>
          <w:bCs/>
          <w:iCs/>
        </w:rPr>
        <w:t xml:space="preserve">while shifting spending from current toward capital investment </w:t>
      </w:r>
      <w:r w:rsidRPr="00440FA1">
        <w:rPr>
          <w:rFonts w:ascii="Arial" w:hAnsi="Arial" w:cs="Arial"/>
        </w:rPr>
        <w:t>to address infrastructure bottlenecks;</w:t>
      </w:r>
    </w:p>
    <w:p w14:paraId="008249D8" w14:textId="2157A3FC" w:rsidR="00440FA1" w:rsidRPr="009C09AE" w:rsidRDefault="00440FA1" w:rsidP="007C295F">
      <w:pPr>
        <w:pStyle w:val="ListParagraph"/>
        <w:numPr>
          <w:ilvl w:val="0"/>
          <w:numId w:val="48"/>
        </w:numPr>
        <w:rPr>
          <w:rFonts w:ascii="Arial" w:hAnsi="Arial" w:cs="Arial"/>
        </w:rPr>
      </w:pPr>
      <w:r w:rsidRPr="009C09AE">
        <w:rPr>
          <w:rFonts w:ascii="Arial" w:hAnsi="Arial" w:cs="Arial"/>
        </w:rPr>
        <w:t>strengthening the financial sector;</w:t>
      </w:r>
    </w:p>
    <w:p w14:paraId="15071700" w14:textId="1CA9675C" w:rsidR="00440FA1" w:rsidRPr="009C09AE" w:rsidRDefault="00440FA1" w:rsidP="007C295F">
      <w:pPr>
        <w:pStyle w:val="ListParagraph"/>
        <w:numPr>
          <w:ilvl w:val="0"/>
          <w:numId w:val="48"/>
        </w:numPr>
        <w:rPr>
          <w:rFonts w:ascii="Arial" w:hAnsi="Arial" w:cs="Arial"/>
        </w:rPr>
      </w:pPr>
      <w:r w:rsidRPr="009C09AE">
        <w:rPr>
          <w:rFonts w:ascii="Arial" w:hAnsi="Arial" w:cs="Arial"/>
        </w:rPr>
        <w:t>s</w:t>
      </w:r>
      <w:r w:rsidRPr="009C09AE">
        <w:rPr>
          <w:rFonts w:ascii="Arial" w:hAnsi="Arial" w:cs="Arial"/>
          <w:bCs/>
          <w:iCs/>
        </w:rPr>
        <w:t>tructural reforms aimed at promoting savings, private sector investment, and improved competitiveness</w:t>
      </w:r>
      <w:r w:rsidR="009C09AE" w:rsidRPr="009C09AE">
        <w:rPr>
          <w:rFonts w:ascii="Arial" w:hAnsi="Arial" w:cs="Arial"/>
          <w:bCs/>
          <w:iCs/>
        </w:rPr>
        <w:t xml:space="preserve">, notably through </w:t>
      </w:r>
      <w:r w:rsidR="009C09AE" w:rsidRPr="009C09AE">
        <w:rPr>
          <w:rFonts w:ascii="Arial" w:hAnsi="Arial" w:cs="Arial"/>
          <w:sz w:val="23"/>
          <w:szCs w:val="23"/>
        </w:rPr>
        <w:t>job creation, economic diversification, and more inclusive growth; capital market development and pension reform to mobilise domestic savings and support private sector investment; and education reform to increase productivity and adapt skills to labour market demands</w:t>
      </w:r>
      <w:r w:rsidRPr="009C09AE">
        <w:rPr>
          <w:rFonts w:ascii="Arial" w:hAnsi="Arial" w:cs="Arial"/>
        </w:rPr>
        <w:t>; and</w:t>
      </w:r>
    </w:p>
    <w:p w14:paraId="4C0A2AB9" w14:textId="4E182818" w:rsidR="00440FA1" w:rsidRPr="00440FA1" w:rsidRDefault="00440FA1" w:rsidP="007C295F">
      <w:pPr>
        <w:pStyle w:val="ListParagraph"/>
        <w:numPr>
          <w:ilvl w:val="0"/>
          <w:numId w:val="48"/>
        </w:numPr>
        <w:rPr>
          <w:rFonts w:ascii="Arial" w:hAnsi="Arial" w:cs="Arial"/>
        </w:rPr>
      </w:pPr>
      <w:r w:rsidRPr="009C09AE">
        <w:rPr>
          <w:rFonts w:ascii="Arial" w:hAnsi="Arial" w:cs="Arial"/>
        </w:rPr>
        <w:t>'u</w:t>
      </w:r>
      <w:r w:rsidRPr="009C09AE">
        <w:rPr>
          <w:rFonts w:ascii="Arial" w:hAnsi="Arial" w:cs="Arial"/>
          <w:bCs/>
          <w:iCs/>
        </w:rPr>
        <w:t xml:space="preserve">nlocking' bilateral and multilateral support </w:t>
      </w:r>
      <w:r w:rsidRPr="009C09AE">
        <w:rPr>
          <w:rFonts w:ascii="Arial" w:hAnsi="Arial" w:cs="Arial"/>
        </w:rPr>
        <w:t xml:space="preserve">to help finance infrastructure investment and build foreign exchange reserves. </w:t>
      </w:r>
    </w:p>
    <w:p w14:paraId="47B59016" w14:textId="77777777" w:rsidR="00DC6C96" w:rsidRDefault="00DC6C96" w:rsidP="009E3730">
      <w:pPr>
        <w:widowControl w:val="0"/>
        <w:suppressAutoHyphens/>
      </w:pPr>
    </w:p>
    <w:p w14:paraId="2B257143" w14:textId="3A567832" w:rsidR="009C09AE" w:rsidRDefault="009C09AE" w:rsidP="009E3730">
      <w:pPr>
        <w:widowControl w:val="0"/>
        <w:suppressAutoHyphens/>
      </w:pPr>
      <w:r>
        <w:t xml:space="preserve">In approving the EFF, the IMF pointed to the Government's positive record at maintaining stability over a difficult period, and noted that the EFF would help to reduce vulnerabilities and support a foundation for </w:t>
      </w:r>
      <w:r w:rsidR="00471008">
        <w:t xml:space="preserve">a </w:t>
      </w:r>
      <w:r>
        <w:t>strong</w:t>
      </w:r>
      <w:r w:rsidR="00471008">
        <w:t xml:space="preserve">er more resilient economy. Prospects for 2017 included </w:t>
      </w:r>
      <w:r w:rsidR="00471008">
        <w:rPr>
          <w:sz w:val="23"/>
          <w:szCs w:val="23"/>
        </w:rPr>
        <w:t xml:space="preserve">GDP growth of 3.5%. Inflation, however, was projected to remain above 4% (the National Bank's target) until 2018 due to the lagged effects of exchange rate depreciation, higher commodity prices, and excise tax increases. The IMF also emphasized that the </w:t>
      </w:r>
      <w:r w:rsidR="00471008" w:rsidRPr="00471008">
        <w:rPr>
          <w:i/>
          <w:sz w:val="23"/>
          <w:szCs w:val="23"/>
        </w:rPr>
        <w:t>'economic outlook remains subject to risks from the uncertain regional and global economic outlook</w:t>
      </w:r>
      <w:r w:rsidR="00471008">
        <w:rPr>
          <w:sz w:val="23"/>
          <w:szCs w:val="23"/>
        </w:rPr>
        <w:t xml:space="preserve">'. </w:t>
      </w:r>
    </w:p>
    <w:p w14:paraId="27139329" w14:textId="77777777" w:rsidR="00FD2EA3" w:rsidRPr="00C17DB6" w:rsidRDefault="00FD2EA3" w:rsidP="009E3730">
      <w:pPr>
        <w:widowControl w:val="0"/>
        <w:suppressAutoHyphens/>
        <w:rPr>
          <w:highlight w:val="green"/>
        </w:rPr>
      </w:pPr>
    </w:p>
    <w:p w14:paraId="35014092" w14:textId="77777777" w:rsidR="00FD2EA3" w:rsidRPr="003F3466" w:rsidRDefault="00FD2EA3" w:rsidP="009E3730">
      <w:pPr>
        <w:widowControl w:val="0"/>
        <w:suppressAutoHyphens/>
        <w:rPr>
          <w:lang w:val="en-US"/>
        </w:rPr>
      </w:pPr>
      <w:r w:rsidRPr="003F3466">
        <w:rPr>
          <w:lang w:val="en-US"/>
        </w:rPr>
        <w:lastRenderedPageBreak/>
        <w:t>Georgia signed an Association Agreement with the EU, including an agreement on a Deep and Comprehensive Free Trade Area (DCFTA) in November 2013. These agreements aim at promoting closer harmonization and integration with the EU, the DCFTA including the elimination of tariff and non-tariff barriers on almost all goods and substantial liberalization of services trade. Regulations on rules of origin; competition and subsidies; protection of intellectual property; environmental, social and labour policies; food safety, sanitary and phytosanitary standards; technical regulation for industrial goods; public procurement; and customs will also be implemented. The EU estimates that in five to ten years Georgia’s exports to the EU will have increased by 12% and imports by 7.5%, while GDP will be 4% higher. A more stable and predictable regulatory environment and free trade with the EU should also make Georgia more attractive for foreign investment.</w:t>
      </w:r>
    </w:p>
    <w:p w14:paraId="0C16EF1E" w14:textId="77777777" w:rsidR="00FD2EA3" w:rsidRPr="00C17DB6" w:rsidRDefault="00FD2EA3" w:rsidP="009E3730">
      <w:pPr>
        <w:widowControl w:val="0"/>
        <w:suppressAutoHyphens/>
        <w:rPr>
          <w:highlight w:val="green"/>
          <w:lang w:val="en-US"/>
        </w:rPr>
      </w:pPr>
    </w:p>
    <w:p w14:paraId="66E00FB6" w14:textId="548502AA" w:rsidR="00FD2EA3" w:rsidRPr="00C17DB6" w:rsidRDefault="00FD2EA3" w:rsidP="009E3730">
      <w:pPr>
        <w:widowControl w:val="0"/>
        <w:suppressAutoHyphens/>
        <w:rPr>
          <w:highlight w:val="green"/>
        </w:rPr>
      </w:pPr>
      <w:r w:rsidRPr="007C485F">
        <w:rPr>
          <w:lang w:val="en-US"/>
        </w:rPr>
        <w:t xml:space="preserve">In the face of the continuing difficult external environment which has slowed the economy, raised the current account deficit and the local currency value of debt and cost of servicing, and caused a 35% depreciation in the currency, the Government has managed to significantly maintain broad macroeconomic stability (sufficient to meet the need for compliance with this General Condition) and continue its policy of inclusive growth with increased spending on healthcare, social protection and pensions. </w:t>
      </w:r>
      <w:r w:rsidR="00D415D7">
        <w:rPr>
          <w:lang w:val="en-US"/>
        </w:rPr>
        <w:t>With the support of the new EFF agreement, the p</w:t>
      </w:r>
      <w:r w:rsidRPr="007C485F">
        <w:rPr>
          <w:lang w:val="en-US"/>
        </w:rPr>
        <w:t xml:space="preserve">rospects for </w:t>
      </w:r>
      <w:r w:rsidR="00D415D7">
        <w:rPr>
          <w:lang w:val="en-US"/>
        </w:rPr>
        <w:t xml:space="preserve">the rest of 2017 and </w:t>
      </w:r>
      <w:r w:rsidRPr="007C485F">
        <w:rPr>
          <w:lang w:val="en-US"/>
        </w:rPr>
        <w:t>201</w:t>
      </w:r>
      <w:r w:rsidR="00D415D7">
        <w:rPr>
          <w:lang w:val="en-US"/>
        </w:rPr>
        <w:t>8</w:t>
      </w:r>
      <w:r w:rsidRPr="007C485F">
        <w:rPr>
          <w:lang w:val="en-US"/>
        </w:rPr>
        <w:t>, assuming external factors do not further intervene</w:t>
      </w:r>
      <w:r w:rsidR="00D415D7">
        <w:rPr>
          <w:lang w:val="en-US"/>
        </w:rPr>
        <w:t>,</w:t>
      </w:r>
      <w:r w:rsidRPr="007C485F">
        <w:rPr>
          <w:lang w:val="en-US"/>
        </w:rPr>
        <w:t xml:space="preserve"> are for a modest recovery </w:t>
      </w:r>
      <w:r w:rsidR="00D415D7">
        <w:rPr>
          <w:lang w:val="en-US"/>
        </w:rPr>
        <w:t>and development of economic buffers to improve and maintain stability</w:t>
      </w:r>
      <w:r w:rsidRPr="007C485F">
        <w:rPr>
          <w:lang w:val="en-US"/>
        </w:rPr>
        <w:t xml:space="preserve">. </w:t>
      </w:r>
    </w:p>
    <w:p w14:paraId="3CC7B3B3" w14:textId="77777777" w:rsidR="00FD2EA3" w:rsidRPr="00C17DB6" w:rsidRDefault="00FD2EA3" w:rsidP="009E3730">
      <w:pPr>
        <w:widowControl w:val="0"/>
        <w:suppressAutoHyphens/>
        <w:rPr>
          <w:highlight w:val="green"/>
        </w:rPr>
      </w:pPr>
    </w:p>
    <w:p w14:paraId="5445BA29" w14:textId="77777777" w:rsidR="00FD2EA3" w:rsidRDefault="00FD2EA3" w:rsidP="009E3730">
      <w:pPr>
        <w:widowControl w:val="0"/>
        <w:suppressAutoHyphens/>
      </w:pPr>
      <w:r w:rsidRPr="003F3466">
        <w:t>Noteworthy for this EVET Programme, the mismatch of skills and market requirements has been identified as a major impediment to economic development with 25% of firms in a recent survey indicating that the absence of appropriate skills, rather than the level of education, was a major constraint on business expansion.</w:t>
      </w:r>
    </w:p>
    <w:p w14:paraId="12039276" w14:textId="77777777" w:rsidR="00FD2EA3" w:rsidRDefault="00FD2EA3" w:rsidP="009E3730">
      <w:pPr>
        <w:widowControl w:val="0"/>
        <w:suppressAutoHyphens/>
      </w:pPr>
    </w:p>
    <w:p w14:paraId="2E166AFF" w14:textId="77777777" w:rsidR="00FD2EA3" w:rsidRDefault="00FD2EA3" w:rsidP="009E3730">
      <w:pPr>
        <w:pStyle w:val="Heading2"/>
        <w:widowControl w:val="0"/>
        <w:suppressAutoHyphens/>
      </w:pPr>
      <w:bookmarkStart w:id="34" w:name="_Toc419079086"/>
      <w:bookmarkStart w:id="35" w:name="_Toc456280458"/>
      <w:bookmarkStart w:id="36" w:name="_Toc486837758"/>
      <w:r>
        <w:t>c)</w:t>
      </w:r>
      <w:r>
        <w:tab/>
        <w:t>Public Finance Management</w:t>
      </w:r>
      <w:bookmarkEnd w:id="34"/>
      <w:bookmarkEnd w:id="35"/>
      <w:bookmarkEnd w:id="36"/>
    </w:p>
    <w:p w14:paraId="2D137FF8" w14:textId="77777777" w:rsidR="00FD2EA3" w:rsidRDefault="00FD2EA3" w:rsidP="009E3730">
      <w:pPr>
        <w:widowControl w:val="0"/>
        <w:suppressAutoHyphens/>
      </w:pPr>
    </w:p>
    <w:p w14:paraId="602123EF" w14:textId="77777777" w:rsidR="00FD2EA3" w:rsidRDefault="00FD2EA3" w:rsidP="009E3730">
      <w:pPr>
        <w:widowControl w:val="0"/>
        <w:suppressAutoHyphens/>
        <w:rPr>
          <w:b/>
          <w:bCs/>
          <w:i/>
          <w:iCs/>
        </w:rPr>
      </w:pPr>
      <w:r w:rsidRPr="00C17DB6">
        <w:rPr>
          <w:b/>
          <w:bCs/>
          <w:iCs/>
          <w:u w:val="single"/>
        </w:rPr>
        <w:t>General Condition 3</w:t>
      </w:r>
      <w:r w:rsidRPr="00C17DB6">
        <w:rPr>
          <w:b/>
          <w:bCs/>
          <w:iCs/>
        </w:rPr>
        <w:t>:</w:t>
      </w:r>
      <w:r>
        <w:rPr>
          <w:b/>
          <w:bCs/>
          <w:i/>
          <w:iCs/>
        </w:rPr>
        <w:t xml:space="preserve"> Satisfactory progress in the implementation of the public finance management reform programme.</w:t>
      </w:r>
    </w:p>
    <w:p w14:paraId="726C75AB" w14:textId="77777777" w:rsidR="00FD2EA3" w:rsidRDefault="00FD2EA3" w:rsidP="009E3730">
      <w:pPr>
        <w:widowControl w:val="0"/>
        <w:suppressAutoHyphens/>
      </w:pPr>
    </w:p>
    <w:p w14:paraId="45EB05E6" w14:textId="77777777" w:rsidR="00FD2EA3" w:rsidRDefault="00FD2EA3" w:rsidP="009E3730">
      <w:pPr>
        <w:widowControl w:val="0"/>
        <w:suppressAutoHyphens/>
        <w:rPr>
          <w:i/>
          <w:iCs/>
        </w:rPr>
      </w:pPr>
      <w:r>
        <w:rPr>
          <w:i/>
          <w:iCs/>
        </w:rPr>
        <w:t xml:space="preserve">Source of Verification: </w:t>
      </w:r>
    </w:p>
    <w:p w14:paraId="644E2E3B" w14:textId="77777777" w:rsidR="00FD2EA3" w:rsidRDefault="00FD2EA3" w:rsidP="007C295F">
      <w:pPr>
        <w:widowControl w:val="0"/>
        <w:numPr>
          <w:ilvl w:val="0"/>
          <w:numId w:val="24"/>
        </w:numPr>
        <w:suppressAutoHyphens/>
        <w:rPr>
          <w:i/>
          <w:iCs/>
        </w:rPr>
      </w:pPr>
      <w:r>
        <w:rPr>
          <w:i/>
          <w:iCs/>
        </w:rPr>
        <w:t>PFM Reform Coordination Council meeting minutes;</w:t>
      </w:r>
    </w:p>
    <w:p w14:paraId="265079EF" w14:textId="77777777" w:rsidR="00FD2EA3" w:rsidRDefault="00FD2EA3" w:rsidP="007C295F">
      <w:pPr>
        <w:widowControl w:val="0"/>
        <w:numPr>
          <w:ilvl w:val="0"/>
          <w:numId w:val="24"/>
        </w:numPr>
        <w:suppressAutoHyphens/>
        <w:rPr>
          <w:i/>
          <w:iCs/>
        </w:rPr>
      </w:pPr>
      <w:r>
        <w:rPr>
          <w:i/>
          <w:iCs/>
        </w:rPr>
        <w:t>EU PFM reports; and</w:t>
      </w:r>
    </w:p>
    <w:p w14:paraId="786279E5" w14:textId="77777777" w:rsidR="00FD2EA3" w:rsidRDefault="00FD2EA3" w:rsidP="007C295F">
      <w:pPr>
        <w:widowControl w:val="0"/>
        <w:numPr>
          <w:ilvl w:val="0"/>
          <w:numId w:val="24"/>
        </w:numPr>
        <w:suppressAutoHyphens/>
      </w:pPr>
      <w:r>
        <w:rPr>
          <w:i/>
          <w:iCs/>
        </w:rPr>
        <w:t>MoF, SAO reports on PFM action plan implementation.</w:t>
      </w:r>
    </w:p>
    <w:p w14:paraId="74EB4F9B" w14:textId="77777777" w:rsidR="00FD2EA3" w:rsidRDefault="00FD2EA3" w:rsidP="009E3730">
      <w:pPr>
        <w:widowControl w:val="0"/>
        <w:suppressAutoHyphens/>
      </w:pPr>
    </w:p>
    <w:p w14:paraId="0259F29C" w14:textId="77777777" w:rsidR="00FD2EA3" w:rsidRDefault="00FD2EA3" w:rsidP="009E3730">
      <w:pPr>
        <w:widowControl w:val="0"/>
        <w:suppressAutoHyphens/>
        <w:rPr>
          <w:b/>
          <w:bCs/>
        </w:rPr>
      </w:pPr>
      <w:r w:rsidRPr="00721309">
        <w:rPr>
          <w:b/>
          <w:bCs/>
          <w:u w:val="single"/>
        </w:rPr>
        <w:t>Review Assessment</w:t>
      </w:r>
      <w:r>
        <w:rPr>
          <w:b/>
          <w:bCs/>
        </w:rPr>
        <w:t xml:space="preserve">: </w:t>
      </w:r>
      <w:r w:rsidRPr="00C17DB6">
        <w:rPr>
          <w:b/>
          <w:bCs/>
          <w:u w:val="single"/>
        </w:rPr>
        <w:t>compliance</w:t>
      </w:r>
      <w:r>
        <w:rPr>
          <w:b/>
          <w:bCs/>
        </w:rPr>
        <w:t>.</w:t>
      </w:r>
    </w:p>
    <w:p w14:paraId="4FBD038B" w14:textId="77777777" w:rsidR="00FD2EA3" w:rsidRDefault="00FD2EA3" w:rsidP="009E3730">
      <w:pPr>
        <w:widowControl w:val="0"/>
        <w:suppressAutoHyphens/>
      </w:pPr>
    </w:p>
    <w:p w14:paraId="213DC02B" w14:textId="43C2FF23" w:rsidR="00FD2EA3" w:rsidRPr="005A1DE4" w:rsidRDefault="00FD2EA3" w:rsidP="009E3730">
      <w:pPr>
        <w:widowControl w:val="0"/>
        <w:suppressAutoHyphens/>
      </w:pPr>
      <w:r w:rsidRPr="005A1DE4">
        <w:t xml:space="preserve">The latest EU Public Finance Management (PFM) Eligibility Assessment </w:t>
      </w:r>
      <w:r>
        <w:t xml:space="preserve">(EA) </w:t>
      </w:r>
      <w:r w:rsidRPr="005A1DE4">
        <w:t xml:space="preserve">for Georgia was </w:t>
      </w:r>
      <w:r w:rsidR="00233FF2">
        <w:t xml:space="preserve">due to be </w:t>
      </w:r>
      <w:r w:rsidRPr="005A1DE4">
        <w:t xml:space="preserve">completed by EUD shortly </w:t>
      </w:r>
      <w:r w:rsidR="00233FF2">
        <w:t>after</w:t>
      </w:r>
      <w:r w:rsidRPr="005A1DE4">
        <w:t xml:space="preserve"> the Review. One of its objectives was to assess whether there has been sufficient progress in PFM reform to meet the PFM eligibility criterion for budget support, i.e. the same as the requirement under the AAP2013 PFM General Condition. The </w:t>
      </w:r>
      <w:r w:rsidR="00233FF2">
        <w:t xml:space="preserve">Review was informed that the </w:t>
      </w:r>
      <w:r w:rsidRPr="005A1DE4">
        <w:t xml:space="preserve">Assessment </w:t>
      </w:r>
      <w:r w:rsidR="00233FF2">
        <w:t xml:space="preserve">would </w:t>
      </w:r>
      <w:r w:rsidRPr="005A1DE4">
        <w:t>conclude</w:t>
      </w:r>
      <w:r w:rsidR="00233FF2">
        <w:t xml:space="preserve"> that</w:t>
      </w:r>
      <w:r w:rsidRPr="005A1DE4">
        <w:t xml:space="preserve"> the criteria for eligibility </w:t>
      </w:r>
      <w:r w:rsidR="00233FF2">
        <w:t xml:space="preserve">continued to be </w:t>
      </w:r>
      <w:r w:rsidRPr="005A1DE4">
        <w:t xml:space="preserve">met: the relevant PFM reform strategies (the Government's 2014-2017 PFM strategy, the State Audit Office (SAO) 2014-2017 strategic plan, and the Charter and Operating Plan of </w:t>
      </w:r>
      <w:r w:rsidR="00233FF2">
        <w:t>the Parliamentary Budget Office</w:t>
      </w:r>
      <w:r w:rsidRPr="005A1DE4">
        <w:t xml:space="preserve">) </w:t>
      </w:r>
      <w:r w:rsidR="00233FF2">
        <w:t>a</w:t>
      </w:r>
      <w:r w:rsidRPr="005A1DE4">
        <w:t xml:space="preserve">re assessed as relevant in that they address </w:t>
      </w:r>
      <w:r w:rsidR="00B82245">
        <w:t>'</w:t>
      </w:r>
      <w:r w:rsidRPr="005A1DE4">
        <w:rPr>
          <w:i/>
        </w:rPr>
        <w:t>the key and emergent weaknesses...as identified by the latest PEFA and other donor and IFI assessments</w:t>
      </w:r>
      <w:r w:rsidRPr="005A1DE4">
        <w:t xml:space="preserve">', and credible in that </w:t>
      </w:r>
      <w:r w:rsidRPr="00686FC8">
        <w:rPr>
          <w:i/>
        </w:rPr>
        <w:t>'they demonstrate successful identification, planning and implementation of measures to achieve an institutional framework for advancement of PFM reform towards international practice</w:t>
      </w:r>
      <w:r w:rsidRPr="005A1DE4">
        <w:t xml:space="preserve">', with Government commitment demonstrated by continued progressive implementation. Furthermore, </w:t>
      </w:r>
      <w:r w:rsidRPr="00686FC8">
        <w:rPr>
          <w:i/>
        </w:rPr>
        <w:t>'Georgia has taken substantive PFM reform measures in all major focus areas of PFM, including key initiatives in Comprehensiveness and Transparency, Policy-Based Budgeting, Accounting and Reporting, External Scrutiny and Audit, PIFC, procurement and combatting corruption</w:t>
      </w:r>
      <w:r w:rsidRPr="005A1DE4">
        <w:t xml:space="preserve">', </w:t>
      </w:r>
      <w:r w:rsidRPr="005A1DE4">
        <w:lastRenderedPageBreak/>
        <w:t xml:space="preserve">as reflected by the detailed Eligibility Assessment analysis of developments in 2015. This conclusion was confirmed by the latest review </w:t>
      </w:r>
      <w:r w:rsidR="00B82245">
        <w:t xml:space="preserve">of </w:t>
      </w:r>
      <w:r w:rsidR="00233FF2">
        <w:t xml:space="preserve">and technical assistance </w:t>
      </w:r>
      <w:r w:rsidR="00B82245">
        <w:t>associated with</w:t>
      </w:r>
      <w:r w:rsidRPr="005A1DE4">
        <w:t xml:space="preserve"> the EU PFM budget support programme, AAP2013 </w:t>
      </w:r>
      <w:r>
        <w:t xml:space="preserve">Support to </w:t>
      </w:r>
      <w:r w:rsidRPr="005A1DE4">
        <w:t>P</w:t>
      </w:r>
      <w:r>
        <w:t xml:space="preserve">ublic </w:t>
      </w:r>
      <w:r w:rsidRPr="005A1DE4">
        <w:t>F</w:t>
      </w:r>
      <w:r>
        <w:t xml:space="preserve">inance </w:t>
      </w:r>
      <w:r w:rsidRPr="005A1DE4">
        <w:t>P</w:t>
      </w:r>
      <w:r>
        <w:t xml:space="preserve">olicy </w:t>
      </w:r>
      <w:r w:rsidRPr="005A1DE4">
        <w:t>R</w:t>
      </w:r>
      <w:r>
        <w:t>eform (PFPR)</w:t>
      </w:r>
      <w:r w:rsidRPr="005A1DE4">
        <w:t xml:space="preserve"> SRC, which in </w:t>
      </w:r>
      <w:r w:rsidR="00B82245">
        <w:t>April</w:t>
      </w:r>
      <w:r w:rsidRPr="005A1DE4">
        <w:t xml:space="preserve"> 201</w:t>
      </w:r>
      <w:r w:rsidR="00B82245">
        <w:t>7</w:t>
      </w:r>
      <w:r w:rsidRPr="005A1DE4">
        <w:t xml:space="preserve"> concluded the Government to be in full compliance with both the PFM General Condition</w:t>
      </w:r>
      <w:r w:rsidRPr="005A1DE4">
        <w:rPr>
          <w:rStyle w:val="FootnoteReference"/>
        </w:rPr>
        <w:footnoteReference w:id="21"/>
      </w:r>
      <w:r w:rsidRPr="005A1DE4">
        <w:t xml:space="preserve"> and the various Specific Conditions based upon achievement of milestones in the Government's and SAO's reform strategies, focussing on developments in policy-based budgeting; external scrutiny and accountability of the Government; public internal financial control; external audit; and public oversight over the executive by the Parliament.</w:t>
      </w:r>
    </w:p>
    <w:p w14:paraId="590205D7" w14:textId="77777777" w:rsidR="00FD2EA3" w:rsidRDefault="00FD2EA3" w:rsidP="009E3730">
      <w:pPr>
        <w:widowControl w:val="0"/>
        <w:suppressAutoHyphens/>
        <w:rPr>
          <w:highlight w:val="green"/>
        </w:rPr>
      </w:pPr>
    </w:p>
    <w:p w14:paraId="3DA6E93D" w14:textId="77777777" w:rsidR="00FD2EA3" w:rsidRPr="00C17DB6" w:rsidRDefault="00FD2EA3" w:rsidP="009E3730">
      <w:pPr>
        <w:widowControl w:val="0"/>
        <w:suppressAutoHyphens/>
        <w:rPr>
          <w:highlight w:val="green"/>
        </w:rPr>
      </w:pPr>
      <w:r w:rsidRPr="00835483">
        <w:t xml:space="preserve">The 2016 PFM EA provides a comprehensive overview of the developments in PFM in Georgia over the period since the previous </w:t>
      </w:r>
      <w:r>
        <w:t xml:space="preserve">EU </w:t>
      </w:r>
      <w:r w:rsidRPr="00835483">
        <w:t>monitoring report</w:t>
      </w:r>
      <w:r>
        <w:t>/assessment</w:t>
      </w:r>
      <w:r w:rsidRPr="00835483">
        <w:t xml:space="preserve"> in March 2015 within the framework of medium term sector strategies. The PFM Policy Reform Strategy for 2014-2017 adopted by the Ministry of Finance</w:t>
      </w:r>
      <w:r w:rsidRPr="00835483">
        <w:rPr>
          <w:rStyle w:val="FootnoteReference"/>
        </w:rPr>
        <w:footnoteReference w:id="22"/>
      </w:r>
      <w:r w:rsidRPr="00835483">
        <w:t xml:space="preserve"> and the State Audit Office Strategy for 2014-2017</w:t>
      </w:r>
      <w:r w:rsidRPr="00835483">
        <w:rPr>
          <w:rStyle w:val="FootnoteReference"/>
        </w:rPr>
        <w:footnoteReference w:id="23"/>
      </w:r>
      <w:r w:rsidRPr="00835483">
        <w:t xml:space="preserve"> were both approved and made public in 2014. They build upon the process of reform across the whole spectrum of PFM activities implemented under the </w:t>
      </w:r>
      <w:r w:rsidRPr="00835483">
        <w:rPr>
          <w:szCs w:val="20"/>
        </w:rPr>
        <w:t>2009-2013 PFM Reform Policy Vision and the State Audit Office Strategy for 2010-2012, and continued through the change of Government in October 2012</w:t>
      </w:r>
      <w:r w:rsidRPr="00835483">
        <w:rPr>
          <w:rStyle w:val="FootnoteReference"/>
        </w:rPr>
        <w:footnoteReference w:id="24"/>
      </w:r>
      <w:r w:rsidRPr="00835483">
        <w:rPr>
          <w:szCs w:val="20"/>
        </w:rPr>
        <w:t>. They are significant not only because they represent evidence of the Government's continued commitment to the strengthening of PFM but also because they address issues raised by the Public Expenditure Financial Accountability (PEFA) self assessment undertaken by the Ministry of Finance (MoF) in mid-2012</w:t>
      </w:r>
      <w:r w:rsidRPr="00835483">
        <w:rPr>
          <w:rStyle w:val="FootnoteReference"/>
        </w:rPr>
        <w:footnoteReference w:id="25"/>
      </w:r>
      <w:r w:rsidRPr="00835483">
        <w:rPr>
          <w:szCs w:val="20"/>
        </w:rPr>
        <w:t>. This PEFA self-assessment followed an in-depth analysis of PFM system weaknesses by MoF earlier in 2012 in part to accommodate the modifications to socio-economic policy introduced by the new Government.</w:t>
      </w:r>
    </w:p>
    <w:p w14:paraId="450DEAB2" w14:textId="77777777" w:rsidR="00FD2EA3" w:rsidRDefault="00FD2EA3" w:rsidP="009E3730">
      <w:pPr>
        <w:widowControl w:val="0"/>
        <w:suppressAutoHyphens/>
        <w:rPr>
          <w:highlight w:val="green"/>
        </w:rPr>
      </w:pPr>
    </w:p>
    <w:p w14:paraId="41F18F52" w14:textId="77777777" w:rsidR="00FD2EA3" w:rsidRDefault="00FD2EA3" w:rsidP="009E3730">
      <w:pPr>
        <w:widowControl w:val="0"/>
        <w:suppressAutoHyphens/>
      </w:pPr>
      <w:r w:rsidRPr="003F3B94">
        <w:t xml:space="preserve">EU </w:t>
      </w:r>
      <w:r>
        <w:t xml:space="preserve">has been particularly instrumental in promoting PFM reforms across the whole spectrum of the PFM system: budget planning and preparation (including fiscal forecasting), budget expenditure and accountability, cash flow and debt management, procurement, revenue mobilisation, internal audit and financial control, and external audit. EU </w:t>
      </w:r>
      <w:r w:rsidRPr="003F3B94">
        <w:t xml:space="preserve">support for PFM reforms has been led by PFM budget support programmes since 2007 (ENP AAP2007 over 2008-2010, ENP AAP2011 over 2011-2012). A new </w:t>
      </w:r>
      <w:r w:rsidRPr="003F3B94">
        <w:rPr>
          <w:color w:val="000000"/>
        </w:rPr>
        <w:t xml:space="preserve">EU Public Finance Policy Reform Programme (under ENP AAP2013) was agreed in 2014 to be implemented over </w:t>
      </w:r>
      <w:r>
        <w:rPr>
          <w:color w:val="000000"/>
        </w:rPr>
        <w:t>three</w:t>
      </w:r>
      <w:r w:rsidRPr="003F3B94">
        <w:rPr>
          <w:color w:val="000000"/>
        </w:rPr>
        <w:t xml:space="preserve"> years </w:t>
      </w:r>
      <w:r>
        <w:rPr>
          <w:color w:val="000000"/>
        </w:rPr>
        <w:t xml:space="preserve">from January </w:t>
      </w:r>
      <w:r w:rsidRPr="003F3B94">
        <w:rPr>
          <w:color w:val="000000"/>
        </w:rPr>
        <w:t>201</w:t>
      </w:r>
      <w:r>
        <w:rPr>
          <w:color w:val="000000"/>
        </w:rPr>
        <w:t>5 through</w:t>
      </w:r>
      <w:r w:rsidRPr="003F3B94">
        <w:rPr>
          <w:color w:val="000000"/>
        </w:rPr>
        <w:t xml:space="preserve"> 2017</w:t>
      </w:r>
      <w:r>
        <w:rPr>
          <w:rStyle w:val="FootnoteReference"/>
          <w:color w:val="000000"/>
        </w:rPr>
        <w:footnoteReference w:id="26"/>
      </w:r>
      <w:r w:rsidRPr="003F3B94">
        <w:rPr>
          <w:color w:val="000000"/>
        </w:rPr>
        <w:t xml:space="preserve">. These programmes </w:t>
      </w:r>
      <w:r>
        <w:rPr>
          <w:color w:val="000000"/>
        </w:rPr>
        <w:t>have been</w:t>
      </w:r>
      <w:r w:rsidRPr="003F3B94">
        <w:rPr>
          <w:color w:val="000000"/>
        </w:rPr>
        <w:t xml:space="preserve"> accompanied by </w:t>
      </w:r>
      <w:r w:rsidRPr="003F3B94">
        <w:rPr>
          <w:color w:val="000000"/>
        </w:rPr>
        <w:lastRenderedPageBreak/>
        <w:t>significant technical assistance across practically all areas of PFM</w:t>
      </w:r>
      <w:r>
        <w:rPr>
          <w:color w:val="000000"/>
        </w:rPr>
        <w:t>, but the EU has also been the major partner in the Multi-Donor Trust Fund, which from 2008 provided Government with funds to itself access external PFM expertise</w:t>
      </w:r>
      <w:r w:rsidRPr="003F3B94">
        <w:rPr>
          <w:color w:val="000000"/>
        </w:rPr>
        <w:t xml:space="preserve">. Further support is to be provided through a </w:t>
      </w:r>
      <w:r>
        <w:rPr>
          <w:color w:val="000000"/>
        </w:rPr>
        <w:t xml:space="preserve">similar </w:t>
      </w:r>
      <w:r w:rsidRPr="003F3B94">
        <w:rPr>
          <w:color w:val="000000"/>
        </w:rPr>
        <w:t>demand driven technical assistance facility agreed in January 2015.</w:t>
      </w:r>
      <w:r>
        <w:rPr>
          <w:color w:val="000000"/>
        </w:rPr>
        <w:t xml:space="preserve"> In addition, EU </w:t>
      </w:r>
      <w:r w:rsidRPr="003F3B94">
        <w:rPr>
          <w:color w:val="000000"/>
        </w:rPr>
        <w:t xml:space="preserve">Twinning projects are either on-going or planned in five areas (overall institutional management; revenue service taxation, customs, and investigation; and State Audit Office strengthening), many following on from earlier EU </w:t>
      </w:r>
      <w:r>
        <w:rPr>
          <w:color w:val="000000"/>
        </w:rPr>
        <w:t xml:space="preserve">technical </w:t>
      </w:r>
      <w:r w:rsidRPr="003F3B94">
        <w:rPr>
          <w:color w:val="000000"/>
        </w:rPr>
        <w:t xml:space="preserve">assistance. </w:t>
      </w:r>
    </w:p>
    <w:p w14:paraId="6B1422C4" w14:textId="77777777" w:rsidR="00FD2EA3" w:rsidRDefault="00FD2EA3" w:rsidP="009E3730">
      <w:pPr>
        <w:widowControl w:val="0"/>
        <w:suppressAutoHyphens/>
        <w:rPr>
          <w:highlight w:val="green"/>
        </w:rPr>
      </w:pPr>
    </w:p>
    <w:p w14:paraId="7E869B35" w14:textId="77777777" w:rsidR="00FD2EA3" w:rsidRDefault="00FD2EA3" w:rsidP="009E3730">
      <w:pPr>
        <w:widowControl w:val="0"/>
        <w:suppressAutoHyphens/>
      </w:pPr>
      <w:r w:rsidRPr="003F3B94">
        <w:t xml:space="preserve">Alongside this success in PFM reform, the </w:t>
      </w:r>
      <w:r>
        <w:t xml:space="preserve">current </w:t>
      </w:r>
      <w:r w:rsidRPr="003F3B94">
        <w:t>Government continued the emphasis on tackling corruption of the previ</w:t>
      </w:r>
      <w:r>
        <w:t>ous Government and updated the A</w:t>
      </w:r>
      <w:r w:rsidRPr="003F3B94">
        <w:t>nti-</w:t>
      </w:r>
      <w:r>
        <w:t>C</w:t>
      </w:r>
      <w:r w:rsidRPr="003F3B94">
        <w:t xml:space="preserve">orruption </w:t>
      </w:r>
      <w:r>
        <w:t>S</w:t>
      </w:r>
      <w:r w:rsidRPr="003F3B94">
        <w:t xml:space="preserve">trategy and </w:t>
      </w:r>
      <w:r>
        <w:t>A</w:t>
      </w:r>
      <w:r w:rsidRPr="003F3B94">
        <w:t xml:space="preserve">ction </w:t>
      </w:r>
      <w:r>
        <w:t>P</w:t>
      </w:r>
      <w:r w:rsidRPr="003F3B94">
        <w:t xml:space="preserve">lan </w:t>
      </w:r>
      <w:r>
        <w:t xml:space="preserve">in February 2015 </w:t>
      </w:r>
      <w:r w:rsidRPr="003F3B94">
        <w:t xml:space="preserve">to cover 2015-2016. </w:t>
      </w:r>
      <w:r w:rsidRPr="003F3B94">
        <w:rPr>
          <w:lang w:eastAsia="en-GB"/>
        </w:rPr>
        <w:t>Since 2004, low-level corruption involving public servants has been effectively eradicated, partly through modernizing the bureaucracy</w:t>
      </w:r>
      <w:r>
        <w:rPr>
          <w:rStyle w:val="FootnoteReference"/>
          <w:lang w:eastAsia="en-GB"/>
        </w:rPr>
        <w:footnoteReference w:id="27"/>
      </w:r>
      <w:r w:rsidRPr="003F3B94">
        <w:rPr>
          <w:lang w:eastAsia="en-GB"/>
        </w:rPr>
        <w:t xml:space="preserve">. NDI research in 2013 found that 97% of Georgians interviewed said they could not remember a situation where they had to pay a bribe over the previous 12 months. </w:t>
      </w:r>
      <w:r>
        <w:rPr>
          <w:lang w:eastAsia="en-GB"/>
        </w:rPr>
        <w:t xml:space="preserve">Transparency International's Global Corruption Barometer in 2013, quoting a slightly lower 96%, nonetheless </w:t>
      </w:r>
      <w:r w:rsidRPr="003F3B94">
        <w:rPr>
          <w:i/>
          <w:lang w:eastAsia="en-GB"/>
        </w:rPr>
        <w:t>'significantly lower than any of the country's neighbours</w:t>
      </w:r>
      <w:r>
        <w:rPr>
          <w:lang w:eastAsia="en-GB"/>
        </w:rPr>
        <w:t xml:space="preserve">', </w:t>
      </w:r>
      <w:r>
        <w:t xml:space="preserve">reported that 70% of citizens believed that corruption had decreased in the year preceding the survey. </w:t>
      </w:r>
    </w:p>
    <w:p w14:paraId="0CFD3093" w14:textId="77777777" w:rsidR="00FD2EA3" w:rsidRDefault="00FD2EA3" w:rsidP="009E3730">
      <w:pPr>
        <w:widowControl w:val="0"/>
        <w:suppressAutoHyphens/>
      </w:pPr>
    </w:p>
    <w:p w14:paraId="683D35AA" w14:textId="77777777" w:rsidR="00FD2EA3" w:rsidRPr="007E4A54" w:rsidRDefault="00FD2EA3" w:rsidP="009E3730">
      <w:pPr>
        <w:widowControl w:val="0"/>
        <w:suppressAutoHyphens/>
        <w:rPr>
          <w:lang w:eastAsia="en-GB"/>
        </w:rPr>
      </w:pPr>
      <w:r w:rsidRPr="007E4A54">
        <w:rPr>
          <w:lang w:eastAsia="en-GB"/>
        </w:rPr>
        <w:t xml:space="preserve">Nonetheless, there is no room for complacency. </w:t>
      </w:r>
      <w:r w:rsidRPr="007E4A54">
        <w:t>While stating that '</w:t>
      </w:r>
      <w:r w:rsidRPr="007E4A54">
        <w:rPr>
          <w:i/>
        </w:rPr>
        <w:t>Georgia is widely recognised as having been largely successful in tackling petty corruption and public sector bribery over the last 10 years'</w:t>
      </w:r>
      <w:r w:rsidRPr="007E4A54">
        <w:t xml:space="preserve"> Transparency International's report 'State of Corruption: Armenia, Azerbaijan, Georgia, Moldova, and Ukraine', published in 2016 (but largely based on a 2014/15 assessment) reported that </w:t>
      </w:r>
      <w:r w:rsidRPr="007E4A54">
        <w:rPr>
          <w:i/>
        </w:rPr>
        <w:t>'at the same time, more complex forms of corruption persist, including clientelism and cronyism, due to the concentration of power among the country’s elite, as well as allegations of kickback payments for the award of public contracts</w:t>
      </w:r>
      <w:r w:rsidRPr="007E4A54">
        <w:t xml:space="preserve">'. </w:t>
      </w:r>
    </w:p>
    <w:p w14:paraId="0F40B8CA" w14:textId="77777777" w:rsidR="00FD2EA3" w:rsidRDefault="00FD2EA3" w:rsidP="009E3730">
      <w:pPr>
        <w:widowControl w:val="0"/>
        <w:suppressAutoHyphens/>
        <w:rPr>
          <w:lang w:eastAsia="en-GB"/>
        </w:rPr>
      </w:pPr>
    </w:p>
    <w:p w14:paraId="40FDE4CA" w14:textId="015AF03A" w:rsidR="00FD2EA3" w:rsidRPr="00653A79" w:rsidRDefault="00FD2EA3" w:rsidP="009E3730">
      <w:pPr>
        <w:widowControl w:val="0"/>
        <w:suppressAutoHyphens/>
        <w:rPr>
          <w:highlight w:val="green"/>
        </w:rPr>
      </w:pPr>
      <w:r w:rsidRPr="00653A79">
        <w:rPr>
          <w:lang w:eastAsia="en-GB"/>
        </w:rPr>
        <w:t xml:space="preserve">Georgia ranked </w:t>
      </w:r>
      <w:r w:rsidR="00DA0C9C">
        <w:rPr>
          <w:lang w:eastAsia="en-GB"/>
        </w:rPr>
        <w:t xml:space="preserve">44th out of 176 countries </w:t>
      </w:r>
      <w:r w:rsidR="00DA0C9C" w:rsidRPr="00653A79">
        <w:rPr>
          <w:lang w:eastAsia="en-GB"/>
        </w:rPr>
        <w:t>in Transparency International’s 201</w:t>
      </w:r>
      <w:r w:rsidR="00DA0C9C">
        <w:rPr>
          <w:lang w:eastAsia="en-GB"/>
        </w:rPr>
        <w:t>6</w:t>
      </w:r>
      <w:r w:rsidR="00DA0C9C" w:rsidRPr="00653A79">
        <w:rPr>
          <w:lang w:eastAsia="en-GB"/>
        </w:rPr>
        <w:t xml:space="preserve"> Corruption Perceptions Index </w:t>
      </w:r>
      <w:r w:rsidR="00DA0C9C">
        <w:rPr>
          <w:lang w:eastAsia="en-GB"/>
        </w:rPr>
        <w:t xml:space="preserve">(up from </w:t>
      </w:r>
      <w:r w:rsidRPr="00653A79">
        <w:rPr>
          <w:lang w:eastAsia="en-GB"/>
        </w:rPr>
        <w:t xml:space="preserve">50th equal of 175 countries </w:t>
      </w:r>
      <w:r w:rsidR="00DA0C9C">
        <w:rPr>
          <w:lang w:eastAsia="en-GB"/>
        </w:rPr>
        <w:t xml:space="preserve">in 2014 and </w:t>
      </w:r>
      <w:r w:rsidR="00DA0C9C" w:rsidRPr="00653A79">
        <w:rPr>
          <w:lang w:eastAsia="en-GB"/>
        </w:rPr>
        <w:t>51st out of 176 countries in 2012</w:t>
      </w:r>
      <w:r w:rsidR="00DA0C9C">
        <w:rPr>
          <w:lang w:eastAsia="en-GB"/>
        </w:rPr>
        <w:t>), scoring 57</w:t>
      </w:r>
      <w:r w:rsidRPr="00653A79">
        <w:rPr>
          <w:lang w:eastAsia="en-GB"/>
        </w:rPr>
        <w:t xml:space="preserve"> out of 100</w:t>
      </w:r>
      <w:r w:rsidRPr="00653A79">
        <w:rPr>
          <w:rStyle w:val="FootnoteReference"/>
          <w:lang w:eastAsia="en-GB"/>
        </w:rPr>
        <w:footnoteReference w:id="28"/>
      </w:r>
      <w:r w:rsidRPr="00653A79">
        <w:rPr>
          <w:lang w:eastAsia="en-GB"/>
        </w:rPr>
        <w:t>. Gaps in the country’s anti-corruption framework remain an area of policy focus for the Government, including commitments to improving property rights</w:t>
      </w:r>
      <w:r w:rsidRPr="00653A79">
        <w:rPr>
          <w:rStyle w:val="FootnoteReference"/>
          <w:lang w:eastAsia="en-GB"/>
        </w:rPr>
        <w:footnoteReference w:id="29"/>
      </w:r>
      <w:r w:rsidRPr="00653A79">
        <w:rPr>
          <w:lang w:eastAsia="en-GB"/>
        </w:rPr>
        <w:t xml:space="preserve"> and the application of the rule of law</w:t>
      </w:r>
      <w:r>
        <w:rPr>
          <w:rStyle w:val="FootnoteReference"/>
          <w:lang w:eastAsia="en-GB"/>
        </w:rPr>
        <w:footnoteReference w:id="30"/>
      </w:r>
      <w:r w:rsidRPr="00653A79">
        <w:rPr>
          <w:lang w:eastAsia="en-GB"/>
        </w:rPr>
        <w:t xml:space="preserve">, but also for civil society (which in 2015 raised issues of intimidation and intrusive surveillance of those questioning Government policy, a situation that also prevailed under the previous Government). The 2016 Transparency International 'State of Corruption’ report mentioned 'the absence of an independent anti-corruption agency', </w:t>
      </w:r>
      <w:r w:rsidRPr="00653A79">
        <w:t>with responsibilities for '</w:t>
      </w:r>
      <w:r w:rsidRPr="00653A79">
        <w:rPr>
          <w:i/>
        </w:rPr>
        <w:t>the investigation, monitoring and enforcement of anti-corruption provisions'</w:t>
      </w:r>
      <w:r w:rsidRPr="00653A79">
        <w:t xml:space="preserve"> </w:t>
      </w:r>
      <w:r w:rsidRPr="00653A79">
        <w:rPr>
          <w:lang w:eastAsia="en-GB"/>
        </w:rPr>
        <w:t>as one of the</w:t>
      </w:r>
      <w:r w:rsidRPr="00653A79">
        <w:t xml:space="preserve"> weaknesses in Georgia’s National Integrity System.</w:t>
      </w:r>
    </w:p>
    <w:p w14:paraId="673EF731" w14:textId="77777777" w:rsidR="00FD2EA3" w:rsidRPr="00C17DB6" w:rsidRDefault="00FD2EA3" w:rsidP="009E3730">
      <w:pPr>
        <w:widowControl w:val="0"/>
        <w:suppressAutoHyphens/>
        <w:rPr>
          <w:highlight w:val="green"/>
        </w:rPr>
      </w:pPr>
    </w:p>
    <w:p w14:paraId="759DFC86" w14:textId="56B0DFD5" w:rsidR="00FD2EA3" w:rsidRDefault="00FD2EA3" w:rsidP="009E3730">
      <w:pPr>
        <w:widowControl w:val="0"/>
        <w:suppressAutoHyphens/>
        <w:rPr>
          <w:highlight w:val="green"/>
        </w:rPr>
      </w:pPr>
      <w:r>
        <w:t xml:space="preserve">On the basis of </w:t>
      </w:r>
      <w:r w:rsidR="000063D9">
        <w:t>a</w:t>
      </w:r>
      <w:r>
        <w:t xml:space="preserve"> continuing record of positive developments in PFM System improvement, the Review has concluded that Georgia has met the PFM requirements for eligibility for budget support, including both the existence of relevant and credible PFM reform strategies and action plans for their implementation (at Government, Supreme Audit Institution, and Parliamentary levels), as well as satisfactory progress in their implementation. Substantive reforms in line with the Government's 2014-2017 PFM strategy and the State Audit Office (SAO) 2014-2017 strategic plan have taken place in all key PFM areas and actions are being taken to address challenges. To this must be added the strengthening of Parliament's oversight capacity.</w:t>
      </w:r>
    </w:p>
    <w:p w14:paraId="48ED85D5" w14:textId="77777777" w:rsidR="00FD2EA3" w:rsidRDefault="00FD2EA3" w:rsidP="009E3730">
      <w:pPr>
        <w:widowControl w:val="0"/>
        <w:suppressAutoHyphens/>
      </w:pPr>
    </w:p>
    <w:p w14:paraId="5B341E9C" w14:textId="77777777" w:rsidR="00FD2EA3" w:rsidRDefault="00FD2EA3" w:rsidP="009E3730">
      <w:pPr>
        <w:pStyle w:val="Heading2"/>
        <w:widowControl w:val="0"/>
        <w:suppressAutoHyphens/>
      </w:pPr>
      <w:bookmarkStart w:id="37" w:name="_Toc419079087"/>
      <w:bookmarkStart w:id="38" w:name="_Toc456280459"/>
      <w:bookmarkStart w:id="39" w:name="_Toc486837759"/>
      <w:r>
        <w:t>d)</w:t>
      </w:r>
      <w:r>
        <w:tab/>
        <w:t>Transparency and Oversight of Budget</w:t>
      </w:r>
      <w:bookmarkEnd w:id="37"/>
      <w:bookmarkEnd w:id="38"/>
      <w:bookmarkEnd w:id="39"/>
    </w:p>
    <w:p w14:paraId="79872587" w14:textId="77777777" w:rsidR="00FD2EA3" w:rsidRDefault="00FD2EA3" w:rsidP="009E3730">
      <w:pPr>
        <w:widowControl w:val="0"/>
        <w:suppressAutoHyphens/>
      </w:pPr>
    </w:p>
    <w:p w14:paraId="50B7AA99" w14:textId="77777777" w:rsidR="00FD2EA3" w:rsidRDefault="00FD2EA3" w:rsidP="009E3730">
      <w:pPr>
        <w:widowControl w:val="0"/>
        <w:suppressAutoHyphens/>
        <w:rPr>
          <w:b/>
          <w:bCs/>
          <w:i/>
          <w:iCs/>
        </w:rPr>
      </w:pPr>
      <w:r w:rsidRPr="00C17DB6">
        <w:rPr>
          <w:b/>
          <w:bCs/>
          <w:iCs/>
          <w:u w:val="single"/>
        </w:rPr>
        <w:t>General Condition 4</w:t>
      </w:r>
      <w:r w:rsidRPr="00C17DB6">
        <w:rPr>
          <w:b/>
          <w:bCs/>
          <w:iCs/>
        </w:rPr>
        <w:t>:</w:t>
      </w:r>
      <w:r>
        <w:rPr>
          <w:b/>
          <w:bCs/>
          <w:i/>
          <w:iCs/>
        </w:rPr>
        <w:t xml:space="preserve"> The Georgian authorities (the Government, the Parliament, and the State Audit Office) maintain and/or progress with regard to the public availability of accessible, timely, comprehensive, and sound budgetary information.</w:t>
      </w:r>
    </w:p>
    <w:p w14:paraId="3118817B" w14:textId="77777777" w:rsidR="00FD2EA3" w:rsidRDefault="00FD2EA3" w:rsidP="009E3730">
      <w:pPr>
        <w:widowControl w:val="0"/>
        <w:suppressAutoHyphens/>
      </w:pPr>
    </w:p>
    <w:p w14:paraId="142C139E" w14:textId="77777777" w:rsidR="00FD2EA3" w:rsidRDefault="00FD2EA3" w:rsidP="009E3730">
      <w:pPr>
        <w:widowControl w:val="0"/>
        <w:suppressAutoHyphens/>
        <w:rPr>
          <w:i/>
          <w:iCs/>
        </w:rPr>
      </w:pPr>
      <w:r>
        <w:rPr>
          <w:i/>
          <w:iCs/>
        </w:rPr>
        <w:t xml:space="preserve">Source of Verification: </w:t>
      </w:r>
    </w:p>
    <w:p w14:paraId="79F95642" w14:textId="77777777" w:rsidR="00FD2EA3" w:rsidRDefault="00FD2EA3" w:rsidP="007C295F">
      <w:pPr>
        <w:widowControl w:val="0"/>
        <w:numPr>
          <w:ilvl w:val="0"/>
          <w:numId w:val="25"/>
        </w:numPr>
        <w:suppressAutoHyphens/>
        <w:rPr>
          <w:i/>
          <w:iCs/>
        </w:rPr>
      </w:pPr>
      <w:r>
        <w:rPr>
          <w:i/>
          <w:iCs/>
        </w:rPr>
        <w:t>Open Budget Index;</w:t>
      </w:r>
    </w:p>
    <w:p w14:paraId="6D6F1537" w14:textId="77777777" w:rsidR="00FD2EA3" w:rsidRDefault="00FD2EA3" w:rsidP="007C295F">
      <w:pPr>
        <w:widowControl w:val="0"/>
        <w:numPr>
          <w:ilvl w:val="0"/>
          <w:numId w:val="25"/>
        </w:numPr>
        <w:suppressAutoHyphens/>
      </w:pPr>
      <w:r>
        <w:rPr>
          <w:i/>
          <w:iCs/>
        </w:rPr>
        <w:t>IMF, WB, and EU reports.</w:t>
      </w:r>
    </w:p>
    <w:p w14:paraId="598DC6E8" w14:textId="77777777" w:rsidR="00FD2EA3" w:rsidRDefault="00FD2EA3" w:rsidP="009E3730">
      <w:pPr>
        <w:widowControl w:val="0"/>
        <w:suppressAutoHyphens/>
      </w:pPr>
    </w:p>
    <w:p w14:paraId="2F1489B9" w14:textId="77777777" w:rsidR="00FD2EA3" w:rsidRDefault="00FD2EA3" w:rsidP="009E3730">
      <w:pPr>
        <w:widowControl w:val="0"/>
        <w:suppressAutoHyphens/>
        <w:rPr>
          <w:b/>
          <w:bCs/>
        </w:rPr>
      </w:pPr>
      <w:r w:rsidRPr="00721309">
        <w:rPr>
          <w:b/>
          <w:bCs/>
          <w:u w:val="single"/>
        </w:rPr>
        <w:t>Review Assessment</w:t>
      </w:r>
      <w:r>
        <w:rPr>
          <w:b/>
          <w:bCs/>
        </w:rPr>
        <w:t xml:space="preserve">: </w:t>
      </w:r>
      <w:r w:rsidRPr="00C17DB6">
        <w:rPr>
          <w:b/>
          <w:bCs/>
          <w:u w:val="single"/>
        </w:rPr>
        <w:t>compliance</w:t>
      </w:r>
      <w:r>
        <w:rPr>
          <w:b/>
          <w:bCs/>
        </w:rPr>
        <w:t>.</w:t>
      </w:r>
    </w:p>
    <w:p w14:paraId="41F45712" w14:textId="77777777" w:rsidR="00FD2EA3" w:rsidRDefault="00FD2EA3" w:rsidP="009E3730">
      <w:pPr>
        <w:widowControl w:val="0"/>
        <w:suppressAutoHyphens/>
      </w:pPr>
    </w:p>
    <w:p w14:paraId="55BD37B6" w14:textId="77777777" w:rsidR="00FD2EA3" w:rsidRDefault="00FD2EA3" w:rsidP="009E3730">
      <w:pPr>
        <w:widowControl w:val="0"/>
        <w:suppressAutoHyphens/>
      </w:pPr>
      <w:r>
        <w:t>The minimum requirement for eligibility under the transparency General Condition is the publication of the enacted budget. This has long been the case in Georgia. Further progress has been made over the last couple of years, and indeed the current level of transparency is extensive at all levels, Georgia ranking among the highest scoring countries in terms of transparency.</w:t>
      </w:r>
    </w:p>
    <w:p w14:paraId="570F29B7" w14:textId="77777777" w:rsidR="00FD2EA3" w:rsidRDefault="00FD2EA3" w:rsidP="009E3730">
      <w:pPr>
        <w:widowControl w:val="0"/>
        <w:suppressAutoHyphens/>
      </w:pPr>
    </w:p>
    <w:p w14:paraId="2D29E87B" w14:textId="7C53AEEF" w:rsidR="004F716D" w:rsidRDefault="004F716D" w:rsidP="009E3730">
      <w:pPr>
        <w:widowControl w:val="0"/>
        <w:suppressAutoHyphens/>
      </w:pPr>
      <w:r>
        <w:t>The latest Open Budget Survey (OBS) published by the International Budget Partnership (IBP) in 2015. The next OBS is scheduled for 2017 (based on 2016 data), but there was a limited update published on the IBP website in December 2016.</w:t>
      </w:r>
    </w:p>
    <w:p w14:paraId="0C041F12" w14:textId="77777777" w:rsidR="004F716D" w:rsidRDefault="004F716D" w:rsidP="009E3730">
      <w:pPr>
        <w:widowControl w:val="0"/>
        <w:suppressAutoHyphens/>
      </w:pPr>
    </w:p>
    <w:p w14:paraId="7BC04132" w14:textId="5E9A3937" w:rsidR="00FD2EA3" w:rsidRDefault="00FD2EA3" w:rsidP="009E3730">
      <w:pPr>
        <w:widowControl w:val="0"/>
        <w:suppressAutoHyphens/>
      </w:pPr>
      <w:r>
        <w:t xml:space="preserve">Georgia scored 66 out of 100 in the </w:t>
      </w:r>
      <w:r w:rsidR="004F716D">
        <w:t>2015</w:t>
      </w:r>
      <w:r>
        <w:t xml:space="preserve"> </w:t>
      </w:r>
      <w:r w:rsidR="00A42170">
        <w:t xml:space="preserve">OBS </w:t>
      </w:r>
      <w:r>
        <w:t xml:space="preserve">(on the basis of 109 indicators evaluated through a questionnaire on 2014 data). This represented an improvement from a score of 55 recorded for the OBS in 2012 and 2010, </w:t>
      </w:r>
      <w:r w:rsidRPr="006C0815">
        <w:t>53% in 2008 and 33% in 2006 and compares with a global average of 45 (43 in 2012) for the 102 countries surveyed.</w:t>
      </w:r>
      <w:r>
        <w:t xml:space="preserve"> Significantly this improved Georgia's ranking in the Open Budget Index from 33rd in 2012 to 16th in 2015. Within the OBI Central Asia region, Georgia remained second behind Russia (which score 74) as in 2012. This marks transparency in Georgia as 'substantial'.</w:t>
      </w:r>
      <w:r w:rsidR="004F716D">
        <w:t xml:space="preserve"> Given the indication in the December 2016 update of improved transparency, the score for 2017 should improve, but rankings against other countries will depend on developments towards transparency in those countries.</w:t>
      </w:r>
    </w:p>
    <w:p w14:paraId="199214B3" w14:textId="77777777" w:rsidR="00FD2EA3" w:rsidRDefault="00FD2EA3" w:rsidP="009E3730">
      <w:pPr>
        <w:widowControl w:val="0"/>
        <w:suppressAutoHyphens/>
      </w:pPr>
    </w:p>
    <w:p w14:paraId="1C44DE59" w14:textId="6042901F" w:rsidR="004F716D" w:rsidRDefault="00FD2EA3" w:rsidP="009E3730">
      <w:pPr>
        <w:widowControl w:val="0"/>
        <w:suppressAutoHyphens/>
      </w:pPr>
      <w:r>
        <w:t>Three additional key documents used for assessment in the OBS were made publicly available in 2014, notably a Citizen's Budget</w:t>
      </w:r>
      <w:r>
        <w:rPr>
          <w:rStyle w:val="FootnoteReference"/>
        </w:rPr>
        <w:footnoteReference w:id="31"/>
      </w:r>
      <w:r>
        <w:t xml:space="preserve">, publication of which in 2015 was brought forward before the budget was adopted by Parliament, strengthening both Parliamentary and civil society oversight. In-year and end-year reports, available at the time of the 2012 assessment but for internal consumption, were publicly available in 2014. </w:t>
      </w:r>
      <w:r w:rsidR="004F716D">
        <w:t xml:space="preserve">In the </w:t>
      </w:r>
      <w:r w:rsidR="00A42170">
        <w:t xml:space="preserve">2015 OBS </w:t>
      </w:r>
      <w:r w:rsidR="004F716D">
        <w:t>t</w:t>
      </w:r>
      <w:r>
        <w:t>he Mid-year Review, not only reporting on expenditure outturn but also assessing variations from forecasts explaining variations from budget, was the only key document reported as not produced</w:t>
      </w:r>
      <w:r>
        <w:rPr>
          <w:rStyle w:val="FootnoteReference"/>
        </w:rPr>
        <w:footnoteReference w:id="32"/>
      </w:r>
      <w:r>
        <w:t xml:space="preserve">. </w:t>
      </w:r>
      <w:r w:rsidR="004F716D">
        <w:t>However, the end-December 2016 update reports that the Mid-Year Review to the required quality is now publicly available. As a result, all 8 key documents used for the OBS assessment are now publicly available.</w:t>
      </w:r>
    </w:p>
    <w:p w14:paraId="7C5FB056" w14:textId="77777777" w:rsidR="004F716D" w:rsidRDefault="004F716D" w:rsidP="009E3730">
      <w:pPr>
        <w:widowControl w:val="0"/>
        <w:suppressAutoHyphens/>
      </w:pPr>
    </w:p>
    <w:p w14:paraId="1430E27C" w14:textId="1912AC10" w:rsidR="00FD2EA3" w:rsidRDefault="00FD2EA3" w:rsidP="009E3730">
      <w:pPr>
        <w:widowControl w:val="0"/>
        <w:suppressAutoHyphens/>
      </w:pPr>
      <w:r>
        <w:t>In terms of usefulness</w:t>
      </w:r>
      <w:r>
        <w:rPr>
          <w:rStyle w:val="FootnoteReference"/>
        </w:rPr>
        <w:footnoteReference w:id="33"/>
      </w:r>
      <w:r>
        <w:t xml:space="preserve">, the 2015 OBS ranked the Citizen's Budget as minimal, the Pre-Budget Statement, Executive's Budget Proposal, End-Year Reports, and the Audit Report as 'substantial' but the Enacted Budget and In-Year Reports as 'extensive'. However, the quality and comprehensiveness of budget documents has been progressively improving over recent years. This is reflected not only in successive OBS assessments but also in the latest EUD transparency eligibility assessment in March 2016, which concluded that the six key documents used for the assessment (excluding from the OBS list the Pre-Budget Statement </w:t>
      </w:r>
      <w:r>
        <w:lastRenderedPageBreak/>
        <w:t>and the Citizen's Budget) were both timely and comprehensive</w:t>
      </w:r>
      <w:r>
        <w:rPr>
          <w:rStyle w:val="FootnoteReference"/>
        </w:rPr>
        <w:footnoteReference w:id="34"/>
      </w:r>
      <w:r>
        <w:t>.</w:t>
      </w:r>
    </w:p>
    <w:p w14:paraId="326D5F27" w14:textId="77777777" w:rsidR="00FD2EA3" w:rsidRDefault="00FD2EA3" w:rsidP="009E3730">
      <w:pPr>
        <w:widowControl w:val="0"/>
        <w:suppressAutoHyphens/>
      </w:pPr>
    </w:p>
    <w:p w14:paraId="28E8262C" w14:textId="77777777" w:rsidR="00FD2EA3" w:rsidRDefault="00FD2EA3" w:rsidP="009E3730">
      <w:pPr>
        <w:widowControl w:val="0"/>
        <w:suppressAutoHyphens/>
      </w:pPr>
      <w:r>
        <w:t xml:space="preserve">In terms of public participation, the 2015 OBS considered this 'weak' at the Executive (or Government) level, good (or 'adequate') at the Parliamentary level, and 'limited' at the Supreme Audit Institution level. Overall, the 2015 OBS awarded a score of 46 on public participation on the situation in 2014. However, this was before the Citizen's budget was made available before the discussions in Parliament and, perhaps more significantly, before the Government established their on-line survey </w:t>
      </w:r>
      <w:r w:rsidRPr="00C24E9A">
        <w:t>“</w:t>
      </w:r>
      <w:r w:rsidRPr="002F7E49">
        <w:rPr>
          <w:i/>
        </w:rPr>
        <w:t>Participate in Budget Planning and Define Priority Directions</w:t>
      </w:r>
      <w:r w:rsidRPr="00C24E9A">
        <w:t xml:space="preserve">” </w:t>
      </w:r>
      <w:r>
        <w:t>(</w:t>
      </w:r>
      <w:r w:rsidRPr="00C24E9A">
        <w:t xml:space="preserve">at </w:t>
      </w:r>
      <w:r w:rsidRPr="002F7E49">
        <w:rPr>
          <w:rStyle w:val="Hyperlink"/>
        </w:rPr>
        <w:t>http://survey.mof.ge/</w:t>
      </w:r>
      <w:r>
        <w:t xml:space="preserve">), on which </w:t>
      </w:r>
      <w:r w:rsidRPr="00C24E9A">
        <w:t>in 2015 more than 4,500 people expressed their opinions regarding budget priorities.</w:t>
      </w:r>
    </w:p>
    <w:p w14:paraId="6D0D3901" w14:textId="77777777" w:rsidR="00FD2EA3" w:rsidRDefault="00FD2EA3" w:rsidP="009E3730">
      <w:pPr>
        <w:widowControl w:val="0"/>
        <w:suppressAutoHyphens/>
      </w:pPr>
    </w:p>
    <w:p w14:paraId="2F50BF18" w14:textId="3D4C433F" w:rsidR="00FD2EA3" w:rsidRPr="00057197" w:rsidRDefault="00FD2EA3" w:rsidP="009E3730">
      <w:pPr>
        <w:widowControl w:val="0"/>
        <w:suppressAutoHyphens/>
        <w:adjustRightInd w:val="0"/>
      </w:pPr>
      <w:r w:rsidRPr="00057197">
        <w:t>The 2015 OBS ranks Parliamentary oversight of the budget, both during the planning and implementation stages of the budget cycle, and Supreme Audit Institution oversight as 'adequate'. The main problem identified is that Government maintains discretion over the use of contingency funds, not included in the enacted budget, without having to achieve Parliamentary approval. For the Supreme Audit Institution (the State Audit Office</w:t>
      </w:r>
      <w:r>
        <w:t xml:space="preserve"> - SAO</w:t>
      </w:r>
      <w:r w:rsidRPr="00057197">
        <w:t xml:space="preserve">), the OBS noted that it </w:t>
      </w:r>
      <w:r w:rsidRPr="00057197">
        <w:rPr>
          <w:lang w:eastAsia="en-GB"/>
        </w:rPr>
        <w:t>has full discretion to undertake audits as it sees fit; that the head cannot be removed without legislative or judicial ap</w:t>
      </w:r>
      <w:r w:rsidR="00D4599B">
        <w:rPr>
          <w:lang w:eastAsia="en-GB"/>
        </w:rPr>
        <w:t>proval (</w:t>
      </w:r>
      <w:r w:rsidRPr="00057197">
        <w:rPr>
          <w:lang w:eastAsia="en-GB"/>
        </w:rPr>
        <w:t xml:space="preserve">bolstering its independence); and that it is provided with sufficient resources to fulfil its mandate and has an adequate quality assurance system in place. Overall the country scored 73/100 with respect of oversight by </w:t>
      </w:r>
      <w:r>
        <w:rPr>
          <w:lang w:eastAsia="en-GB"/>
        </w:rPr>
        <w:t>Parliament</w:t>
      </w:r>
      <w:r w:rsidRPr="00057197">
        <w:rPr>
          <w:lang w:eastAsia="en-GB"/>
        </w:rPr>
        <w:t xml:space="preserve"> but 100/100 with respect to ove</w:t>
      </w:r>
      <w:r>
        <w:rPr>
          <w:lang w:eastAsia="en-GB"/>
        </w:rPr>
        <w:t>rsight by the SAO (compared with 92% in 2012)</w:t>
      </w:r>
      <w:r w:rsidRPr="00057197">
        <w:rPr>
          <w:lang w:eastAsia="en-GB"/>
        </w:rPr>
        <w:t>.</w:t>
      </w:r>
    </w:p>
    <w:p w14:paraId="47BFCC91" w14:textId="77777777" w:rsidR="00FD2EA3" w:rsidRDefault="00FD2EA3" w:rsidP="009E3730">
      <w:pPr>
        <w:widowControl w:val="0"/>
        <w:suppressAutoHyphens/>
      </w:pPr>
    </w:p>
    <w:p w14:paraId="2417B024" w14:textId="77777777" w:rsidR="00FD2EA3" w:rsidRDefault="00FD2EA3" w:rsidP="009E3730">
      <w:pPr>
        <w:widowControl w:val="0"/>
        <w:suppressAutoHyphens/>
      </w:pPr>
      <w:r>
        <w:t xml:space="preserve">During 2015, Parliamentary oversight of budget execution was further enhanced by the establishment of Parliament's Budget Office as an independent financial institution, </w:t>
      </w:r>
      <w:r w:rsidRPr="00C24E9A">
        <w:t>providing independent and expert advice to the Parliament on the fiscal and macroeconomic environment and contributing to the Parliamentary oversight of the budget process.</w:t>
      </w:r>
      <w:r>
        <w:t xml:space="preserve"> Furthermore, </w:t>
      </w:r>
      <w:r w:rsidRPr="00C24E9A">
        <w:t xml:space="preserve">the Parliamentary Budget and Finance Committee </w:t>
      </w:r>
      <w:r>
        <w:t xml:space="preserve">now holds quarterly meetings to consider SAO reports on budget execution and has held public hearings on SAO Annual Audit Reports and in 2015 </w:t>
      </w:r>
      <w:r w:rsidRPr="00C24E9A">
        <w:t xml:space="preserve">set up a working group </w:t>
      </w:r>
      <w:r>
        <w:t>to consider</w:t>
      </w:r>
      <w:r w:rsidRPr="00C24E9A">
        <w:t xml:space="preserve"> </w:t>
      </w:r>
      <w:r>
        <w:t xml:space="preserve">SAO </w:t>
      </w:r>
      <w:r w:rsidRPr="00C24E9A">
        <w:t xml:space="preserve">audit reports </w:t>
      </w:r>
      <w:r>
        <w:t>on public agencies, supporting Parliamentary actions to address identified issues and the agencies to implement SAO recommendations</w:t>
      </w:r>
      <w:r>
        <w:rPr>
          <w:rStyle w:val="FootnoteReference"/>
        </w:rPr>
        <w:footnoteReference w:id="35"/>
      </w:r>
      <w:r>
        <w:t>.</w:t>
      </w:r>
    </w:p>
    <w:p w14:paraId="3BCD2A46" w14:textId="77777777" w:rsidR="00FD2EA3" w:rsidRDefault="00FD2EA3" w:rsidP="009E3730">
      <w:pPr>
        <w:widowControl w:val="0"/>
        <w:suppressAutoHyphens/>
      </w:pPr>
    </w:p>
    <w:p w14:paraId="48DB8710" w14:textId="77777777" w:rsidR="00FD2EA3" w:rsidRDefault="00FD2EA3" w:rsidP="009E3730">
      <w:pPr>
        <w:widowControl w:val="0"/>
        <w:suppressAutoHyphens/>
      </w:pPr>
      <w:r>
        <w:t>Over recent years the SAO has been strengthened in terms of independence, procedures, financial and human resources, and the quality of its audit services and auditors enhanced (with EU technical assistance</w:t>
      </w:r>
      <w:r>
        <w:rPr>
          <w:rStyle w:val="FootnoteReference"/>
        </w:rPr>
        <w:footnoteReference w:id="36"/>
      </w:r>
      <w:r>
        <w:t>). SAO actions now largely conform to International Organization of Supreme Audit Institutions (INTOSAI) standards. This has addressed the concerns expressed by the IBP in the 2012 OBS and is reflected in the high score for supreme audit institution oversight in the 2015 OBS.</w:t>
      </w:r>
    </w:p>
    <w:p w14:paraId="28D93D2B" w14:textId="77777777" w:rsidR="00FD2EA3" w:rsidRDefault="00FD2EA3" w:rsidP="009E3730">
      <w:pPr>
        <w:widowControl w:val="0"/>
        <w:suppressAutoHyphens/>
      </w:pPr>
    </w:p>
    <w:p w14:paraId="310C519F" w14:textId="77777777" w:rsidR="00FD2EA3" w:rsidRDefault="00FD2EA3" w:rsidP="009E3730">
      <w:pPr>
        <w:widowControl w:val="0"/>
        <w:suppressAutoHyphens/>
      </w:pPr>
      <w:r>
        <w:t>Despite the generally good conclusions of the 2015 OBS, the following recommendations were made</w:t>
      </w:r>
    </w:p>
    <w:p w14:paraId="40A400AD" w14:textId="77777777" w:rsidR="00FD2EA3" w:rsidRDefault="00FD2EA3" w:rsidP="009E3730">
      <w:pPr>
        <w:widowControl w:val="0"/>
        <w:suppressAutoHyphens/>
      </w:pPr>
    </w:p>
    <w:p w14:paraId="6EBAC45D" w14:textId="77777777" w:rsidR="00FD2EA3" w:rsidRPr="00786D66" w:rsidRDefault="00FD2EA3" w:rsidP="007C295F">
      <w:pPr>
        <w:widowControl w:val="0"/>
        <w:numPr>
          <w:ilvl w:val="0"/>
          <w:numId w:val="28"/>
        </w:numPr>
        <w:suppressAutoHyphens/>
        <w:autoSpaceDE w:val="0"/>
        <w:autoSpaceDN w:val="0"/>
        <w:adjustRightInd w:val="0"/>
        <w:rPr>
          <w:lang w:eastAsia="en-GB"/>
        </w:rPr>
      </w:pPr>
      <w:r w:rsidRPr="00786D66">
        <w:rPr>
          <w:bCs/>
          <w:lang w:eastAsia="en-GB"/>
        </w:rPr>
        <w:t xml:space="preserve">on improving transparency: </w:t>
      </w:r>
      <w:r>
        <w:rPr>
          <w:lang w:eastAsia="en-GB"/>
        </w:rPr>
        <w:t>Georgia should</w:t>
      </w:r>
    </w:p>
    <w:p w14:paraId="0E0C039F" w14:textId="749FE99F" w:rsidR="00FD2EA3" w:rsidRPr="00786D66" w:rsidRDefault="00FD2EA3" w:rsidP="007C295F">
      <w:pPr>
        <w:widowControl w:val="0"/>
        <w:numPr>
          <w:ilvl w:val="1"/>
          <w:numId w:val="29"/>
        </w:numPr>
        <w:suppressAutoHyphens/>
        <w:autoSpaceDE w:val="0"/>
        <w:autoSpaceDN w:val="0"/>
        <w:adjustRightInd w:val="0"/>
        <w:rPr>
          <w:lang w:eastAsia="en-GB"/>
        </w:rPr>
      </w:pPr>
      <w:r w:rsidRPr="00786D66">
        <w:rPr>
          <w:lang w:eastAsia="en-GB"/>
        </w:rPr>
        <w:t>produce and publish a Mid-Year Review</w:t>
      </w:r>
      <w:r w:rsidR="00A42170">
        <w:rPr>
          <w:lang w:eastAsia="en-GB"/>
        </w:rPr>
        <w:t xml:space="preserve"> (already met)</w:t>
      </w:r>
      <w:r w:rsidRPr="00786D66">
        <w:rPr>
          <w:lang w:eastAsia="en-GB"/>
        </w:rPr>
        <w:t>;</w:t>
      </w:r>
    </w:p>
    <w:p w14:paraId="7DF3AA86" w14:textId="77777777" w:rsidR="00FD2EA3" w:rsidRPr="00786D66" w:rsidRDefault="00FD2EA3" w:rsidP="007C295F">
      <w:pPr>
        <w:widowControl w:val="0"/>
        <w:numPr>
          <w:ilvl w:val="1"/>
          <w:numId w:val="29"/>
        </w:numPr>
        <w:suppressAutoHyphens/>
        <w:autoSpaceDE w:val="0"/>
        <w:autoSpaceDN w:val="0"/>
        <w:adjustRightInd w:val="0"/>
        <w:rPr>
          <w:lang w:eastAsia="en-GB"/>
        </w:rPr>
      </w:pPr>
      <w:r w:rsidRPr="00786D66">
        <w:rPr>
          <w:lang w:eastAsia="en-GB"/>
        </w:rPr>
        <w:t>increase the comprehensiveness of the Executive’s Budget Proposal by, for example, presenting verifiable (quantitative) output and outcome indicators in the programme budget appendix that can help measure deliverables in the sub-programmes and their impact over the period of four years; and</w:t>
      </w:r>
    </w:p>
    <w:p w14:paraId="07E1C6A0" w14:textId="77777777" w:rsidR="00FD2EA3" w:rsidRPr="00786D66" w:rsidRDefault="00FD2EA3" w:rsidP="007C295F">
      <w:pPr>
        <w:widowControl w:val="0"/>
        <w:numPr>
          <w:ilvl w:val="1"/>
          <w:numId w:val="29"/>
        </w:numPr>
        <w:suppressAutoHyphens/>
        <w:autoSpaceDE w:val="0"/>
        <w:autoSpaceDN w:val="0"/>
      </w:pPr>
      <w:r w:rsidRPr="00786D66">
        <w:rPr>
          <w:lang w:eastAsia="en-GB"/>
        </w:rPr>
        <w:lastRenderedPageBreak/>
        <w:t>increase the comprehensiveness of the Year-End Report.</w:t>
      </w:r>
    </w:p>
    <w:p w14:paraId="7B8DA9FC" w14:textId="77777777" w:rsidR="00FD2EA3" w:rsidRPr="00786D66" w:rsidRDefault="00FD2EA3" w:rsidP="007C295F">
      <w:pPr>
        <w:widowControl w:val="0"/>
        <w:numPr>
          <w:ilvl w:val="0"/>
          <w:numId w:val="28"/>
        </w:numPr>
        <w:suppressAutoHyphens/>
        <w:autoSpaceDE w:val="0"/>
        <w:autoSpaceDN w:val="0"/>
        <w:adjustRightInd w:val="0"/>
        <w:rPr>
          <w:lang w:eastAsia="en-GB"/>
        </w:rPr>
      </w:pPr>
      <w:r w:rsidRPr="00786D66">
        <w:rPr>
          <w:bCs/>
          <w:lang w:eastAsia="en-GB"/>
        </w:rPr>
        <w:t xml:space="preserve">on improving public participation: </w:t>
      </w:r>
      <w:r w:rsidRPr="00786D66">
        <w:rPr>
          <w:lang w:eastAsia="en-GB"/>
        </w:rPr>
        <w:t xml:space="preserve">Georgia should prioritize </w:t>
      </w:r>
    </w:p>
    <w:p w14:paraId="04BF1BCA" w14:textId="77777777" w:rsidR="00FD2EA3" w:rsidRPr="00786D66" w:rsidRDefault="00FD2EA3" w:rsidP="007C295F">
      <w:pPr>
        <w:widowControl w:val="0"/>
        <w:numPr>
          <w:ilvl w:val="1"/>
          <w:numId w:val="30"/>
        </w:numPr>
        <w:suppressAutoHyphens/>
        <w:autoSpaceDE w:val="0"/>
        <w:autoSpaceDN w:val="0"/>
        <w:adjustRightInd w:val="0"/>
        <w:rPr>
          <w:lang w:eastAsia="en-GB"/>
        </w:rPr>
      </w:pPr>
      <w:r w:rsidRPr="00786D66">
        <w:rPr>
          <w:lang w:eastAsia="en-GB"/>
        </w:rPr>
        <w:t>establishment of credible and effective mechanisms (i.e., public hearings, surveys, focus groups) for capturing a range of public perspectives on budget matters;</w:t>
      </w:r>
    </w:p>
    <w:p w14:paraId="3299D5F2" w14:textId="77777777" w:rsidR="00FD2EA3" w:rsidRPr="00786D66" w:rsidRDefault="00FD2EA3" w:rsidP="007C295F">
      <w:pPr>
        <w:widowControl w:val="0"/>
        <w:numPr>
          <w:ilvl w:val="1"/>
          <w:numId w:val="30"/>
        </w:numPr>
        <w:suppressAutoHyphens/>
        <w:autoSpaceDE w:val="0"/>
        <w:autoSpaceDN w:val="0"/>
        <w:adjustRightInd w:val="0"/>
        <w:rPr>
          <w:lang w:eastAsia="en-GB"/>
        </w:rPr>
      </w:pPr>
      <w:r w:rsidRPr="00786D66">
        <w:rPr>
          <w:lang w:eastAsia="en-GB"/>
        </w:rPr>
        <w:t>the public is informed of the purpose of public budget engagements and provide sufficient information for effective participation; and</w:t>
      </w:r>
    </w:p>
    <w:p w14:paraId="52B17C48" w14:textId="77777777" w:rsidR="00FD2EA3" w:rsidRPr="00786D66" w:rsidRDefault="00FD2EA3" w:rsidP="007C295F">
      <w:pPr>
        <w:widowControl w:val="0"/>
        <w:numPr>
          <w:ilvl w:val="1"/>
          <w:numId w:val="30"/>
        </w:numPr>
        <w:suppressAutoHyphens/>
        <w:autoSpaceDE w:val="0"/>
        <w:autoSpaceDN w:val="0"/>
        <w:adjustRightInd w:val="0"/>
      </w:pPr>
      <w:r>
        <w:rPr>
          <w:lang w:eastAsia="en-GB"/>
        </w:rPr>
        <w:t xml:space="preserve">the provision of </w:t>
      </w:r>
      <w:r w:rsidRPr="00786D66">
        <w:rPr>
          <w:lang w:eastAsia="en-GB"/>
        </w:rPr>
        <w:t>detailed feedback on how public assistance and participation has been used by the State Audit Office.</w:t>
      </w:r>
    </w:p>
    <w:p w14:paraId="7DF9A80D" w14:textId="77777777" w:rsidR="00FD2EA3" w:rsidRPr="00786D66" w:rsidRDefault="00FD2EA3" w:rsidP="007C295F">
      <w:pPr>
        <w:widowControl w:val="0"/>
        <w:numPr>
          <w:ilvl w:val="0"/>
          <w:numId w:val="28"/>
        </w:numPr>
        <w:suppressAutoHyphens/>
        <w:autoSpaceDE w:val="0"/>
        <w:autoSpaceDN w:val="0"/>
        <w:adjustRightInd w:val="0"/>
      </w:pPr>
      <w:r w:rsidRPr="00786D66">
        <w:rPr>
          <w:bCs/>
          <w:lang w:eastAsia="en-GB"/>
        </w:rPr>
        <w:t xml:space="preserve">on improving oversight: </w:t>
      </w:r>
      <w:r w:rsidRPr="00786D66">
        <w:rPr>
          <w:lang w:eastAsia="en-GB"/>
        </w:rPr>
        <w:t>Georgia should ensure in both law and practice that the legislature is consulted prior to the spending of contingency funds that were not identified in the Enacted Budget.</w:t>
      </w:r>
    </w:p>
    <w:p w14:paraId="6DB0E904" w14:textId="77777777" w:rsidR="00FD2EA3" w:rsidRPr="00786D66" w:rsidRDefault="00FD2EA3" w:rsidP="009E3730">
      <w:pPr>
        <w:widowControl w:val="0"/>
        <w:suppressAutoHyphens/>
      </w:pPr>
    </w:p>
    <w:p w14:paraId="36E826AE" w14:textId="77777777" w:rsidR="00FD2EA3" w:rsidRDefault="00FD2EA3" w:rsidP="009E3730">
      <w:pPr>
        <w:widowControl w:val="0"/>
        <w:suppressAutoHyphens/>
      </w:pPr>
      <w:r>
        <w:t>As noted above, measures have already been taken to include participation, though of course the effectiveness of such participation depends on the extent to which the public's wishes are taken into account in any modifications to the Executive's budget proposal and the final enacted budget.</w:t>
      </w:r>
    </w:p>
    <w:p w14:paraId="0320AE2B" w14:textId="77777777" w:rsidR="00FD2EA3" w:rsidRDefault="00FD2EA3" w:rsidP="009E3730">
      <w:pPr>
        <w:widowControl w:val="0"/>
        <w:suppressAutoHyphens/>
      </w:pPr>
    </w:p>
    <w:p w14:paraId="17C649A4" w14:textId="5F2D4073" w:rsidR="00FD2EA3" w:rsidRDefault="00FD2EA3" w:rsidP="009E3730">
      <w:pPr>
        <w:widowControl w:val="0"/>
        <w:suppressAutoHyphens/>
      </w:pPr>
      <w:r>
        <w:t>With the last Public Expenditure Financial Accountability (PEFA) assessment in 2012</w:t>
      </w:r>
      <w:r w:rsidR="00F46A5A">
        <w:t xml:space="preserve"> (Table 7)</w:t>
      </w:r>
      <w:r>
        <w:t xml:space="preserve">, no additional information on improved transparency and insight is available, although the Ministry of Finance (MoF) has produced a report </w:t>
      </w:r>
      <w:r w:rsidR="00D4599B">
        <w:t xml:space="preserve">in 2016 </w:t>
      </w:r>
      <w:r>
        <w:t xml:space="preserve">on progress in the implementation of the PFM Policy Reform Strategy for 2014-2017, </w:t>
      </w:r>
      <w:r w:rsidR="00D4599B">
        <w:t>which supports the general conclusions on transparency</w:t>
      </w:r>
      <w:r>
        <w:t>.</w:t>
      </w:r>
    </w:p>
    <w:p w14:paraId="2D03DDE4" w14:textId="77777777" w:rsidR="00FD2EA3" w:rsidRDefault="00FD2EA3" w:rsidP="009E3730">
      <w:pPr>
        <w:widowControl w:val="0"/>
        <w:suppressAutoHyphens/>
      </w:pPr>
    </w:p>
    <w:p w14:paraId="08643EFC" w14:textId="2DBFE874" w:rsidR="00FD2EA3" w:rsidRPr="00177D20" w:rsidRDefault="00E55184" w:rsidP="009E3730">
      <w:pPr>
        <w:widowControl w:val="0"/>
        <w:suppressAutoHyphens/>
        <w:jc w:val="center"/>
        <w:rPr>
          <w:b/>
        </w:rPr>
      </w:pPr>
      <w:r>
        <w:rPr>
          <w:b/>
        </w:rPr>
        <w:t xml:space="preserve">Table </w:t>
      </w:r>
      <w:r w:rsidR="005F2D2B">
        <w:rPr>
          <w:b/>
        </w:rPr>
        <w:t>7</w:t>
      </w:r>
      <w:r w:rsidR="00FD2EA3" w:rsidRPr="00177D20">
        <w:rPr>
          <w:b/>
        </w:rPr>
        <w:t>: P</w:t>
      </w:r>
      <w:r w:rsidR="00FD2EA3">
        <w:rPr>
          <w:b/>
        </w:rPr>
        <w:t>EFA Transparency Indicators</w:t>
      </w:r>
    </w:p>
    <w:p w14:paraId="08D10425" w14:textId="77777777" w:rsidR="00FD2EA3" w:rsidRDefault="00FD2EA3" w:rsidP="009E3730">
      <w:pPr>
        <w:widowControl w:val="0"/>
        <w:suppressAutoHyphens/>
      </w:pPr>
    </w:p>
    <w:tbl>
      <w:tblPr>
        <w:tblW w:w="8130"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5217"/>
        <w:gridCol w:w="828"/>
        <w:gridCol w:w="850"/>
      </w:tblGrid>
      <w:tr w:rsidR="00FD2EA3" w:rsidRPr="00484672" w14:paraId="6C036F73" w14:textId="77777777" w:rsidTr="005F1696">
        <w:trPr>
          <w:jc w:val="center"/>
        </w:trPr>
        <w:tc>
          <w:tcPr>
            <w:tcW w:w="1235" w:type="dxa"/>
            <w:shd w:val="clear" w:color="auto" w:fill="E0E0E0"/>
            <w:vAlign w:val="center"/>
          </w:tcPr>
          <w:p w14:paraId="67DB0731" w14:textId="77777777" w:rsidR="00FD2EA3" w:rsidRPr="00484672" w:rsidRDefault="00FD2EA3" w:rsidP="009E3730">
            <w:pPr>
              <w:widowControl w:val="0"/>
              <w:suppressAutoHyphens/>
              <w:jc w:val="center"/>
              <w:rPr>
                <w:b/>
                <w:sz w:val="20"/>
                <w:szCs w:val="20"/>
              </w:rPr>
            </w:pPr>
            <w:r w:rsidRPr="00484672">
              <w:rPr>
                <w:b/>
                <w:sz w:val="20"/>
                <w:szCs w:val="20"/>
              </w:rPr>
              <w:t>Indicator</w:t>
            </w:r>
          </w:p>
        </w:tc>
        <w:tc>
          <w:tcPr>
            <w:tcW w:w="5217" w:type="dxa"/>
            <w:shd w:val="clear" w:color="auto" w:fill="E0E0E0"/>
            <w:vAlign w:val="center"/>
          </w:tcPr>
          <w:p w14:paraId="58AFE1CE" w14:textId="77777777" w:rsidR="00FD2EA3" w:rsidRPr="00484672" w:rsidRDefault="00FD2EA3" w:rsidP="009E3730">
            <w:pPr>
              <w:widowControl w:val="0"/>
              <w:suppressAutoHyphens/>
              <w:jc w:val="center"/>
              <w:rPr>
                <w:b/>
                <w:sz w:val="20"/>
                <w:szCs w:val="20"/>
              </w:rPr>
            </w:pPr>
            <w:r w:rsidRPr="00484672">
              <w:rPr>
                <w:b/>
                <w:sz w:val="20"/>
                <w:szCs w:val="20"/>
              </w:rPr>
              <w:t>Description</w:t>
            </w:r>
          </w:p>
        </w:tc>
        <w:tc>
          <w:tcPr>
            <w:tcW w:w="828" w:type="dxa"/>
            <w:shd w:val="clear" w:color="auto" w:fill="E0E0E0"/>
            <w:vAlign w:val="center"/>
          </w:tcPr>
          <w:p w14:paraId="6E76711A" w14:textId="77777777" w:rsidR="00FD2EA3" w:rsidRPr="00484672" w:rsidRDefault="00FD2EA3" w:rsidP="009E3730">
            <w:pPr>
              <w:widowControl w:val="0"/>
              <w:suppressAutoHyphens/>
              <w:jc w:val="center"/>
              <w:rPr>
                <w:b/>
                <w:sz w:val="20"/>
                <w:szCs w:val="20"/>
              </w:rPr>
            </w:pPr>
            <w:r w:rsidRPr="00484672">
              <w:rPr>
                <w:b/>
                <w:sz w:val="20"/>
                <w:szCs w:val="20"/>
              </w:rPr>
              <w:t>Score (</w:t>
            </w:r>
            <w:r w:rsidRPr="00484672">
              <w:rPr>
                <w:b/>
                <w:i/>
                <w:sz w:val="20"/>
                <w:szCs w:val="20"/>
              </w:rPr>
              <w:t>2008</w:t>
            </w:r>
            <w:r w:rsidRPr="00484672">
              <w:rPr>
                <w:b/>
                <w:sz w:val="20"/>
                <w:szCs w:val="20"/>
              </w:rPr>
              <w:t>)</w:t>
            </w:r>
          </w:p>
        </w:tc>
        <w:tc>
          <w:tcPr>
            <w:tcW w:w="850" w:type="dxa"/>
            <w:shd w:val="clear" w:color="auto" w:fill="E0E0E0"/>
            <w:vAlign w:val="center"/>
          </w:tcPr>
          <w:p w14:paraId="50DDE768" w14:textId="77777777" w:rsidR="00FD2EA3" w:rsidRPr="00484672" w:rsidRDefault="00FD2EA3" w:rsidP="009E3730">
            <w:pPr>
              <w:widowControl w:val="0"/>
              <w:suppressAutoHyphens/>
              <w:jc w:val="center"/>
              <w:rPr>
                <w:b/>
                <w:sz w:val="20"/>
                <w:szCs w:val="20"/>
              </w:rPr>
            </w:pPr>
            <w:r w:rsidRPr="00484672">
              <w:rPr>
                <w:b/>
                <w:sz w:val="20"/>
                <w:szCs w:val="20"/>
              </w:rPr>
              <w:t>Score (</w:t>
            </w:r>
            <w:r w:rsidRPr="00484672">
              <w:rPr>
                <w:b/>
                <w:i/>
                <w:sz w:val="20"/>
                <w:szCs w:val="20"/>
              </w:rPr>
              <w:t>2012</w:t>
            </w:r>
            <w:r w:rsidRPr="00484672">
              <w:rPr>
                <w:b/>
                <w:sz w:val="20"/>
                <w:szCs w:val="20"/>
              </w:rPr>
              <w:t>)</w:t>
            </w:r>
          </w:p>
        </w:tc>
      </w:tr>
      <w:tr w:rsidR="00FD2EA3" w:rsidRPr="00484672" w14:paraId="69224631" w14:textId="77777777" w:rsidTr="005F1696">
        <w:trPr>
          <w:jc w:val="center"/>
        </w:trPr>
        <w:tc>
          <w:tcPr>
            <w:tcW w:w="1235" w:type="dxa"/>
            <w:shd w:val="clear" w:color="auto" w:fill="auto"/>
          </w:tcPr>
          <w:p w14:paraId="5AD7737B" w14:textId="77777777" w:rsidR="00FD2EA3" w:rsidRPr="00484672" w:rsidRDefault="00FD2EA3" w:rsidP="009E3730">
            <w:pPr>
              <w:widowControl w:val="0"/>
              <w:suppressAutoHyphens/>
              <w:rPr>
                <w:i/>
                <w:sz w:val="20"/>
                <w:szCs w:val="20"/>
              </w:rPr>
            </w:pPr>
            <w:r w:rsidRPr="00484672">
              <w:rPr>
                <w:sz w:val="20"/>
                <w:szCs w:val="20"/>
              </w:rPr>
              <w:t>PI-6</w:t>
            </w:r>
          </w:p>
        </w:tc>
        <w:tc>
          <w:tcPr>
            <w:tcW w:w="5217" w:type="dxa"/>
            <w:shd w:val="clear" w:color="auto" w:fill="auto"/>
            <w:vAlign w:val="center"/>
          </w:tcPr>
          <w:p w14:paraId="16761452" w14:textId="77777777" w:rsidR="00FD2EA3" w:rsidRPr="00484672" w:rsidRDefault="00FD2EA3" w:rsidP="009E3730">
            <w:pPr>
              <w:widowControl w:val="0"/>
              <w:suppressAutoHyphens/>
              <w:jc w:val="left"/>
              <w:rPr>
                <w:i/>
                <w:sz w:val="20"/>
                <w:szCs w:val="20"/>
              </w:rPr>
            </w:pPr>
            <w:r w:rsidRPr="00484672">
              <w:rPr>
                <w:sz w:val="20"/>
                <w:szCs w:val="20"/>
              </w:rPr>
              <w:t>Comprehensiveness of information included in budget documentation</w:t>
            </w:r>
          </w:p>
        </w:tc>
        <w:tc>
          <w:tcPr>
            <w:tcW w:w="828" w:type="dxa"/>
            <w:shd w:val="clear" w:color="auto" w:fill="auto"/>
          </w:tcPr>
          <w:p w14:paraId="4AF65113" w14:textId="77777777" w:rsidR="00FD2EA3" w:rsidRPr="00484672" w:rsidRDefault="00FD2EA3" w:rsidP="009E3730">
            <w:pPr>
              <w:widowControl w:val="0"/>
              <w:suppressAutoHyphens/>
              <w:jc w:val="center"/>
              <w:rPr>
                <w:sz w:val="20"/>
                <w:szCs w:val="20"/>
              </w:rPr>
            </w:pPr>
            <w:r w:rsidRPr="00484672">
              <w:rPr>
                <w:sz w:val="20"/>
                <w:szCs w:val="20"/>
              </w:rPr>
              <w:t>A</w:t>
            </w:r>
          </w:p>
        </w:tc>
        <w:tc>
          <w:tcPr>
            <w:tcW w:w="850" w:type="dxa"/>
            <w:shd w:val="clear" w:color="auto" w:fill="auto"/>
          </w:tcPr>
          <w:p w14:paraId="66912416" w14:textId="77777777" w:rsidR="00FD2EA3" w:rsidRPr="00484672" w:rsidRDefault="00FD2EA3" w:rsidP="009E3730">
            <w:pPr>
              <w:widowControl w:val="0"/>
              <w:suppressAutoHyphens/>
              <w:jc w:val="center"/>
              <w:rPr>
                <w:i/>
                <w:sz w:val="20"/>
                <w:szCs w:val="20"/>
              </w:rPr>
            </w:pPr>
            <w:r w:rsidRPr="00484672">
              <w:rPr>
                <w:i/>
                <w:sz w:val="20"/>
                <w:szCs w:val="20"/>
              </w:rPr>
              <w:t>A</w:t>
            </w:r>
          </w:p>
        </w:tc>
      </w:tr>
      <w:tr w:rsidR="00FD2EA3" w:rsidRPr="00484672" w14:paraId="62330AC2" w14:textId="77777777" w:rsidTr="005F1696">
        <w:trPr>
          <w:jc w:val="center"/>
        </w:trPr>
        <w:tc>
          <w:tcPr>
            <w:tcW w:w="1235" w:type="dxa"/>
            <w:shd w:val="clear" w:color="auto" w:fill="auto"/>
          </w:tcPr>
          <w:p w14:paraId="62EBBCB6" w14:textId="77777777" w:rsidR="00FD2EA3" w:rsidRPr="00484672" w:rsidRDefault="00FD2EA3" w:rsidP="009E3730">
            <w:pPr>
              <w:widowControl w:val="0"/>
              <w:suppressAutoHyphens/>
              <w:rPr>
                <w:i/>
                <w:sz w:val="20"/>
                <w:szCs w:val="20"/>
              </w:rPr>
            </w:pPr>
            <w:r w:rsidRPr="00484672">
              <w:rPr>
                <w:sz w:val="20"/>
                <w:szCs w:val="20"/>
              </w:rPr>
              <w:t>PI-10</w:t>
            </w:r>
          </w:p>
        </w:tc>
        <w:tc>
          <w:tcPr>
            <w:tcW w:w="5217" w:type="dxa"/>
            <w:shd w:val="clear" w:color="auto" w:fill="auto"/>
            <w:vAlign w:val="center"/>
          </w:tcPr>
          <w:p w14:paraId="08B37613" w14:textId="77777777" w:rsidR="00FD2EA3" w:rsidRPr="00484672" w:rsidRDefault="00FD2EA3" w:rsidP="009E3730">
            <w:pPr>
              <w:widowControl w:val="0"/>
              <w:suppressAutoHyphens/>
              <w:jc w:val="left"/>
              <w:rPr>
                <w:color w:val="000000"/>
                <w:sz w:val="20"/>
                <w:szCs w:val="20"/>
              </w:rPr>
            </w:pPr>
            <w:r w:rsidRPr="00484672">
              <w:rPr>
                <w:color w:val="000000"/>
                <w:sz w:val="20"/>
                <w:szCs w:val="20"/>
              </w:rPr>
              <w:t>Public access to key fiscal information</w:t>
            </w:r>
          </w:p>
        </w:tc>
        <w:tc>
          <w:tcPr>
            <w:tcW w:w="828" w:type="dxa"/>
            <w:shd w:val="clear" w:color="auto" w:fill="auto"/>
          </w:tcPr>
          <w:p w14:paraId="67C57637" w14:textId="77777777" w:rsidR="00FD2EA3" w:rsidRPr="00484672" w:rsidRDefault="00FD2EA3" w:rsidP="009E3730">
            <w:pPr>
              <w:widowControl w:val="0"/>
              <w:suppressAutoHyphens/>
              <w:jc w:val="center"/>
              <w:rPr>
                <w:i/>
                <w:sz w:val="20"/>
                <w:szCs w:val="20"/>
              </w:rPr>
            </w:pPr>
            <w:r w:rsidRPr="00484672">
              <w:rPr>
                <w:i/>
                <w:sz w:val="20"/>
                <w:szCs w:val="20"/>
              </w:rPr>
              <w:t>B</w:t>
            </w:r>
          </w:p>
        </w:tc>
        <w:tc>
          <w:tcPr>
            <w:tcW w:w="850" w:type="dxa"/>
            <w:shd w:val="clear" w:color="auto" w:fill="auto"/>
          </w:tcPr>
          <w:p w14:paraId="1D55087B" w14:textId="77777777" w:rsidR="00FD2EA3" w:rsidRPr="00484672" w:rsidRDefault="00FD2EA3" w:rsidP="009E3730">
            <w:pPr>
              <w:widowControl w:val="0"/>
              <w:suppressAutoHyphens/>
              <w:jc w:val="center"/>
              <w:rPr>
                <w:i/>
                <w:sz w:val="20"/>
                <w:szCs w:val="20"/>
              </w:rPr>
            </w:pPr>
            <w:r w:rsidRPr="00484672">
              <w:rPr>
                <w:i/>
                <w:sz w:val="20"/>
                <w:szCs w:val="20"/>
              </w:rPr>
              <w:t>A</w:t>
            </w:r>
          </w:p>
        </w:tc>
      </w:tr>
      <w:tr w:rsidR="00FD2EA3" w:rsidRPr="00484672" w14:paraId="56229036" w14:textId="77777777" w:rsidTr="005F1696">
        <w:trPr>
          <w:jc w:val="center"/>
        </w:trPr>
        <w:tc>
          <w:tcPr>
            <w:tcW w:w="1235" w:type="dxa"/>
            <w:shd w:val="clear" w:color="auto" w:fill="auto"/>
          </w:tcPr>
          <w:p w14:paraId="5B309788" w14:textId="77777777" w:rsidR="00FD2EA3" w:rsidRPr="00484672" w:rsidRDefault="00FD2EA3" w:rsidP="009E3730">
            <w:pPr>
              <w:widowControl w:val="0"/>
              <w:suppressAutoHyphens/>
              <w:rPr>
                <w:i/>
                <w:sz w:val="20"/>
                <w:szCs w:val="20"/>
              </w:rPr>
            </w:pPr>
            <w:r w:rsidRPr="00484672">
              <w:rPr>
                <w:sz w:val="20"/>
                <w:szCs w:val="20"/>
              </w:rPr>
              <w:t>PI-24</w:t>
            </w:r>
          </w:p>
        </w:tc>
        <w:tc>
          <w:tcPr>
            <w:tcW w:w="5217" w:type="dxa"/>
            <w:shd w:val="clear" w:color="auto" w:fill="auto"/>
            <w:vAlign w:val="center"/>
          </w:tcPr>
          <w:p w14:paraId="72321B30" w14:textId="77777777" w:rsidR="00FD2EA3" w:rsidRPr="00484672" w:rsidRDefault="00FD2EA3" w:rsidP="009E3730">
            <w:pPr>
              <w:widowControl w:val="0"/>
              <w:suppressAutoHyphens/>
              <w:jc w:val="left"/>
              <w:rPr>
                <w:color w:val="000000"/>
                <w:sz w:val="20"/>
                <w:szCs w:val="20"/>
              </w:rPr>
            </w:pPr>
            <w:r w:rsidRPr="00484672">
              <w:rPr>
                <w:color w:val="000000"/>
                <w:sz w:val="20"/>
                <w:szCs w:val="20"/>
              </w:rPr>
              <w:t>Quality and timeliness of in-year budget reports</w:t>
            </w:r>
          </w:p>
        </w:tc>
        <w:tc>
          <w:tcPr>
            <w:tcW w:w="828" w:type="dxa"/>
            <w:shd w:val="clear" w:color="auto" w:fill="auto"/>
          </w:tcPr>
          <w:p w14:paraId="0749F807" w14:textId="77777777" w:rsidR="00FD2EA3" w:rsidRPr="00484672" w:rsidRDefault="00FD2EA3" w:rsidP="009E3730">
            <w:pPr>
              <w:widowControl w:val="0"/>
              <w:suppressAutoHyphens/>
              <w:jc w:val="center"/>
              <w:rPr>
                <w:i/>
                <w:sz w:val="20"/>
                <w:szCs w:val="20"/>
              </w:rPr>
            </w:pPr>
            <w:r w:rsidRPr="00484672">
              <w:rPr>
                <w:i/>
                <w:sz w:val="20"/>
                <w:szCs w:val="20"/>
              </w:rPr>
              <w:t>B+</w:t>
            </w:r>
          </w:p>
        </w:tc>
        <w:tc>
          <w:tcPr>
            <w:tcW w:w="850" w:type="dxa"/>
            <w:shd w:val="clear" w:color="auto" w:fill="auto"/>
          </w:tcPr>
          <w:p w14:paraId="3BBCD41F" w14:textId="77777777" w:rsidR="00FD2EA3" w:rsidRPr="00484672" w:rsidRDefault="00FD2EA3" w:rsidP="009E3730">
            <w:pPr>
              <w:widowControl w:val="0"/>
              <w:suppressAutoHyphens/>
              <w:jc w:val="center"/>
              <w:rPr>
                <w:i/>
                <w:sz w:val="20"/>
                <w:szCs w:val="20"/>
              </w:rPr>
            </w:pPr>
            <w:r w:rsidRPr="00484672">
              <w:rPr>
                <w:i/>
                <w:sz w:val="20"/>
                <w:szCs w:val="20"/>
              </w:rPr>
              <w:t>A</w:t>
            </w:r>
          </w:p>
        </w:tc>
      </w:tr>
      <w:tr w:rsidR="00FD2EA3" w:rsidRPr="00484672" w14:paraId="272A28B5" w14:textId="77777777" w:rsidTr="005F1696">
        <w:trPr>
          <w:jc w:val="center"/>
        </w:trPr>
        <w:tc>
          <w:tcPr>
            <w:tcW w:w="1235" w:type="dxa"/>
            <w:shd w:val="clear" w:color="auto" w:fill="auto"/>
          </w:tcPr>
          <w:p w14:paraId="0703577D" w14:textId="77777777" w:rsidR="00FD2EA3" w:rsidRPr="00484672" w:rsidRDefault="00FD2EA3" w:rsidP="009E3730">
            <w:pPr>
              <w:widowControl w:val="0"/>
              <w:suppressAutoHyphens/>
              <w:rPr>
                <w:i/>
                <w:sz w:val="20"/>
                <w:szCs w:val="20"/>
              </w:rPr>
            </w:pPr>
            <w:r w:rsidRPr="00484672">
              <w:rPr>
                <w:sz w:val="20"/>
                <w:szCs w:val="20"/>
              </w:rPr>
              <w:t>PI-25</w:t>
            </w:r>
          </w:p>
        </w:tc>
        <w:tc>
          <w:tcPr>
            <w:tcW w:w="5217" w:type="dxa"/>
            <w:shd w:val="clear" w:color="auto" w:fill="auto"/>
            <w:vAlign w:val="center"/>
          </w:tcPr>
          <w:p w14:paraId="26401128" w14:textId="77777777" w:rsidR="00FD2EA3" w:rsidRPr="00484672" w:rsidRDefault="00FD2EA3" w:rsidP="009E3730">
            <w:pPr>
              <w:widowControl w:val="0"/>
              <w:suppressAutoHyphens/>
              <w:jc w:val="left"/>
              <w:rPr>
                <w:i/>
                <w:sz w:val="20"/>
                <w:szCs w:val="20"/>
              </w:rPr>
            </w:pPr>
            <w:r w:rsidRPr="00484672">
              <w:rPr>
                <w:sz w:val="20"/>
                <w:szCs w:val="20"/>
              </w:rPr>
              <w:t>Quality and timeliness of annual financial statements</w:t>
            </w:r>
          </w:p>
        </w:tc>
        <w:tc>
          <w:tcPr>
            <w:tcW w:w="828" w:type="dxa"/>
            <w:shd w:val="clear" w:color="auto" w:fill="auto"/>
          </w:tcPr>
          <w:p w14:paraId="02DEEE99" w14:textId="77777777" w:rsidR="00FD2EA3" w:rsidRPr="00484672" w:rsidRDefault="00FD2EA3" w:rsidP="009E3730">
            <w:pPr>
              <w:widowControl w:val="0"/>
              <w:suppressAutoHyphens/>
              <w:jc w:val="center"/>
              <w:rPr>
                <w:i/>
                <w:sz w:val="20"/>
                <w:szCs w:val="20"/>
              </w:rPr>
            </w:pPr>
            <w:r w:rsidRPr="00484672">
              <w:rPr>
                <w:i/>
                <w:sz w:val="20"/>
                <w:szCs w:val="20"/>
              </w:rPr>
              <w:t>D+</w:t>
            </w:r>
          </w:p>
        </w:tc>
        <w:tc>
          <w:tcPr>
            <w:tcW w:w="850" w:type="dxa"/>
            <w:shd w:val="clear" w:color="auto" w:fill="auto"/>
          </w:tcPr>
          <w:p w14:paraId="3D740680" w14:textId="77777777" w:rsidR="00FD2EA3" w:rsidRPr="00484672" w:rsidRDefault="00FD2EA3" w:rsidP="009E3730">
            <w:pPr>
              <w:widowControl w:val="0"/>
              <w:suppressAutoHyphens/>
              <w:jc w:val="center"/>
              <w:rPr>
                <w:i/>
                <w:sz w:val="20"/>
                <w:szCs w:val="20"/>
              </w:rPr>
            </w:pPr>
            <w:r w:rsidRPr="00484672">
              <w:rPr>
                <w:i/>
                <w:sz w:val="20"/>
                <w:szCs w:val="20"/>
              </w:rPr>
              <w:t>C+</w:t>
            </w:r>
          </w:p>
        </w:tc>
      </w:tr>
      <w:tr w:rsidR="00FD2EA3" w:rsidRPr="00484672" w14:paraId="1FA8DCDC" w14:textId="77777777" w:rsidTr="005F1696">
        <w:trPr>
          <w:jc w:val="center"/>
        </w:trPr>
        <w:tc>
          <w:tcPr>
            <w:tcW w:w="1235" w:type="dxa"/>
            <w:shd w:val="clear" w:color="auto" w:fill="auto"/>
          </w:tcPr>
          <w:p w14:paraId="176867D2" w14:textId="77777777" w:rsidR="00FD2EA3" w:rsidRPr="00484672" w:rsidRDefault="00FD2EA3" w:rsidP="009E3730">
            <w:pPr>
              <w:widowControl w:val="0"/>
              <w:suppressAutoHyphens/>
              <w:rPr>
                <w:sz w:val="20"/>
                <w:szCs w:val="20"/>
              </w:rPr>
            </w:pPr>
            <w:r w:rsidRPr="00484672">
              <w:rPr>
                <w:sz w:val="20"/>
                <w:szCs w:val="20"/>
              </w:rPr>
              <w:t>PI-26</w:t>
            </w:r>
          </w:p>
        </w:tc>
        <w:tc>
          <w:tcPr>
            <w:tcW w:w="5217" w:type="dxa"/>
            <w:shd w:val="clear" w:color="auto" w:fill="auto"/>
            <w:vAlign w:val="center"/>
          </w:tcPr>
          <w:p w14:paraId="1B63A262" w14:textId="77777777" w:rsidR="00FD2EA3" w:rsidRPr="00484672" w:rsidRDefault="00FD2EA3" w:rsidP="009E3730">
            <w:pPr>
              <w:widowControl w:val="0"/>
              <w:suppressAutoHyphens/>
              <w:jc w:val="left"/>
              <w:rPr>
                <w:color w:val="000000"/>
                <w:sz w:val="20"/>
                <w:szCs w:val="20"/>
              </w:rPr>
            </w:pPr>
            <w:r w:rsidRPr="00484672">
              <w:rPr>
                <w:color w:val="000000"/>
                <w:sz w:val="20"/>
                <w:szCs w:val="20"/>
              </w:rPr>
              <w:t>Scope, nature and follow-up of external audit</w:t>
            </w:r>
          </w:p>
        </w:tc>
        <w:tc>
          <w:tcPr>
            <w:tcW w:w="828" w:type="dxa"/>
            <w:shd w:val="clear" w:color="auto" w:fill="auto"/>
          </w:tcPr>
          <w:p w14:paraId="58593AD4" w14:textId="77777777" w:rsidR="00FD2EA3" w:rsidRPr="00484672" w:rsidRDefault="00FD2EA3" w:rsidP="009E3730">
            <w:pPr>
              <w:widowControl w:val="0"/>
              <w:suppressAutoHyphens/>
              <w:jc w:val="center"/>
              <w:rPr>
                <w:i/>
                <w:sz w:val="20"/>
                <w:szCs w:val="20"/>
              </w:rPr>
            </w:pPr>
            <w:r w:rsidRPr="00484672">
              <w:rPr>
                <w:i/>
                <w:sz w:val="20"/>
                <w:szCs w:val="20"/>
              </w:rPr>
              <w:t>D+</w:t>
            </w:r>
          </w:p>
        </w:tc>
        <w:tc>
          <w:tcPr>
            <w:tcW w:w="850" w:type="dxa"/>
            <w:shd w:val="clear" w:color="auto" w:fill="auto"/>
          </w:tcPr>
          <w:p w14:paraId="7232BDD1" w14:textId="77777777" w:rsidR="00FD2EA3" w:rsidRPr="00484672" w:rsidRDefault="00FD2EA3" w:rsidP="009E3730">
            <w:pPr>
              <w:widowControl w:val="0"/>
              <w:suppressAutoHyphens/>
              <w:jc w:val="center"/>
              <w:rPr>
                <w:i/>
                <w:sz w:val="20"/>
                <w:szCs w:val="20"/>
              </w:rPr>
            </w:pPr>
            <w:r w:rsidRPr="00484672">
              <w:rPr>
                <w:i/>
                <w:sz w:val="20"/>
                <w:szCs w:val="20"/>
              </w:rPr>
              <w:t>B+</w:t>
            </w:r>
          </w:p>
        </w:tc>
      </w:tr>
      <w:tr w:rsidR="00FD2EA3" w:rsidRPr="00484672" w14:paraId="1BE8CF98" w14:textId="77777777" w:rsidTr="005F1696">
        <w:trPr>
          <w:jc w:val="center"/>
        </w:trPr>
        <w:tc>
          <w:tcPr>
            <w:tcW w:w="1235" w:type="dxa"/>
            <w:shd w:val="clear" w:color="auto" w:fill="auto"/>
          </w:tcPr>
          <w:p w14:paraId="2C2DA6FC" w14:textId="77777777" w:rsidR="00FD2EA3" w:rsidRPr="00484672" w:rsidRDefault="00FD2EA3" w:rsidP="009E3730">
            <w:pPr>
              <w:widowControl w:val="0"/>
              <w:suppressAutoHyphens/>
              <w:rPr>
                <w:i/>
                <w:sz w:val="20"/>
                <w:szCs w:val="20"/>
              </w:rPr>
            </w:pPr>
            <w:r w:rsidRPr="00484672">
              <w:rPr>
                <w:sz w:val="20"/>
                <w:szCs w:val="20"/>
              </w:rPr>
              <w:t>PI-27</w:t>
            </w:r>
          </w:p>
        </w:tc>
        <w:tc>
          <w:tcPr>
            <w:tcW w:w="5217" w:type="dxa"/>
            <w:shd w:val="clear" w:color="auto" w:fill="auto"/>
            <w:vAlign w:val="center"/>
          </w:tcPr>
          <w:p w14:paraId="6E6BDAD3" w14:textId="77777777" w:rsidR="00FD2EA3" w:rsidRPr="00484672" w:rsidRDefault="00FD2EA3" w:rsidP="009E3730">
            <w:pPr>
              <w:widowControl w:val="0"/>
              <w:suppressAutoHyphens/>
              <w:jc w:val="left"/>
              <w:rPr>
                <w:i/>
                <w:sz w:val="20"/>
                <w:szCs w:val="20"/>
              </w:rPr>
            </w:pPr>
            <w:r w:rsidRPr="00484672">
              <w:rPr>
                <w:sz w:val="20"/>
                <w:szCs w:val="20"/>
              </w:rPr>
              <w:t>Legislative scrutiny of the annual budget law</w:t>
            </w:r>
          </w:p>
        </w:tc>
        <w:tc>
          <w:tcPr>
            <w:tcW w:w="828" w:type="dxa"/>
            <w:shd w:val="clear" w:color="auto" w:fill="auto"/>
          </w:tcPr>
          <w:p w14:paraId="3AB6C338" w14:textId="77777777" w:rsidR="00FD2EA3" w:rsidRPr="00484672" w:rsidRDefault="00FD2EA3" w:rsidP="009E3730">
            <w:pPr>
              <w:widowControl w:val="0"/>
              <w:suppressAutoHyphens/>
              <w:jc w:val="center"/>
              <w:rPr>
                <w:i/>
                <w:sz w:val="20"/>
                <w:szCs w:val="20"/>
              </w:rPr>
            </w:pPr>
            <w:r w:rsidRPr="00484672">
              <w:rPr>
                <w:i/>
                <w:sz w:val="20"/>
                <w:szCs w:val="20"/>
              </w:rPr>
              <w:t>B+</w:t>
            </w:r>
          </w:p>
        </w:tc>
        <w:tc>
          <w:tcPr>
            <w:tcW w:w="850" w:type="dxa"/>
            <w:shd w:val="clear" w:color="auto" w:fill="auto"/>
          </w:tcPr>
          <w:p w14:paraId="106C0AD9" w14:textId="77777777" w:rsidR="00FD2EA3" w:rsidRPr="00484672" w:rsidRDefault="00FD2EA3" w:rsidP="009E3730">
            <w:pPr>
              <w:widowControl w:val="0"/>
              <w:suppressAutoHyphens/>
              <w:jc w:val="center"/>
              <w:rPr>
                <w:i/>
                <w:sz w:val="20"/>
                <w:szCs w:val="20"/>
              </w:rPr>
            </w:pPr>
            <w:r w:rsidRPr="00484672">
              <w:rPr>
                <w:i/>
                <w:sz w:val="20"/>
                <w:szCs w:val="20"/>
              </w:rPr>
              <w:t>A</w:t>
            </w:r>
          </w:p>
        </w:tc>
      </w:tr>
    </w:tbl>
    <w:p w14:paraId="4D70CCDD" w14:textId="77777777" w:rsidR="00FD2EA3" w:rsidRDefault="00FD2EA3" w:rsidP="009E3730">
      <w:pPr>
        <w:widowControl w:val="0"/>
        <w:suppressAutoHyphens/>
      </w:pPr>
    </w:p>
    <w:p w14:paraId="7B702188" w14:textId="77777777" w:rsidR="00FD2EA3" w:rsidRDefault="00FD2EA3" w:rsidP="009E3730">
      <w:pPr>
        <w:widowControl w:val="0"/>
        <w:suppressAutoHyphens/>
      </w:pPr>
      <w:r w:rsidRPr="00DB2B66">
        <w:t>In conclusion, the Government meets both the baseline for eligibility and the General Condition requirement for progress in the public availability of accessible, timely, comprehensive, and sound budgetary information. While there is always room for further improvement, the significant advances made in recent years suggest that future assessments will show more modest improvement.</w:t>
      </w:r>
    </w:p>
    <w:p w14:paraId="23AA9DC4" w14:textId="77777777" w:rsidR="00FD2EA3" w:rsidRDefault="00FD2EA3" w:rsidP="009E3730">
      <w:pPr>
        <w:widowControl w:val="0"/>
        <w:suppressAutoHyphens/>
      </w:pPr>
    </w:p>
    <w:p w14:paraId="22358A8A" w14:textId="023970E9" w:rsidR="009601AE" w:rsidRDefault="009601AE" w:rsidP="009E3730">
      <w:pPr>
        <w:pStyle w:val="Heading1"/>
        <w:widowControl w:val="0"/>
        <w:suppressAutoHyphens/>
      </w:pPr>
      <w:bookmarkStart w:id="40" w:name="_Toc404511340"/>
      <w:bookmarkStart w:id="41" w:name="_Toc413019047"/>
      <w:bookmarkStart w:id="42" w:name="_Toc486837760"/>
      <w:r>
        <w:t>5.</w:t>
      </w:r>
      <w:r>
        <w:tab/>
        <w:t xml:space="preserve">Compliance with the </w:t>
      </w:r>
      <w:r w:rsidR="00AC272E">
        <w:t xml:space="preserve">Fourth Instalment </w:t>
      </w:r>
      <w:r>
        <w:t>Specific Conditions</w:t>
      </w:r>
      <w:bookmarkEnd w:id="40"/>
      <w:bookmarkEnd w:id="41"/>
      <w:bookmarkEnd w:id="42"/>
    </w:p>
    <w:p w14:paraId="7B109EBB" w14:textId="77777777" w:rsidR="009601AE" w:rsidRDefault="009601AE" w:rsidP="009E3730">
      <w:pPr>
        <w:widowControl w:val="0"/>
        <w:suppressAutoHyphens/>
      </w:pPr>
    </w:p>
    <w:p w14:paraId="47A65A87" w14:textId="77777777" w:rsidR="009601AE" w:rsidRDefault="009601AE" w:rsidP="009E3730">
      <w:pPr>
        <w:pStyle w:val="Heading2"/>
        <w:widowControl w:val="0"/>
        <w:suppressAutoHyphens/>
      </w:pPr>
      <w:bookmarkStart w:id="43" w:name="_Toc404511341"/>
      <w:bookmarkStart w:id="44" w:name="_Toc413019048"/>
      <w:bookmarkStart w:id="45" w:name="_Toc486837761"/>
      <w:r>
        <w:t>a)</w:t>
      </w:r>
      <w:r>
        <w:tab/>
        <w:t>Component 1: Effective Labour Market Management.</w:t>
      </w:r>
      <w:bookmarkEnd w:id="43"/>
      <w:bookmarkEnd w:id="44"/>
      <w:bookmarkEnd w:id="45"/>
    </w:p>
    <w:p w14:paraId="53EBCAC7" w14:textId="77777777" w:rsidR="009601AE" w:rsidRDefault="009601AE" w:rsidP="009E3730">
      <w:pPr>
        <w:widowControl w:val="0"/>
        <w:suppressAutoHyphens/>
      </w:pPr>
    </w:p>
    <w:p w14:paraId="17CF170D" w14:textId="77777777" w:rsidR="009601AE" w:rsidRDefault="009601AE" w:rsidP="009E3730">
      <w:pPr>
        <w:widowControl w:val="0"/>
        <w:suppressAutoHyphens/>
      </w:pPr>
      <w:r>
        <w:t>Specific Objective 1: To strengthen the institutional and human resource capacities of the national authorities to design, coordinate, implement and monitor labour market and skills needs in close partnership with the private sector.</w:t>
      </w:r>
    </w:p>
    <w:p w14:paraId="7EB410A1" w14:textId="77777777" w:rsidR="009601AE" w:rsidRDefault="009601AE" w:rsidP="009E3730">
      <w:pPr>
        <w:widowControl w:val="0"/>
        <w:suppressAutoHyphens/>
      </w:pPr>
    </w:p>
    <w:p w14:paraId="5CEEF88E" w14:textId="77777777" w:rsidR="009601AE" w:rsidRDefault="009601AE" w:rsidP="009E3730">
      <w:pPr>
        <w:pStyle w:val="Heading3"/>
        <w:widowControl w:val="0"/>
        <w:suppressAutoHyphens/>
      </w:pPr>
      <w:bookmarkStart w:id="46" w:name="_Toc404511342"/>
      <w:bookmarkStart w:id="47" w:name="_Toc413019049"/>
      <w:bookmarkStart w:id="48" w:name="_Toc486837762"/>
      <w:r>
        <w:t>i)</w:t>
      </w:r>
      <w:r>
        <w:tab/>
        <w:t>Specific Condition 1.1:</w:t>
      </w:r>
      <w:r>
        <w:rPr>
          <w:lang w:eastAsia="en-GB"/>
        </w:rPr>
        <w:t xml:space="preserve"> Reliable and sustainable labour market information and forecasting.</w:t>
      </w:r>
      <w:bookmarkEnd w:id="46"/>
      <w:bookmarkEnd w:id="47"/>
      <w:bookmarkEnd w:id="48"/>
    </w:p>
    <w:p w14:paraId="56C25A64" w14:textId="77777777" w:rsidR="009601AE" w:rsidRDefault="009601AE" w:rsidP="009E3730">
      <w:pPr>
        <w:widowControl w:val="0"/>
        <w:suppressAutoHyphens/>
      </w:pPr>
    </w:p>
    <w:p w14:paraId="7912A35D" w14:textId="77777777" w:rsidR="009601AE" w:rsidRPr="006B1542" w:rsidRDefault="009601AE" w:rsidP="009E3730">
      <w:pPr>
        <w:widowControl w:val="0"/>
        <w:suppressAutoHyphens/>
      </w:pPr>
      <w:r w:rsidRPr="006B1542">
        <w:rPr>
          <w:bCs/>
        </w:rPr>
        <w:t>Potential value: €1.0mn.</w:t>
      </w:r>
    </w:p>
    <w:p w14:paraId="5B121C59" w14:textId="77777777" w:rsidR="009601AE" w:rsidRDefault="009601AE" w:rsidP="009E3730">
      <w:pPr>
        <w:widowControl w:val="0"/>
        <w:suppressAutoHyphens/>
      </w:pPr>
    </w:p>
    <w:p w14:paraId="60D65C05" w14:textId="30C90E5A" w:rsidR="009601AE" w:rsidRDefault="009601AE" w:rsidP="009E3730">
      <w:pPr>
        <w:widowControl w:val="0"/>
        <w:suppressAutoHyphens/>
        <w:rPr>
          <w:b/>
          <w:bCs/>
        </w:rPr>
      </w:pPr>
      <w:r>
        <w:rPr>
          <w:b/>
          <w:bCs/>
          <w:u w:val="single"/>
        </w:rPr>
        <w:lastRenderedPageBreak/>
        <w:t>Review Assessment</w:t>
      </w:r>
      <w:r>
        <w:rPr>
          <w:b/>
          <w:bCs/>
        </w:rPr>
        <w:t>: compliance.</w:t>
      </w:r>
    </w:p>
    <w:p w14:paraId="09E9485B" w14:textId="77777777" w:rsidR="005F1696" w:rsidRDefault="005F1696" w:rsidP="009E3730">
      <w:pPr>
        <w:widowControl w:val="0"/>
        <w:suppressAutoHyphens/>
      </w:pPr>
    </w:p>
    <w:p w14:paraId="1A9515EB" w14:textId="5589934A" w:rsidR="009601AE" w:rsidRDefault="005F1696" w:rsidP="009E3730">
      <w:pPr>
        <w:widowControl w:val="0"/>
        <w:suppressAutoHyphens/>
      </w:pPr>
      <w:r>
        <w:t>Score: 1.00. Recommended disbursement: €1.0mn.</w:t>
      </w:r>
    </w:p>
    <w:p w14:paraId="19E45B9F" w14:textId="77777777" w:rsidR="005F1696" w:rsidRDefault="005F1696" w:rsidP="009E3730">
      <w:pPr>
        <w:widowControl w:val="0"/>
        <w:suppressAutoHyphens/>
      </w:pPr>
    </w:p>
    <w:p w14:paraId="647693A3" w14:textId="77777777" w:rsidR="009601AE" w:rsidRDefault="009601AE" w:rsidP="009E3730">
      <w:pPr>
        <w:widowControl w:val="0"/>
        <w:suppressAutoHyphens/>
        <w:rPr>
          <w:b/>
          <w:bCs/>
          <w:i/>
          <w:iCs/>
          <w:lang w:eastAsia="en-GB"/>
        </w:rPr>
      </w:pPr>
      <w:r>
        <w:rPr>
          <w:b/>
          <w:bCs/>
          <w:u w:val="single"/>
        </w:rPr>
        <w:t>Indicator 1.1.1</w:t>
      </w:r>
      <w:r>
        <w:rPr>
          <w:b/>
          <w:bCs/>
        </w:rPr>
        <w:t>:</w:t>
      </w:r>
      <w:r>
        <w:rPr>
          <w:b/>
          <w:bCs/>
          <w:i/>
          <w:iCs/>
          <w:lang w:eastAsia="en-GB"/>
        </w:rPr>
        <w:t xml:space="preserve"> Action Plan for implementation of LMIS has been implemented.</w:t>
      </w:r>
    </w:p>
    <w:p w14:paraId="340AC80E" w14:textId="77777777" w:rsidR="009601AE" w:rsidRDefault="009601AE" w:rsidP="009E3730">
      <w:pPr>
        <w:widowControl w:val="0"/>
        <w:suppressAutoHyphens/>
        <w:rPr>
          <w:i/>
          <w:iCs/>
          <w:lang w:eastAsia="en-GB"/>
        </w:rPr>
      </w:pPr>
    </w:p>
    <w:p w14:paraId="1CA993E2" w14:textId="77777777" w:rsidR="009601AE" w:rsidRDefault="009601AE" w:rsidP="009E3730">
      <w:pPr>
        <w:widowControl w:val="0"/>
        <w:suppressAutoHyphens/>
        <w:rPr>
          <w:lang w:val="ru-RU"/>
        </w:rPr>
      </w:pPr>
      <w:r>
        <w:t xml:space="preserve">Source of Verification: </w:t>
      </w:r>
    </w:p>
    <w:p w14:paraId="309B13ED" w14:textId="77777777" w:rsidR="009601AE" w:rsidRDefault="009601AE" w:rsidP="009E3730">
      <w:pPr>
        <w:widowControl w:val="0"/>
        <w:numPr>
          <w:ilvl w:val="0"/>
          <w:numId w:val="1"/>
        </w:numPr>
        <w:suppressAutoHyphens/>
        <w:autoSpaceDE w:val="0"/>
        <w:autoSpaceDN w:val="0"/>
        <w:ind w:left="714" w:hanging="357"/>
        <w:jc w:val="left"/>
      </w:pPr>
      <w:r>
        <w:t>Report on implementation of the Action Plan.</w:t>
      </w:r>
    </w:p>
    <w:p w14:paraId="4858483C" w14:textId="77777777" w:rsidR="009601AE" w:rsidRDefault="009601AE" w:rsidP="009E3730">
      <w:pPr>
        <w:widowControl w:val="0"/>
        <w:suppressAutoHyphens/>
      </w:pPr>
    </w:p>
    <w:p w14:paraId="7DD7F72A" w14:textId="63862552" w:rsidR="009601AE" w:rsidRDefault="009601AE" w:rsidP="009E3730">
      <w:pPr>
        <w:widowControl w:val="0"/>
        <w:suppressAutoHyphens/>
        <w:rPr>
          <w:b/>
          <w:bCs/>
        </w:rPr>
      </w:pPr>
      <w:r>
        <w:rPr>
          <w:b/>
          <w:bCs/>
          <w:u w:val="single"/>
        </w:rPr>
        <w:t>Review Assessment</w:t>
      </w:r>
      <w:r>
        <w:rPr>
          <w:b/>
          <w:bCs/>
        </w:rPr>
        <w:t>: fulfil</w:t>
      </w:r>
      <w:r w:rsidR="005F1696">
        <w:rPr>
          <w:b/>
          <w:bCs/>
        </w:rPr>
        <w:t>led</w:t>
      </w:r>
      <w:r>
        <w:rPr>
          <w:b/>
          <w:bCs/>
        </w:rPr>
        <w:t>.</w:t>
      </w:r>
    </w:p>
    <w:p w14:paraId="61321080" w14:textId="77777777" w:rsidR="009601AE" w:rsidRDefault="009601AE" w:rsidP="009E3730">
      <w:pPr>
        <w:widowControl w:val="0"/>
        <w:suppressAutoHyphens/>
      </w:pPr>
    </w:p>
    <w:p w14:paraId="3C68DBB3" w14:textId="1DC125B1" w:rsidR="00541B38" w:rsidRDefault="00541B38" w:rsidP="009E3730">
      <w:pPr>
        <w:widowControl w:val="0"/>
        <w:suppressAutoHyphens/>
      </w:pPr>
      <w:r>
        <w:t>Achievement of the overall EU AAP2013 EVET SRC result of “r</w:t>
      </w:r>
      <w:r w:rsidRPr="00031F2F">
        <w:t xml:space="preserve">eliable and </w:t>
      </w:r>
      <w:r>
        <w:t>s</w:t>
      </w:r>
      <w:r w:rsidRPr="00031F2F">
        <w:t xml:space="preserve">ustainable </w:t>
      </w:r>
      <w:r>
        <w:t>l</w:t>
      </w:r>
      <w:r w:rsidRPr="00031F2F">
        <w:t xml:space="preserve">abour </w:t>
      </w:r>
      <w:r>
        <w:t>m</w:t>
      </w:r>
      <w:r w:rsidRPr="00031F2F">
        <w:t>arket information and forecasting</w:t>
      </w:r>
      <w:r>
        <w:t>”, within the period 2014-2016, required the establishment of a sustainable Labour Market Information System (LMIS) with the involvement of all relevant stakeholders providing quantitative and qualitative labour market forecasts, disaggregated by sector, occupation, and region where appropriate, permitting a better matching of the supply of skills with the skills demanded by current and anticipated potential employment and self-employment job opportunities. This LMIS is included among the priorities of Government/MoLHSA medium-term labour market reform strategies and action plans for 2013-2014 and 2015-2018, which recognize the LMIS as a b</w:t>
      </w:r>
      <w:r w:rsidRPr="00634196">
        <w:t>a</w:t>
      </w:r>
      <w:r>
        <w:t>sic</w:t>
      </w:r>
      <w:r w:rsidRPr="00634196">
        <w:t xml:space="preserve"> </w:t>
      </w:r>
      <w:r>
        <w:t>i</w:t>
      </w:r>
      <w:r w:rsidRPr="00634196">
        <w:t xml:space="preserve">nstrument </w:t>
      </w:r>
      <w:r>
        <w:t>for implementing</w:t>
      </w:r>
      <w:r w:rsidRPr="00634196">
        <w:t xml:space="preserve"> Active Labo</w:t>
      </w:r>
      <w:r>
        <w:t>u</w:t>
      </w:r>
      <w:r w:rsidRPr="00634196">
        <w:t>r</w:t>
      </w:r>
      <w:r>
        <w:t xml:space="preserve"> </w:t>
      </w:r>
      <w:r w:rsidRPr="00634196">
        <w:t>Market Policies</w:t>
      </w:r>
      <w:r>
        <w:t xml:space="preserve"> (ALMP). </w:t>
      </w:r>
      <w:r w:rsidRPr="00FC4B53">
        <w:t>Labo</w:t>
      </w:r>
      <w:r>
        <w:t>u</w:t>
      </w:r>
      <w:r w:rsidRPr="00FC4B53">
        <w:t xml:space="preserve">r markets </w:t>
      </w:r>
      <w:r>
        <w:t xml:space="preserve">are easily </w:t>
      </w:r>
      <w:r w:rsidRPr="00FC4B53">
        <w:t xml:space="preserve">distorted </w:t>
      </w:r>
      <w:r>
        <w:t xml:space="preserve">where there is </w:t>
      </w:r>
      <w:r w:rsidRPr="00FC4B53">
        <w:t xml:space="preserve">lack of information about </w:t>
      </w:r>
      <w:r>
        <w:t xml:space="preserve">current and anticipated </w:t>
      </w:r>
      <w:r w:rsidRPr="00FC4B53">
        <w:t>job vacancies</w:t>
      </w:r>
      <w:r>
        <w:t xml:space="preserve"> and the </w:t>
      </w:r>
      <w:r w:rsidRPr="00FC4B53">
        <w:t xml:space="preserve">skills required </w:t>
      </w:r>
      <w:r>
        <w:t xml:space="preserve">or likely to be required </w:t>
      </w:r>
      <w:r w:rsidRPr="00FC4B53">
        <w:t>by employers</w:t>
      </w:r>
      <w:r>
        <w:t xml:space="preserve">, often leading to a </w:t>
      </w:r>
      <w:r w:rsidRPr="00FC4B53">
        <w:t xml:space="preserve">mismatch </w:t>
      </w:r>
      <w:r>
        <w:t>between</w:t>
      </w:r>
      <w:r w:rsidRPr="00FC4B53">
        <w:t xml:space="preserve"> labo</w:t>
      </w:r>
      <w:r>
        <w:t>u</w:t>
      </w:r>
      <w:r w:rsidRPr="00FC4B53">
        <w:t>r supply</w:t>
      </w:r>
      <w:r>
        <w:t>, with skills frequently</w:t>
      </w:r>
      <w:r w:rsidRPr="00FC4B53">
        <w:t xml:space="preserve"> </w:t>
      </w:r>
      <w:r>
        <w:t xml:space="preserve">based on historic demand and entrenched traditional training, </w:t>
      </w:r>
      <w:r w:rsidRPr="00FC4B53">
        <w:t xml:space="preserve">and </w:t>
      </w:r>
      <w:r>
        <w:t xml:space="preserve">actual skills </w:t>
      </w:r>
      <w:r w:rsidRPr="00FC4B53">
        <w:t>demand</w:t>
      </w:r>
      <w:r>
        <w:t xml:space="preserve"> in a changing and expanding economic environment</w:t>
      </w:r>
      <w:r w:rsidRPr="00FC4B53">
        <w:t>.</w:t>
      </w:r>
      <w:r>
        <w:t xml:space="preserve"> As a consequence, the LMIS is seen as a central feature in the EU EVET programme and its significance recurs both directly and indirectly through many elements of the FA, including both the General and the Specific Conditions for disbursement.</w:t>
      </w:r>
    </w:p>
    <w:p w14:paraId="4DD4A9C9" w14:textId="77777777" w:rsidR="008B04E5" w:rsidRDefault="008B04E5" w:rsidP="009E3730">
      <w:pPr>
        <w:widowControl w:val="0"/>
        <w:suppressAutoHyphens/>
      </w:pPr>
    </w:p>
    <w:p w14:paraId="728275E8" w14:textId="16EA7197" w:rsidR="008B04E5" w:rsidRDefault="008B04E5" w:rsidP="009E3730">
      <w:pPr>
        <w:widowControl w:val="0"/>
        <w:suppressAutoHyphens/>
      </w:pPr>
      <w:r>
        <w:t>More specifically, the LMIS is envisaged as a publicly accessible web portal, a “one-stop shop” providing up-to-date information on labour market conditions and opportunities (including, for instance, industrial and employment trends by sector, occupation and region, changes in labour market composition and skills, etc.), supporting career decisions for both new labour market entrants and the existing labour force, providing up-to-date profiles on occupations likely to be in demand, and providing information on where and how to improve or develop appropriate skills. Addressed to students, jobseekers, employers, VET providers and policy makers, the objective is to increase the workforce’s employability and thereby both improve individual livelihoods and the economy's ability to sustainably maintain and expand activity within a changing economic environment.</w:t>
      </w:r>
    </w:p>
    <w:p w14:paraId="3B1461DB" w14:textId="77777777" w:rsidR="008B04E5" w:rsidRDefault="008B04E5" w:rsidP="009E3730">
      <w:pPr>
        <w:widowControl w:val="0"/>
        <w:suppressAutoHyphens/>
      </w:pPr>
    </w:p>
    <w:p w14:paraId="58AFDD48" w14:textId="79F414CB" w:rsidR="009601AE" w:rsidRDefault="005059E7" w:rsidP="009E3730">
      <w:pPr>
        <w:widowControl w:val="0"/>
        <w:suppressAutoHyphens/>
      </w:pPr>
      <w:r>
        <w:t>T</w:t>
      </w:r>
      <w:r w:rsidR="009601AE">
        <w:t>he LMIS implementation Action Plan</w:t>
      </w:r>
      <w:r>
        <w:t xml:space="preserve"> was approved with the LMIS Concept Paper ('Concept o</w:t>
      </w:r>
      <w:r w:rsidRPr="00145868">
        <w:t xml:space="preserve">f Introduction </w:t>
      </w:r>
      <w:r>
        <w:t>a</w:t>
      </w:r>
      <w:r w:rsidRPr="00145868">
        <w:t xml:space="preserve">nd Development </w:t>
      </w:r>
      <w:r>
        <w:t>o</w:t>
      </w:r>
      <w:r w:rsidRPr="00145868">
        <w:t xml:space="preserve">f </w:t>
      </w:r>
      <w:r>
        <w:t>t</w:t>
      </w:r>
      <w:r w:rsidRPr="00145868">
        <w:t>he Labour Market Information System')</w:t>
      </w:r>
      <w:r>
        <w:t xml:space="preserve"> by </w:t>
      </w:r>
      <w:r w:rsidR="009601AE">
        <w:t>Government Resolution No.733 of the 26th of December 2014</w:t>
      </w:r>
      <w:r w:rsidR="00983211">
        <w:t xml:space="preserve"> (fulfilling Second Instalment Indicator 1.1.2)</w:t>
      </w:r>
      <w:r>
        <w:t xml:space="preserve">. The Action Plan was included as Annex 1.1 of the Resolution. The Action Plan envisaged </w:t>
      </w:r>
      <w:r w:rsidR="009601AE">
        <w:t>the establishment of the LMIS</w:t>
      </w:r>
      <w:r w:rsidR="009601AE" w:rsidRPr="007E31CD">
        <w:t xml:space="preserve"> </w:t>
      </w:r>
      <w:r>
        <w:t xml:space="preserve">as a progressive </w:t>
      </w:r>
      <w:r w:rsidR="009601AE">
        <w:t xml:space="preserve">activity over </w:t>
      </w:r>
      <w:r>
        <w:t xml:space="preserve">four years, from </w:t>
      </w:r>
      <w:r w:rsidR="009601AE">
        <w:t>2015</w:t>
      </w:r>
      <w:r>
        <w:t xml:space="preserve"> to </w:t>
      </w:r>
      <w:r w:rsidR="009601AE">
        <w:t xml:space="preserve">2018. Nine of the fifteen activities </w:t>
      </w:r>
      <w:r>
        <w:t>in the Action Plan we</w:t>
      </w:r>
      <w:r w:rsidR="009601AE">
        <w:t xml:space="preserve">re scheduled for completion in either 2015 or 2016, </w:t>
      </w:r>
      <w:r>
        <w:t>with</w:t>
      </w:r>
      <w:r w:rsidR="009601AE">
        <w:t xml:space="preserve"> the other six </w:t>
      </w:r>
      <w:r>
        <w:t>as</w:t>
      </w:r>
      <w:r w:rsidR="009601AE">
        <w:t xml:space="preserve"> ongoing in 2016. Funding </w:t>
      </w:r>
      <w:r>
        <w:t>wa</w:t>
      </w:r>
      <w:r w:rsidR="009601AE">
        <w:t xml:space="preserve">s specified for several activities, totalling GEL350,000 in 2015 and GEL900,000 in 2016. </w:t>
      </w:r>
    </w:p>
    <w:p w14:paraId="48F3C4FD" w14:textId="77777777" w:rsidR="005059E7" w:rsidRDefault="005059E7" w:rsidP="009E3730">
      <w:pPr>
        <w:widowControl w:val="0"/>
        <w:suppressAutoHyphens/>
      </w:pPr>
    </w:p>
    <w:p w14:paraId="3E46510B" w14:textId="3396DFEE" w:rsidR="008B04E5" w:rsidRDefault="008B04E5" w:rsidP="009E3730">
      <w:pPr>
        <w:widowControl w:val="0"/>
        <w:suppressAutoHyphens/>
      </w:pPr>
      <w:r>
        <w:t xml:space="preserve">Institutionalisation of Labour Market Research and Development and Improvement of the Information Base” is included under the 4th Priority of the State Strategy on the Formation of the Labour Market in Georgia and its 2015-2018 Action Plan. GEL350,000 is allocated for 2015 and GEL400,000 for 2016 for activities 4.9 (“Developing and Approving the LMIS Strategy and AP”) and 4.10 (“LMIS introduction/development”), and GEL200,000 for 2016 for activity 4.11 (“Conducting of Special Studies based on LMIS outputs”). </w:t>
      </w:r>
    </w:p>
    <w:p w14:paraId="45D86287" w14:textId="77777777" w:rsidR="00B520E5" w:rsidRDefault="00B520E5" w:rsidP="00B520E5">
      <w:pPr>
        <w:widowControl w:val="0"/>
        <w:suppressAutoHyphens/>
      </w:pPr>
    </w:p>
    <w:p w14:paraId="1948A06C" w14:textId="77777777" w:rsidR="00B520E5" w:rsidRDefault="00B520E5" w:rsidP="00B520E5">
      <w:pPr>
        <w:widowControl w:val="0"/>
        <w:suppressAutoHyphens/>
      </w:pPr>
      <w:r>
        <w:t>Fulfilment of this Indicator requires that actions taken since the LMIS Action Plan was agreed in December 2014 have broadly followed the schedule in the Action Plan, i.e. that performance over 2015 and 2016 has been in line with what was agreed for the Plan (with a deadline for production of an Annual Report by at the latest the end of 2016 to meet Fourth Instalment Indicator 1.1.2 (see below)). With development ongoing through 2017 and 2018, completion of LMIS establishment is not anticipated, and thus full information and reporting on the labour market, including notably forecasting of future demand, has yet to be achieved.</w:t>
      </w:r>
    </w:p>
    <w:p w14:paraId="0AA6DBAE" w14:textId="77777777" w:rsidR="008B04E5" w:rsidRDefault="008B04E5" w:rsidP="009E3730">
      <w:pPr>
        <w:widowControl w:val="0"/>
        <w:suppressAutoHyphens/>
      </w:pPr>
    </w:p>
    <w:p w14:paraId="30FCA474" w14:textId="4F938546" w:rsidR="00B36E88" w:rsidRPr="008B04E5" w:rsidRDefault="00983211" w:rsidP="009E3730">
      <w:pPr>
        <w:widowControl w:val="0"/>
        <w:suppressAutoHyphens/>
        <w:rPr>
          <w:rFonts w:cs="Arial"/>
        </w:rPr>
      </w:pPr>
      <w:r w:rsidRPr="00B36E88">
        <w:rPr>
          <w:rFonts w:cs="Arial"/>
        </w:rPr>
        <w:t xml:space="preserve">Although requested, </w:t>
      </w:r>
      <w:r w:rsidR="005059E7" w:rsidRPr="00B36E88">
        <w:rPr>
          <w:rFonts w:cs="Arial"/>
        </w:rPr>
        <w:t xml:space="preserve">MoLHSA </w:t>
      </w:r>
      <w:r w:rsidRPr="00B36E88">
        <w:rPr>
          <w:rFonts w:cs="Arial"/>
        </w:rPr>
        <w:t xml:space="preserve">did not </w:t>
      </w:r>
      <w:r w:rsidR="005059E7" w:rsidRPr="00B36E88">
        <w:rPr>
          <w:rFonts w:cs="Arial"/>
        </w:rPr>
        <w:t xml:space="preserve">present a </w:t>
      </w:r>
      <w:r w:rsidRPr="00B36E88">
        <w:rPr>
          <w:rFonts w:cs="Arial"/>
        </w:rPr>
        <w:t xml:space="preserve">specific </w:t>
      </w:r>
      <w:r w:rsidR="005059E7" w:rsidRPr="00B36E88">
        <w:rPr>
          <w:rFonts w:cs="Arial"/>
        </w:rPr>
        <w:t>progress report on implementation of the Action Plan over 2015 and 2016</w:t>
      </w:r>
      <w:r w:rsidRPr="00B36E88">
        <w:rPr>
          <w:rFonts w:cs="Arial"/>
        </w:rPr>
        <w:t>, but did include one for the Labour Market Formation Strategy Action Plan for the same period</w:t>
      </w:r>
      <w:r w:rsidR="00B520E5">
        <w:rPr>
          <w:rStyle w:val="FootnoteReference"/>
        </w:rPr>
        <w:footnoteReference w:id="37"/>
      </w:r>
      <w:r w:rsidR="005059E7" w:rsidRPr="00B36E88">
        <w:rPr>
          <w:rFonts w:cs="Arial"/>
        </w:rPr>
        <w:t xml:space="preserve">. </w:t>
      </w:r>
      <w:r w:rsidRPr="00B36E88">
        <w:rPr>
          <w:rFonts w:cs="Arial"/>
        </w:rPr>
        <w:t xml:space="preserve">The Labour Market </w:t>
      </w:r>
      <w:r w:rsidR="00DB1F82" w:rsidRPr="00B36E88">
        <w:rPr>
          <w:rFonts w:cs="Arial"/>
        </w:rPr>
        <w:t>Formation Strategy (LMFS) and Action P</w:t>
      </w:r>
      <w:r w:rsidRPr="00B36E88">
        <w:rPr>
          <w:rFonts w:cs="Arial"/>
        </w:rPr>
        <w:t xml:space="preserve">lan were approved initially by Government Resolution No.199 of 2nd August 2013 to cover 2013-2014, but was amended and coverage extended by Government Resolution No.732 of the 26th December 2014 as the Labour Market </w:t>
      </w:r>
      <w:r w:rsidR="00DB1F82" w:rsidRPr="00B36E88">
        <w:rPr>
          <w:rFonts w:cs="Arial"/>
        </w:rPr>
        <w:t>R</w:t>
      </w:r>
      <w:r w:rsidRPr="00B36E88">
        <w:rPr>
          <w:rFonts w:cs="Arial"/>
        </w:rPr>
        <w:t xml:space="preserve">eform Strategy </w:t>
      </w:r>
      <w:r w:rsidR="00DB1F82" w:rsidRPr="00B36E88">
        <w:rPr>
          <w:rFonts w:cs="Arial"/>
        </w:rPr>
        <w:t xml:space="preserve">(LMRS) </w:t>
      </w:r>
      <w:r w:rsidRPr="00B36E88">
        <w:rPr>
          <w:rFonts w:cs="Arial"/>
        </w:rPr>
        <w:t xml:space="preserve">for 2015-2018. </w:t>
      </w:r>
      <w:r w:rsidR="008B04E5">
        <w:rPr>
          <w:rFonts w:cs="Arial"/>
        </w:rPr>
        <w:t>As noted above, d</w:t>
      </w:r>
      <w:r w:rsidRPr="00B36E88">
        <w:rPr>
          <w:rFonts w:cs="Arial"/>
        </w:rPr>
        <w:t>evelopment of the LMIS is refer</w:t>
      </w:r>
      <w:r w:rsidR="00DB1F82" w:rsidRPr="00B36E88">
        <w:rPr>
          <w:rFonts w:cs="Arial"/>
        </w:rPr>
        <w:t xml:space="preserve">red to in the </w:t>
      </w:r>
      <w:r w:rsidR="00DB1F82" w:rsidRPr="00BC534F">
        <w:rPr>
          <w:rFonts w:cs="Arial"/>
          <w:b/>
        </w:rPr>
        <w:t>LMFS Action Plan</w:t>
      </w:r>
      <w:r w:rsidR="00DB1F82" w:rsidRPr="00B36E88">
        <w:rPr>
          <w:rFonts w:cs="Arial"/>
        </w:rPr>
        <w:t xml:space="preserve"> </w:t>
      </w:r>
      <w:r w:rsidR="008B04E5">
        <w:rPr>
          <w:rFonts w:cs="Arial"/>
        </w:rPr>
        <w:t>Priority</w:t>
      </w:r>
      <w:r w:rsidR="00B36E88" w:rsidRPr="00B36E88">
        <w:rPr>
          <w:rFonts w:cs="Arial"/>
        </w:rPr>
        <w:t xml:space="preserve"> 4: </w:t>
      </w:r>
      <w:r w:rsidR="00B36E88" w:rsidRPr="00B36E88">
        <w:rPr>
          <w:rFonts w:eastAsia="Times New Roman" w:cs="Arial"/>
          <w:bCs/>
          <w:color w:val="000000"/>
          <w:lang w:eastAsia="en-GB"/>
        </w:rPr>
        <w:t>Institutionalization of labour market research and development/improvement of information base</w:t>
      </w:r>
      <w:r w:rsidR="008B04E5">
        <w:rPr>
          <w:rFonts w:eastAsia="Times New Roman" w:cs="Arial"/>
          <w:bCs/>
          <w:color w:val="000000"/>
          <w:lang w:eastAsia="en-GB"/>
        </w:rPr>
        <w:t>, as activities 4.9, 4.10. and 4.11</w:t>
      </w:r>
      <w:r w:rsidR="00B36E88" w:rsidRPr="00B36E88">
        <w:rPr>
          <w:rFonts w:eastAsia="Times New Roman" w:cs="Arial"/>
          <w:bCs/>
          <w:color w:val="000000"/>
          <w:lang w:eastAsia="en-GB"/>
        </w:rPr>
        <w:t xml:space="preserve">. </w:t>
      </w:r>
      <w:r w:rsidR="00B36E88">
        <w:rPr>
          <w:rFonts w:eastAsia="Times New Roman" w:cs="Arial"/>
          <w:bCs/>
          <w:color w:val="000000"/>
          <w:lang w:eastAsia="en-GB"/>
        </w:rPr>
        <w:t>Entries against 2015 and 2016 are</w:t>
      </w:r>
    </w:p>
    <w:p w14:paraId="1412FB78" w14:textId="77777777" w:rsidR="008B04E5" w:rsidRDefault="008B04E5" w:rsidP="009C3E0C">
      <w:pPr>
        <w:widowControl w:val="0"/>
        <w:suppressAutoHyphens/>
        <w:ind w:left="720" w:right="582"/>
        <w:rPr>
          <w:rFonts w:eastAsia="Times New Roman" w:cs="Arial"/>
          <w:bCs/>
          <w:color w:val="000000"/>
          <w:lang w:eastAsia="en-GB"/>
        </w:rPr>
      </w:pPr>
    </w:p>
    <w:p w14:paraId="459734F1" w14:textId="670FD421" w:rsidR="00B36E88" w:rsidRPr="00BC534F" w:rsidRDefault="008B04E5" w:rsidP="009C3E0C">
      <w:pPr>
        <w:widowControl w:val="0"/>
        <w:suppressAutoHyphens/>
        <w:ind w:left="720" w:right="582"/>
        <w:rPr>
          <w:rFonts w:eastAsia="Times New Roman" w:cs="Arial"/>
          <w:b/>
          <w:bCs/>
          <w:color w:val="000000"/>
          <w:lang w:eastAsia="en-GB"/>
        </w:rPr>
      </w:pPr>
      <w:r w:rsidRPr="00BC534F">
        <w:rPr>
          <w:rFonts w:eastAsia="Times New Roman" w:cs="Arial"/>
          <w:b/>
          <w:bCs/>
          <w:color w:val="000000"/>
          <w:lang w:eastAsia="en-GB"/>
        </w:rPr>
        <w:t>4.9</w:t>
      </w:r>
      <w:r w:rsidR="005F3D98" w:rsidRPr="00BC534F">
        <w:rPr>
          <w:rFonts w:eastAsia="Times New Roman" w:cs="Arial"/>
          <w:b/>
          <w:bCs/>
          <w:color w:val="000000"/>
          <w:lang w:eastAsia="en-GB"/>
        </w:rPr>
        <w:t>: Developing Labour Market Information System Strategy and Action Plan, Approval:</w:t>
      </w:r>
    </w:p>
    <w:p w14:paraId="10EAA966" w14:textId="77777777" w:rsidR="005F3D98" w:rsidRDefault="005F3D98" w:rsidP="009C3E0C">
      <w:pPr>
        <w:widowControl w:val="0"/>
        <w:suppressAutoHyphens/>
        <w:ind w:left="720" w:right="582"/>
        <w:rPr>
          <w:rFonts w:eastAsia="Times New Roman" w:cs="Arial"/>
          <w:bCs/>
          <w:color w:val="000000"/>
          <w:lang w:eastAsia="en-GB"/>
        </w:rPr>
      </w:pPr>
    </w:p>
    <w:p w14:paraId="48323624" w14:textId="4953D5B9" w:rsidR="0029553D" w:rsidRDefault="0029553D" w:rsidP="009C3E0C">
      <w:pPr>
        <w:widowControl w:val="0"/>
        <w:suppressAutoHyphens/>
        <w:ind w:left="720" w:right="582"/>
        <w:rPr>
          <w:rFonts w:eastAsia="Times New Roman" w:cs="Arial"/>
          <w:bCs/>
          <w:color w:val="000000"/>
          <w:lang w:eastAsia="en-GB"/>
        </w:rPr>
      </w:pPr>
      <w:r>
        <w:rPr>
          <w:rFonts w:eastAsia="Times New Roman" w:cs="Arial"/>
          <w:bCs/>
          <w:color w:val="000000"/>
          <w:lang w:eastAsia="en-GB"/>
        </w:rPr>
        <w:t>2015,</w:t>
      </w:r>
    </w:p>
    <w:p w14:paraId="3AAEA4F5" w14:textId="1FBD99DE" w:rsidR="005F3D98" w:rsidRPr="005F3D98" w:rsidRDefault="005F3D98" w:rsidP="009C3E0C">
      <w:pPr>
        <w:widowControl w:val="0"/>
        <w:suppressAutoHyphens/>
        <w:ind w:left="1440" w:right="582"/>
        <w:rPr>
          <w:rFonts w:eastAsia="Times New Roman" w:cs="Arial"/>
          <w:bCs/>
          <w:i/>
          <w:color w:val="000000"/>
          <w:lang w:eastAsia="en-GB"/>
        </w:rPr>
      </w:pPr>
      <w:r w:rsidRPr="005F3D98">
        <w:rPr>
          <w:rFonts w:eastAsia="Times New Roman" w:cs="Arial"/>
          <w:bCs/>
          <w:i/>
          <w:color w:val="000000"/>
          <w:lang w:eastAsia="en-GB"/>
        </w:rPr>
        <w:t>MoLHSA in cooperation with World Bank and EU experts prepared a conceptual model of the labour market information system and established interagency cooperation.</w:t>
      </w:r>
    </w:p>
    <w:p w14:paraId="533AEB06" w14:textId="77777777" w:rsidR="00B36E88" w:rsidRDefault="00B36E88" w:rsidP="009C3E0C">
      <w:pPr>
        <w:widowControl w:val="0"/>
        <w:suppressAutoHyphens/>
        <w:ind w:left="720" w:right="582"/>
        <w:rPr>
          <w:rFonts w:eastAsia="Times New Roman" w:cs="Arial"/>
          <w:bCs/>
          <w:color w:val="000000"/>
          <w:lang w:eastAsia="en-GB"/>
        </w:rPr>
      </w:pPr>
    </w:p>
    <w:p w14:paraId="58ACA07B" w14:textId="4077F7A1" w:rsidR="0029553D" w:rsidRDefault="0029553D" w:rsidP="009C3E0C">
      <w:pPr>
        <w:widowControl w:val="0"/>
        <w:suppressAutoHyphens/>
        <w:ind w:left="1440" w:right="582"/>
        <w:rPr>
          <w:rFonts w:eastAsia="Times New Roman" w:cs="Arial"/>
          <w:bCs/>
          <w:color w:val="000000"/>
          <w:lang w:eastAsia="en-GB"/>
        </w:rPr>
      </w:pPr>
      <w:r>
        <w:rPr>
          <w:rFonts w:eastAsia="Times New Roman" w:cs="Arial"/>
          <w:bCs/>
          <w:color w:val="000000"/>
          <w:lang w:eastAsia="en-GB"/>
        </w:rPr>
        <w:t xml:space="preserve">[As the </w:t>
      </w:r>
      <w:r>
        <w:t>LMIS Strategy and Action Plan, as noted above, were approved in December 2014, this seems a little confusing, but essentially refers to the work of the interagency coordinating group on definition of the LMIS, determination of the scope of information and related variables, and the sources of information].</w:t>
      </w:r>
    </w:p>
    <w:p w14:paraId="71957ED9" w14:textId="77777777" w:rsidR="0029553D" w:rsidRDefault="0029553D" w:rsidP="009C3E0C">
      <w:pPr>
        <w:widowControl w:val="0"/>
        <w:suppressAutoHyphens/>
        <w:ind w:left="720" w:right="582"/>
        <w:rPr>
          <w:rFonts w:eastAsia="Times New Roman" w:cs="Arial"/>
          <w:bCs/>
          <w:color w:val="000000"/>
          <w:lang w:eastAsia="en-GB"/>
        </w:rPr>
      </w:pPr>
    </w:p>
    <w:p w14:paraId="47C49BCF" w14:textId="62B3CAE1" w:rsidR="005F3D98" w:rsidRPr="00BC534F" w:rsidRDefault="0029553D" w:rsidP="009C3E0C">
      <w:pPr>
        <w:widowControl w:val="0"/>
        <w:suppressAutoHyphens/>
        <w:ind w:left="720" w:right="582"/>
        <w:rPr>
          <w:rFonts w:eastAsia="Times New Roman" w:cs="Arial"/>
          <w:b/>
          <w:bCs/>
          <w:color w:val="000000"/>
          <w:lang w:eastAsia="en-GB"/>
        </w:rPr>
      </w:pPr>
      <w:r w:rsidRPr="00BC534F">
        <w:rPr>
          <w:rFonts w:eastAsia="Times New Roman" w:cs="Arial"/>
          <w:b/>
          <w:bCs/>
          <w:color w:val="000000"/>
          <w:lang w:eastAsia="en-GB"/>
        </w:rPr>
        <w:t>4.10</w:t>
      </w:r>
      <w:r w:rsidR="005F3D98" w:rsidRPr="00BC534F">
        <w:rPr>
          <w:rFonts w:eastAsia="Times New Roman" w:cs="Arial"/>
          <w:b/>
          <w:bCs/>
          <w:color w:val="000000"/>
          <w:lang w:eastAsia="en-GB"/>
        </w:rPr>
        <w:t>: Labour Market Information System (LMIS) introduction/development:</w:t>
      </w:r>
    </w:p>
    <w:p w14:paraId="26739AE7" w14:textId="77777777" w:rsidR="005F3D98" w:rsidRDefault="005F3D98" w:rsidP="009C3E0C">
      <w:pPr>
        <w:widowControl w:val="0"/>
        <w:suppressAutoHyphens/>
        <w:ind w:left="720" w:right="582"/>
        <w:rPr>
          <w:rFonts w:eastAsia="Times New Roman" w:cs="Arial"/>
          <w:bCs/>
          <w:color w:val="000000"/>
          <w:lang w:eastAsia="en-GB"/>
        </w:rPr>
      </w:pPr>
    </w:p>
    <w:p w14:paraId="267B10BA" w14:textId="5A3D7421" w:rsidR="0029553D" w:rsidRDefault="0029553D" w:rsidP="009C3E0C">
      <w:pPr>
        <w:widowControl w:val="0"/>
        <w:suppressAutoHyphens/>
        <w:ind w:left="720" w:right="582"/>
        <w:rPr>
          <w:rFonts w:eastAsia="Times New Roman" w:cs="Arial"/>
          <w:bCs/>
          <w:color w:val="000000"/>
          <w:lang w:eastAsia="en-GB"/>
        </w:rPr>
      </w:pPr>
      <w:r>
        <w:rPr>
          <w:rFonts w:eastAsia="Times New Roman" w:cs="Arial"/>
          <w:bCs/>
          <w:color w:val="000000"/>
          <w:lang w:eastAsia="en-GB"/>
        </w:rPr>
        <w:t>2016,</w:t>
      </w:r>
    </w:p>
    <w:p w14:paraId="674D10EA" w14:textId="204E164E" w:rsidR="005F3D98" w:rsidRPr="005F3D98" w:rsidRDefault="005F3D98" w:rsidP="009C3E0C">
      <w:pPr>
        <w:widowControl w:val="0"/>
        <w:suppressAutoHyphens/>
        <w:ind w:left="1440" w:right="582"/>
        <w:rPr>
          <w:rFonts w:eastAsia="Times New Roman" w:cs="Arial"/>
          <w:bCs/>
          <w:i/>
          <w:color w:val="000000"/>
          <w:lang w:eastAsia="en-GB"/>
        </w:rPr>
      </w:pPr>
      <w:r w:rsidRPr="005F3D98">
        <w:rPr>
          <w:rFonts w:eastAsia="Times New Roman" w:cs="Arial"/>
          <w:bCs/>
          <w:i/>
          <w:color w:val="000000"/>
          <w:lang w:eastAsia="en-GB"/>
        </w:rPr>
        <w:t>MoLHSA announced a tender on establishing the labour market information system. Tender was won by the Georgian based company UGT. UGT cr</w:t>
      </w:r>
      <w:r>
        <w:rPr>
          <w:rFonts w:eastAsia="Times New Roman" w:cs="Arial"/>
          <w:bCs/>
          <w:i/>
          <w:color w:val="000000"/>
          <w:lang w:eastAsia="en-GB"/>
        </w:rPr>
        <w:t>e</w:t>
      </w:r>
      <w:r w:rsidRPr="005F3D98">
        <w:rPr>
          <w:rFonts w:eastAsia="Times New Roman" w:cs="Arial"/>
          <w:bCs/>
          <w:i/>
          <w:color w:val="000000"/>
          <w:lang w:eastAsia="en-GB"/>
        </w:rPr>
        <w:t xml:space="preserve">ated the web portal according the work plan which envisaged the following activities: revision </w:t>
      </w:r>
      <w:r>
        <w:rPr>
          <w:rFonts w:eastAsia="Times New Roman" w:cs="Arial"/>
          <w:bCs/>
          <w:i/>
          <w:color w:val="000000"/>
          <w:lang w:eastAsia="en-GB"/>
        </w:rPr>
        <w:t xml:space="preserve">of </w:t>
      </w:r>
      <w:r w:rsidRPr="005F3D98">
        <w:rPr>
          <w:rFonts w:eastAsia="Times New Roman" w:cs="Arial"/>
          <w:bCs/>
          <w:i/>
          <w:color w:val="000000"/>
          <w:lang w:eastAsia="en-GB"/>
        </w:rPr>
        <w:t>terms of reference, creating LMIS design, creating LMIS, training, submitting LMIS, warrantee service</w:t>
      </w:r>
      <w:r>
        <w:rPr>
          <w:rFonts w:eastAsia="Times New Roman" w:cs="Arial"/>
          <w:bCs/>
          <w:i/>
          <w:color w:val="000000"/>
          <w:lang w:eastAsia="en-GB"/>
        </w:rPr>
        <w:t>.</w:t>
      </w:r>
      <w:r w:rsidRPr="005F3D98">
        <w:rPr>
          <w:rFonts w:eastAsia="Times New Roman" w:cs="Arial"/>
          <w:bCs/>
          <w:i/>
          <w:color w:val="000000"/>
          <w:lang w:eastAsia="en-GB"/>
        </w:rPr>
        <w:t>.</w:t>
      </w:r>
    </w:p>
    <w:p w14:paraId="128ED959" w14:textId="77777777" w:rsidR="005F3D98" w:rsidRPr="005F3D98" w:rsidRDefault="005F3D98" w:rsidP="009C3E0C">
      <w:pPr>
        <w:widowControl w:val="0"/>
        <w:suppressAutoHyphens/>
        <w:ind w:left="1440" w:right="582"/>
        <w:rPr>
          <w:rFonts w:eastAsia="Times New Roman" w:cs="Arial"/>
          <w:bCs/>
          <w:i/>
          <w:color w:val="000000"/>
          <w:lang w:eastAsia="en-GB"/>
        </w:rPr>
      </w:pPr>
      <w:r w:rsidRPr="005F3D98">
        <w:rPr>
          <w:rFonts w:eastAsia="Times New Roman" w:cs="Arial"/>
          <w:bCs/>
          <w:i/>
          <w:color w:val="000000"/>
          <w:lang w:eastAsia="en-GB"/>
        </w:rPr>
        <w:t>Nowadays the web portal – “Plan the Future” (www.labour.gov.ge) is functional and according to the visitors’ counting application - Top.ge, since January 2017 the system has had 1760 unique users.</w:t>
      </w:r>
    </w:p>
    <w:p w14:paraId="5C9A3CF3" w14:textId="319CF912" w:rsidR="005F3D98" w:rsidRDefault="005F3D98" w:rsidP="009C3E0C">
      <w:pPr>
        <w:widowControl w:val="0"/>
        <w:suppressAutoHyphens/>
        <w:ind w:left="1440" w:right="582"/>
        <w:rPr>
          <w:rFonts w:eastAsia="Times New Roman" w:cs="Arial"/>
          <w:bCs/>
          <w:i/>
          <w:color w:val="000000"/>
          <w:lang w:eastAsia="en-GB"/>
        </w:rPr>
      </w:pPr>
      <w:r w:rsidRPr="005F3D98">
        <w:rPr>
          <w:rFonts w:eastAsia="Times New Roman" w:cs="Arial"/>
          <w:bCs/>
          <w:i/>
          <w:color w:val="000000"/>
          <w:lang w:eastAsia="en-GB"/>
        </w:rPr>
        <w:t>The system stores 78 variables within 6 categories and 14 sub-categories. Categories, sub-categories and variables are given in the G</w:t>
      </w:r>
      <w:r w:rsidR="0029553D">
        <w:rPr>
          <w:rFonts w:eastAsia="Times New Roman" w:cs="Arial"/>
          <w:bCs/>
          <w:i/>
          <w:color w:val="000000"/>
          <w:lang w:eastAsia="en-GB"/>
        </w:rPr>
        <w:t xml:space="preserve">eorgian and English languages. </w:t>
      </w:r>
    </w:p>
    <w:p w14:paraId="75A83678" w14:textId="77777777" w:rsidR="009F06E3" w:rsidRDefault="009F06E3" w:rsidP="009C3E0C">
      <w:pPr>
        <w:widowControl w:val="0"/>
        <w:suppressAutoHyphens/>
        <w:ind w:left="1440" w:right="582"/>
        <w:rPr>
          <w:rFonts w:eastAsia="Times New Roman" w:cs="Arial"/>
          <w:bCs/>
          <w:i/>
          <w:color w:val="000000"/>
          <w:lang w:eastAsia="en-GB"/>
        </w:rPr>
      </w:pPr>
    </w:p>
    <w:p w14:paraId="513E874A" w14:textId="530EC54D" w:rsidR="009F06E3" w:rsidRPr="009C3E0C" w:rsidRDefault="009F06E3" w:rsidP="009C3E0C">
      <w:pPr>
        <w:widowControl w:val="0"/>
        <w:suppressAutoHyphens/>
        <w:ind w:left="1440" w:right="582"/>
        <w:rPr>
          <w:rFonts w:eastAsia="Times New Roman" w:cs="Arial"/>
          <w:bCs/>
          <w:color w:val="000000"/>
          <w:lang w:eastAsia="en-GB"/>
        </w:rPr>
      </w:pPr>
      <w:r w:rsidRPr="009C3E0C">
        <w:rPr>
          <w:rFonts w:eastAsia="Times New Roman" w:cs="Arial"/>
          <w:bCs/>
          <w:color w:val="000000"/>
          <w:lang w:eastAsia="en-GB"/>
        </w:rPr>
        <w:t>[</w:t>
      </w:r>
      <w:r w:rsidR="00AD7FD7">
        <w:rPr>
          <w:rFonts w:eastAsia="Times New Roman" w:cs="Arial"/>
          <w:bCs/>
          <w:color w:val="000000"/>
          <w:lang w:eastAsia="en-GB"/>
        </w:rPr>
        <w:t>MoLHSA reported that p</w:t>
      </w:r>
      <w:r w:rsidRPr="009C3E0C">
        <w:rPr>
          <w:rFonts w:eastAsia="Times New Roman" w:cs="Arial"/>
          <w:bCs/>
          <w:color w:val="000000"/>
          <w:lang w:eastAsia="en-GB"/>
        </w:rPr>
        <w:t xml:space="preserve">ublic access to the </w:t>
      </w:r>
      <w:r>
        <w:rPr>
          <w:rFonts w:eastAsia="Times New Roman" w:cs="Arial"/>
          <w:bCs/>
          <w:color w:val="000000"/>
          <w:lang w:eastAsia="en-GB"/>
        </w:rPr>
        <w:t>web portal, the LMIS</w:t>
      </w:r>
      <w:r w:rsidRPr="009C3E0C">
        <w:rPr>
          <w:rFonts w:eastAsia="Times New Roman" w:cs="Arial"/>
          <w:bCs/>
          <w:color w:val="000000"/>
          <w:lang w:eastAsia="en-GB"/>
        </w:rPr>
        <w:t>, even though incomplete, was made available from December 28th</w:t>
      </w:r>
      <w:r w:rsidR="00FB5419">
        <w:rPr>
          <w:rFonts w:eastAsia="Times New Roman" w:cs="Arial"/>
          <w:bCs/>
          <w:color w:val="000000"/>
          <w:lang w:eastAsia="en-GB"/>
        </w:rPr>
        <w:t>/29th</w:t>
      </w:r>
      <w:r w:rsidRPr="009C3E0C">
        <w:rPr>
          <w:rFonts w:eastAsia="Times New Roman" w:cs="Arial"/>
          <w:bCs/>
          <w:color w:val="000000"/>
          <w:lang w:eastAsia="en-GB"/>
        </w:rPr>
        <w:t xml:space="preserve"> 2016</w:t>
      </w:r>
      <w:r w:rsidR="00FB5419">
        <w:rPr>
          <w:rFonts w:eastAsia="Times New Roman" w:cs="Arial"/>
          <w:bCs/>
          <w:color w:val="000000"/>
          <w:lang w:eastAsia="en-GB"/>
        </w:rPr>
        <w:t>, with system hits monitored from 1st of January 2017.]</w:t>
      </w:r>
    </w:p>
    <w:p w14:paraId="6E0BE6A0" w14:textId="77777777" w:rsidR="0029553D" w:rsidRDefault="0029553D" w:rsidP="009C3E0C">
      <w:pPr>
        <w:widowControl w:val="0"/>
        <w:suppressAutoHyphens/>
        <w:ind w:left="720" w:right="582"/>
        <w:rPr>
          <w:rFonts w:eastAsia="Times New Roman" w:cs="Arial"/>
          <w:bCs/>
          <w:color w:val="000000"/>
          <w:lang w:eastAsia="en-GB"/>
        </w:rPr>
      </w:pPr>
    </w:p>
    <w:p w14:paraId="5563A943" w14:textId="427B24A8" w:rsidR="0029553D" w:rsidRPr="00BC534F" w:rsidRDefault="0029553D" w:rsidP="009C3E0C">
      <w:pPr>
        <w:widowControl w:val="0"/>
        <w:suppressAutoHyphens/>
        <w:ind w:left="720" w:right="582"/>
        <w:rPr>
          <w:rFonts w:eastAsia="Times New Roman" w:cs="Arial"/>
          <w:b/>
          <w:bCs/>
          <w:color w:val="000000"/>
          <w:lang w:eastAsia="en-GB"/>
        </w:rPr>
      </w:pPr>
      <w:r w:rsidRPr="00BC534F">
        <w:rPr>
          <w:rFonts w:eastAsia="Times New Roman" w:cs="Arial"/>
          <w:b/>
          <w:bCs/>
          <w:color w:val="000000"/>
          <w:lang w:eastAsia="en-GB"/>
        </w:rPr>
        <w:t>4.11: Based on needs identified by Labour market information system conducting special studies:</w:t>
      </w:r>
    </w:p>
    <w:p w14:paraId="093A188D" w14:textId="77777777" w:rsidR="0029553D" w:rsidRDefault="0029553D" w:rsidP="009C3E0C">
      <w:pPr>
        <w:widowControl w:val="0"/>
        <w:suppressAutoHyphens/>
        <w:ind w:left="720" w:right="582"/>
        <w:rPr>
          <w:rFonts w:eastAsia="Times New Roman" w:cs="Arial"/>
          <w:bCs/>
          <w:color w:val="000000"/>
          <w:lang w:eastAsia="en-GB"/>
        </w:rPr>
      </w:pPr>
    </w:p>
    <w:p w14:paraId="14CC92B2" w14:textId="1CDD43AC" w:rsidR="0029553D" w:rsidRDefault="0029553D" w:rsidP="009C3E0C">
      <w:pPr>
        <w:widowControl w:val="0"/>
        <w:suppressAutoHyphens/>
        <w:ind w:left="720" w:right="582"/>
        <w:rPr>
          <w:rFonts w:eastAsia="Times New Roman" w:cs="Arial"/>
          <w:bCs/>
          <w:color w:val="000000"/>
          <w:lang w:eastAsia="en-GB"/>
        </w:rPr>
      </w:pPr>
      <w:r>
        <w:rPr>
          <w:rFonts w:eastAsia="Times New Roman" w:cs="Arial"/>
          <w:bCs/>
          <w:color w:val="000000"/>
          <w:lang w:eastAsia="en-GB"/>
        </w:rPr>
        <w:t>2015,</w:t>
      </w:r>
    </w:p>
    <w:p w14:paraId="7D4D4261" w14:textId="6A006F55" w:rsidR="008C5594" w:rsidRPr="008A649E" w:rsidRDefault="0029553D"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 xml:space="preserve">MoLHSA </w:t>
      </w:r>
      <w:r w:rsidR="00E55184" w:rsidRPr="008A649E">
        <w:rPr>
          <w:rFonts w:eastAsia="Times New Roman" w:cs="Arial"/>
          <w:bCs/>
          <w:i/>
          <w:color w:val="000000"/>
          <w:lang w:eastAsia="en-GB"/>
        </w:rPr>
        <w:t>undertook</w:t>
      </w:r>
      <w:r w:rsidRPr="008A649E">
        <w:rPr>
          <w:rFonts w:eastAsia="Times New Roman" w:cs="Arial"/>
          <w:bCs/>
          <w:i/>
          <w:color w:val="000000"/>
          <w:lang w:eastAsia="en-GB"/>
        </w:rPr>
        <w:t xml:space="preserve"> survey - "Impact of micro and macro factors on working environment adaptation and the work efficien</w:t>
      </w:r>
      <w:r w:rsidR="008C5594" w:rsidRPr="008A649E">
        <w:rPr>
          <w:rFonts w:eastAsia="Times New Roman" w:cs="Arial"/>
          <w:bCs/>
          <w:i/>
          <w:color w:val="000000"/>
          <w:lang w:eastAsia="en-GB"/>
        </w:rPr>
        <w:t>cy of people with disabilities"</w:t>
      </w:r>
    </w:p>
    <w:p w14:paraId="34221470" w14:textId="77777777" w:rsidR="008C5594" w:rsidRPr="008A649E" w:rsidRDefault="006D7B13" w:rsidP="009C3E0C">
      <w:pPr>
        <w:widowControl w:val="0"/>
        <w:suppressAutoHyphens/>
        <w:ind w:left="1440" w:right="582"/>
        <w:rPr>
          <w:rFonts w:eastAsia="Times New Roman" w:cs="Arial"/>
          <w:bCs/>
          <w:color w:val="000000"/>
          <w:sz w:val="20"/>
          <w:szCs w:val="20"/>
          <w:lang w:eastAsia="en-GB"/>
        </w:rPr>
      </w:pPr>
      <w:hyperlink r:id="rId20" w:history="1">
        <w:r w:rsidR="0029553D" w:rsidRPr="008A649E">
          <w:rPr>
            <w:rStyle w:val="Hyperlink"/>
            <w:rFonts w:eastAsia="Times New Roman"/>
            <w:bCs/>
            <w:lang w:eastAsia="en-GB"/>
          </w:rPr>
          <w:t>http://labour.gov.ge/Molhsa/Lmis/Lmis.Portal.Web/Handlers/GetFile.ashx?Type=Survey&amp;ID=196350a8-80ae-4c1d-99cf-6085630e004d</w:t>
        </w:r>
      </w:hyperlink>
      <w:r w:rsidR="008C5594" w:rsidRPr="008A649E">
        <w:rPr>
          <w:rFonts w:eastAsia="Times New Roman" w:cs="Arial"/>
          <w:bCs/>
          <w:color w:val="000000"/>
          <w:sz w:val="20"/>
          <w:szCs w:val="20"/>
          <w:lang w:eastAsia="en-GB"/>
        </w:rPr>
        <w:t xml:space="preserve"> </w:t>
      </w:r>
    </w:p>
    <w:p w14:paraId="0724765B" w14:textId="1A76CEA1" w:rsidR="0029553D" w:rsidRPr="008C5594" w:rsidRDefault="008C5594" w:rsidP="009C3E0C">
      <w:pPr>
        <w:widowControl w:val="0"/>
        <w:suppressAutoHyphens/>
        <w:ind w:left="1440" w:right="582"/>
        <w:rPr>
          <w:rFonts w:eastAsia="Times New Roman" w:cs="Arial"/>
          <w:bCs/>
          <w:color w:val="000000"/>
          <w:sz w:val="20"/>
          <w:szCs w:val="20"/>
          <w:lang w:eastAsia="en-GB"/>
        </w:rPr>
      </w:pPr>
      <w:r w:rsidRPr="008C5594">
        <w:t>(referred to in the Third Instalment Aide Memoire under Indicator 1.1.1).</w:t>
      </w:r>
    </w:p>
    <w:p w14:paraId="599B8614" w14:textId="77777777" w:rsidR="0029553D" w:rsidRDefault="0029553D" w:rsidP="009C3E0C">
      <w:pPr>
        <w:widowControl w:val="0"/>
        <w:suppressAutoHyphens/>
        <w:ind w:left="720" w:right="582"/>
        <w:rPr>
          <w:rFonts w:eastAsia="Times New Roman" w:cs="Arial"/>
          <w:bCs/>
          <w:color w:val="000000"/>
          <w:lang w:eastAsia="en-GB"/>
        </w:rPr>
      </w:pPr>
    </w:p>
    <w:p w14:paraId="5B7A8732" w14:textId="6B6662AB" w:rsidR="008C5594" w:rsidRDefault="008C5594" w:rsidP="009C3E0C">
      <w:pPr>
        <w:widowControl w:val="0"/>
        <w:suppressAutoHyphens/>
        <w:ind w:left="720" w:right="582"/>
        <w:rPr>
          <w:rFonts w:eastAsia="Times New Roman" w:cs="Arial"/>
          <w:bCs/>
          <w:color w:val="000000"/>
          <w:lang w:eastAsia="en-GB"/>
        </w:rPr>
      </w:pPr>
      <w:r>
        <w:rPr>
          <w:rFonts w:eastAsia="Times New Roman" w:cs="Arial"/>
          <w:bCs/>
          <w:color w:val="000000"/>
          <w:lang w:eastAsia="en-GB"/>
        </w:rPr>
        <w:t>2016,</w:t>
      </w:r>
    </w:p>
    <w:p w14:paraId="790E6EDC" w14:textId="59EBD84B" w:rsidR="008C5594" w:rsidRPr="008A649E" w:rsidRDefault="008C5594"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 xml:space="preserve">MoLHSA </w:t>
      </w:r>
      <w:r w:rsidR="00E55184" w:rsidRPr="008A649E">
        <w:rPr>
          <w:rFonts w:eastAsia="Times New Roman" w:cs="Arial"/>
          <w:bCs/>
          <w:i/>
          <w:color w:val="000000"/>
          <w:lang w:eastAsia="en-GB"/>
        </w:rPr>
        <w:t>undertook</w:t>
      </w:r>
      <w:r w:rsidRPr="008A649E">
        <w:rPr>
          <w:rFonts w:eastAsia="Times New Roman" w:cs="Arial"/>
          <w:bCs/>
          <w:i/>
          <w:color w:val="000000"/>
          <w:lang w:eastAsia="en-GB"/>
        </w:rPr>
        <w:t xml:space="preserve"> survey - "Survey on Attitudes, Motivation and Employment</w:t>
      </w:r>
    </w:p>
    <w:p w14:paraId="0C1A7535" w14:textId="77777777" w:rsidR="008C5594" w:rsidRPr="008A649E" w:rsidRDefault="008C5594"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Strategies of the Youth"</w:t>
      </w:r>
    </w:p>
    <w:p w14:paraId="7BF7C5A6" w14:textId="023901C5" w:rsidR="008C5594" w:rsidRPr="008C5594" w:rsidRDefault="006D7B13" w:rsidP="009C3E0C">
      <w:pPr>
        <w:widowControl w:val="0"/>
        <w:suppressAutoHyphens/>
        <w:ind w:left="1440" w:right="582"/>
        <w:rPr>
          <w:rFonts w:eastAsia="Times New Roman" w:cs="Arial"/>
          <w:bCs/>
          <w:color w:val="000000"/>
          <w:sz w:val="20"/>
          <w:szCs w:val="20"/>
          <w:lang w:eastAsia="en-GB"/>
        </w:rPr>
      </w:pPr>
      <w:hyperlink r:id="rId21" w:history="1">
        <w:r w:rsidR="008C5594" w:rsidRPr="008C5594">
          <w:rPr>
            <w:rStyle w:val="Hyperlink"/>
            <w:rFonts w:eastAsia="Times New Roman"/>
            <w:bCs/>
            <w:lang w:eastAsia="en-GB"/>
          </w:rPr>
          <w:t>http://labour.gov.ge/Molhsa/Lmis/Lmis.Portal.Web/Handlers/GetFile.ashx?Type=Survey&amp;ID=49a89fbc-7cb8-4ae9-a5e3-7e43218b1b58</w:t>
        </w:r>
      </w:hyperlink>
    </w:p>
    <w:p w14:paraId="3E739425" w14:textId="77777777" w:rsidR="0029553D" w:rsidRDefault="0029553D" w:rsidP="009E3730">
      <w:pPr>
        <w:widowControl w:val="0"/>
        <w:suppressAutoHyphens/>
        <w:rPr>
          <w:rFonts w:eastAsia="Times New Roman" w:cs="Arial"/>
          <w:bCs/>
          <w:color w:val="000000"/>
          <w:lang w:eastAsia="en-GB"/>
        </w:rPr>
      </w:pPr>
    </w:p>
    <w:p w14:paraId="730711FA" w14:textId="57A98887" w:rsidR="0029553D" w:rsidRDefault="00C76995" w:rsidP="009E3730">
      <w:pPr>
        <w:widowControl w:val="0"/>
        <w:suppressAutoHyphens/>
        <w:rPr>
          <w:rFonts w:eastAsia="Times New Roman" w:cs="Arial"/>
          <w:bCs/>
          <w:color w:val="000000"/>
          <w:lang w:eastAsia="en-GB"/>
        </w:rPr>
      </w:pPr>
      <w:r>
        <w:rPr>
          <w:rFonts w:eastAsia="Times New Roman" w:cs="Arial"/>
          <w:bCs/>
          <w:color w:val="000000"/>
          <w:lang w:eastAsia="en-GB"/>
        </w:rPr>
        <w:t>The report notes that while the budget for 4.10 was GEL430,000 for 2016, only GEL297,000 was spent, and while there was no budget for 4.11 in 2015 but GEL50,000 in 2016, actual spend was GEL67,900 in 2015 and GEL24,999 in 2016.</w:t>
      </w:r>
    </w:p>
    <w:p w14:paraId="3E29763B" w14:textId="77777777" w:rsidR="00C76995" w:rsidRDefault="00C76995" w:rsidP="009E3730">
      <w:pPr>
        <w:widowControl w:val="0"/>
        <w:suppressAutoHyphens/>
        <w:rPr>
          <w:rFonts w:eastAsia="Times New Roman" w:cs="Arial"/>
          <w:bCs/>
          <w:color w:val="000000"/>
          <w:lang w:eastAsia="en-GB"/>
        </w:rPr>
      </w:pPr>
    </w:p>
    <w:p w14:paraId="1DE78DBE" w14:textId="3A4985B8" w:rsidR="00C76995" w:rsidRDefault="00C76995" w:rsidP="009E3730">
      <w:pPr>
        <w:widowControl w:val="0"/>
        <w:suppressAutoHyphens/>
        <w:rPr>
          <w:rFonts w:eastAsia="Times New Roman" w:cs="Arial"/>
          <w:bCs/>
          <w:color w:val="000000"/>
          <w:lang w:eastAsia="en-GB"/>
        </w:rPr>
      </w:pPr>
      <w:r>
        <w:rPr>
          <w:rFonts w:eastAsia="Times New Roman" w:cs="Arial"/>
          <w:bCs/>
          <w:color w:val="000000"/>
          <w:lang w:eastAsia="en-GB"/>
        </w:rPr>
        <w:t>Other activities under Priority 4 are also relevant to the LMIS. These include,</w:t>
      </w:r>
    </w:p>
    <w:p w14:paraId="57357EAD" w14:textId="77777777" w:rsidR="00C76995" w:rsidRDefault="00C76995" w:rsidP="009E3730">
      <w:pPr>
        <w:widowControl w:val="0"/>
        <w:suppressAutoHyphens/>
        <w:rPr>
          <w:rFonts w:eastAsia="Times New Roman" w:cs="Arial"/>
          <w:bCs/>
          <w:color w:val="000000"/>
          <w:lang w:eastAsia="en-GB"/>
        </w:rPr>
      </w:pPr>
    </w:p>
    <w:p w14:paraId="319BB9A3" w14:textId="7E90EF7A" w:rsidR="00C76995" w:rsidRPr="00BC534F" w:rsidRDefault="00C76995" w:rsidP="009C3E0C">
      <w:pPr>
        <w:widowControl w:val="0"/>
        <w:suppressAutoHyphens/>
        <w:ind w:left="720" w:right="582"/>
        <w:rPr>
          <w:rFonts w:eastAsia="Times New Roman" w:cs="Arial"/>
          <w:b/>
          <w:bCs/>
          <w:color w:val="000000"/>
          <w:lang w:eastAsia="en-GB"/>
        </w:rPr>
      </w:pPr>
      <w:r w:rsidRPr="00BC534F">
        <w:rPr>
          <w:rFonts w:eastAsia="Times New Roman" w:cs="Arial"/>
          <w:b/>
          <w:bCs/>
          <w:color w:val="000000"/>
          <w:lang w:eastAsia="en-GB"/>
        </w:rPr>
        <w:t>4.1: Evaluating the methods of Unemployment Recording</w:t>
      </w:r>
    </w:p>
    <w:p w14:paraId="19401AC7" w14:textId="77777777" w:rsidR="00C76995" w:rsidRDefault="00C76995" w:rsidP="009C3E0C">
      <w:pPr>
        <w:widowControl w:val="0"/>
        <w:suppressAutoHyphens/>
        <w:ind w:left="720" w:right="582"/>
        <w:rPr>
          <w:rFonts w:eastAsia="Times New Roman" w:cs="Arial"/>
          <w:bCs/>
          <w:color w:val="000000"/>
          <w:lang w:eastAsia="en-GB"/>
        </w:rPr>
      </w:pPr>
    </w:p>
    <w:p w14:paraId="4B4FF6B8" w14:textId="4899FAEF" w:rsidR="00C76995" w:rsidRDefault="00C76995" w:rsidP="009C3E0C">
      <w:pPr>
        <w:widowControl w:val="0"/>
        <w:suppressAutoHyphens/>
        <w:ind w:left="720" w:right="582"/>
        <w:rPr>
          <w:rFonts w:eastAsia="Times New Roman" w:cs="Arial"/>
          <w:bCs/>
          <w:color w:val="000000"/>
          <w:lang w:eastAsia="en-GB"/>
        </w:rPr>
      </w:pPr>
      <w:r>
        <w:rPr>
          <w:rFonts w:eastAsia="Times New Roman" w:cs="Arial"/>
          <w:bCs/>
          <w:color w:val="000000"/>
          <w:lang w:eastAsia="en-GB"/>
        </w:rPr>
        <w:t>2016</w:t>
      </w:r>
      <w:r w:rsidR="0073378C">
        <w:rPr>
          <w:rFonts w:eastAsia="Times New Roman" w:cs="Arial"/>
          <w:bCs/>
          <w:color w:val="000000"/>
          <w:lang w:eastAsia="en-GB"/>
        </w:rPr>
        <w:t xml:space="preserve"> comment</w:t>
      </w:r>
      <w:r>
        <w:rPr>
          <w:rFonts w:eastAsia="Times New Roman" w:cs="Arial"/>
          <w:bCs/>
          <w:color w:val="000000"/>
          <w:lang w:eastAsia="en-GB"/>
        </w:rPr>
        <w:t xml:space="preserve">, </w:t>
      </w:r>
    </w:p>
    <w:p w14:paraId="55B8D40C" w14:textId="676BEA53" w:rsidR="00C76995" w:rsidRDefault="00C76995" w:rsidP="009C3E0C">
      <w:pPr>
        <w:widowControl w:val="0"/>
        <w:suppressAutoHyphens/>
        <w:ind w:left="1440" w:right="582"/>
        <w:rPr>
          <w:rFonts w:eastAsia="Times New Roman" w:cs="Arial"/>
          <w:bCs/>
          <w:color w:val="000000"/>
          <w:lang w:eastAsia="en-GB"/>
        </w:rPr>
      </w:pPr>
      <w:r w:rsidRPr="008A649E">
        <w:rPr>
          <w:rFonts w:eastAsia="Times New Roman" w:cs="Arial"/>
          <w:bCs/>
          <w:i/>
          <w:color w:val="000000"/>
          <w:lang w:eastAsia="en-GB"/>
        </w:rPr>
        <w:t xml:space="preserve">Currently Georgia hasn’t Employment Law which would define the exact definition employment, unemployment and unemployment recording. Nowadays number and rate of unemployment is calculated by </w:t>
      </w:r>
      <w:r w:rsidR="00E55184" w:rsidRPr="008A649E">
        <w:rPr>
          <w:rFonts w:eastAsia="Times New Roman" w:cs="Arial"/>
          <w:bCs/>
          <w:i/>
          <w:color w:val="000000"/>
          <w:lang w:eastAsia="en-GB"/>
        </w:rPr>
        <w:t>GeoSTAT</w:t>
      </w:r>
      <w:r w:rsidRPr="008A649E">
        <w:rPr>
          <w:rFonts w:eastAsia="Times New Roman" w:cs="Arial"/>
          <w:bCs/>
          <w:i/>
          <w:color w:val="000000"/>
          <w:lang w:eastAsia="en-GB"/>
        </w:rPr>
        <w:t xml:space="preserve"> which is based ILO methods related to surveys of economically active population, employment, unemployment and underemployment.</w:t>
      </w:r>
      <w:r w:rsidRPr="00C76995">
        <w:rPr>
          <w:rFonts w:eastAsia="Times New Roman" w:cs="Arial"/>
          <w:bCs/>
          <w:color w:val="000000"/>
          <w:lang w:eastAsia="en-GB"/>
        </w:rPr>
        <w:t xml:space="preserve"> </w:t>
      </w:r>
      <w:hyperlink r:id="rId22" w:history="1">
        <w:r w:rsidRPr="008A649E">
          <w:rPr>
            <w:rStyle w:val="Hyperlink"/>
            <w:rFonts w:eastAsia="Times New Roman"/>
            <w:bCs/>
            <w:lang w:eastAsia="en-GB"/>
          </w:rPr>
          <w:t>http://www.geostat.ge/cms/site_images/_files/georgian/methodology/Surveys_of_economically_active_population,employment,unemployment,and_underemployment.pdf</w:t>
        </w:r>
      </w:hyperlink>
    </w:p>
    <w:p w14:paraId="0999D6A5" w14:textId="77777777" w:rsidR="00C76995" w:rsidRDefault="00C76995" w:rsidP="009C3E0C">
      <w:pPr>
        <w:widowControl w:val="0"/>
        <w:suppressAutoHyphens/>
        <w:ind w:left="720" w:right="582"/>
        <w:rPr>
          <w:rFonts w:eastAsia="Times New Roman" w:cs="Arial"/>
          <w:bCs/>
          <w:color w:val="000000"/>
          <w:lang w:eastAsia="en-GB"/>
        </w:rPr>
      </w:pPr>
    </w:p>
    <w:p w14:paraId="6DCC3E4C" w14:textId="52D51BA9" w:rsidR="00C76995" w:rsidRPr="00BC534F" w:rsidRDefault="00C76995" w:rsidP="009C3E0C">
      <w:pPr>
        <w:widowControl w:val="0"/>
        <w:suppressAutoHyphens/>
        <w:ind w:left="720" w:right="582"/>
        <w:rPr>
          <w:rFonts w:eastAsia="Times New Roman" w:cs="Arial"/>
          <w:b/>
          <w:bCs/>
          <w:color w:val="000000"/>
          <w:lang w:eastAsia="en-GB"/>
        </w:rPr>
      </w:pPr>
      <w:r w:rsidRPr="00BC534F">
        <w:rPr>
          <w:rFonts w:eastAsia="Times New Roman" w:cs="Arial"/>
          <w:b/>
          <w:bCs/>
          <w:color w:val="000000"/>
          <w:lang w:eastAsia="en-GB"/>
        </w:rPr>
        <w:t>4.2: Evaluating the statistical methods of salary surveying</w:t>
      </w:r>
    </w:p>
    <w:p w14:paraId="5492F3B1" w14:textId="77777777" w:rsidR="00C76995" w:rsidRDefault="00C76995" w:rsidP="009C3E0C">
      <w:pPr>
        <w:widowControl w:val="0"/>
        <w:suppressAutoHyphens/>
        <w:ind w:left="720" w:right="582"/>
        <w:rPr>
          <w:rFonts w:eastAsia="Times New Roman" w:cs="Arial"/>
          <w:bCs/>
          <w:color w:val="000000"/>
          <w:lang w:eastAsia="en-GB"/>
        </w:rPr>
      </w:pPr>
    </w:p>
    <w:p w14:paraId="249BC138" w14:textId="55AC287C" w:rsidR="00C76995" w:rsidRDefault="00C76995" w:rsidP="009C3E0C">
      <w:pPr>
        <w:widowControl w:val="0"/>
        <w:suppressAutoHyphens/>
        <w:ind w:left="720" w:right="582"/>
        <w:rPr>
          <w:rFonts w:eastAsia="Times New Roman" w:cs="Arial"/>
          <w:bCs/>
          <w:color w:val="000000"/>
          <w:lang w:eastAsia="en-GB"/>
        </w:rPr>
      </w:pPr>
      <w:r>
        <w:rPr>
          <w:rFonts w:eastAsia="Times New Roman" w:cs="Arial"/>
          <w:bCs/>
          <w:color w:val="000000"/>
          <w:lang w:eastAsia="en-GB"/>
        </w:rPr>
        <w:t>2016</w:t>
      </w:r>
      <w:r w:rsidR="0073378C">
        <w:rPr>
          <w:rFonts w:eastAsia="Times New Roman" w:cs="Arial"/>
          <w:bCs/>
          <w:color w:val="000000"/>
          <w:lang w:eastAsia="en-GB"/>
        </w:rPr>
        <w:t xml:space="preserve"> comment</w:t>
      </w:r>
      <w:r>
        <w:rPr>
          <w:rFonts w:eastAsia="Times New Roman" w:cs="Arial"/>
          <w:bCs/>
          <w:color w:val="000000"/>
          <w:lang w:eastAsia="en-GB"/>
        </w:rPr>
        <w:t xml:space="preserve">, </w:t>
      </w:r>
    </w:p>
    <w:p w14:paraId="4E044E17" w14:textId="2DDF90F8" w:rsidR="00C76995" w:rsidRPr="008A649E" w:rsidRDefault="00C76995"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 xml:space="preserve">Currently Georgia hasn’t a separate survey on salary. In the nearest future </w:t>
      </w:r>
      <w:r w:rsidR="00E55184" w:rsidRPr="008A649E">
        <w:rPr>
          <w:rFonts w:eastAsia="Times New Roman" w:cs="Arial"/>
          <w:bCs/>
          <w:i/>
          <w:color w:val="000000"/>
          <w:lang w:eastAsia="en-GB"/>
        </w:rPr>
        <w:t>GeoSTAT</w:t>
      </w:r>
      <w:r w:rsidRPr="008A649E">
        <w:rPr>
          <w:rFonts w:eastAsia="Times New Roman" w:cs="Arial"/>
          <w:bCs/>
          <w:i/>
          <w:color w:val="000000"/>
          <w:lang w:eastAsia="en-GB"/>
        </w:rPr>
        <w:t xml:space="preserve"> plans to separate the labour market survey from the Integrated Household Survey, where the salary survey will have a separate part.</w:t>
      </w:r>
    </w:p>
    <w:p w14:paraId="0CBCD0AA" w14:textId="77777777" w:rsidR="00C76995" w:rsidRDefault="00C76995" w:rsidP="009C3E0C">
      <w:pPr>
        <w:widowControl w:val="0"/>
        <w:suppressAutoHyphens/>
        <w:ind w:left="720" w:right="582"/>
        <w:rPr>
          <w:rFonts w:eastAsia="Times New Roman" w:cs="Arial"/>
          <w:bCs/>
          <w:color w:val="000000"/>
          <w:lang w:eastAsia="en-GB"/>
        </w:rPr>
      </w:pPr>
    </w:p>
    <w:p w14:paraId="429DD057" w14:textId="79F577C6" w:rsidR="00C76995" w:rsidRPr="00BC534F" w:rsidRDefault="00C76995" w:rsidP="009C3E0C">
      <w:pPr>
        <w:widowControl w:val="0"/>
        <w:suppressAutoHyphens/>
        <w:ind w:left="720" w:right="582"/>
        <w:rPr>
          <w:rFonts w:eastAsia="Times New Roman" w:cs="Arial"/>
          <w:b/>
          <w:bCs/>
          <w:color w:val="000000"/>
          <w:lang w:eastAsia="en-GB"/>
        </w:rPr>
      </w:pPr>
      <w:r w:rsidRPr="00BC534F">
        <w:rPr>
          <w:rFonts w:eastAsia="Times New Roman" w:cs="Arial"/>
          <w:b/>
          <w:bCs/>
          <w:color w:val="000000"/>
          <w:lang w:eastAsia="en-GB"/>
        </w:rPr>
        <w:t>4.3: Drafting Statistical methods for surveying labour costs</w:t>
      </w:r>
    </w:p>
    <w:p w14:paraId="308FAE1D" w14:textId="77777777" w:rsidR="0073378C" w:rsidRDefault="0073378C" w:rsidP="009C3E0C">
      <w:pPr>
        <w:widowControl w:val="0"/>
        <w:suppressAutoHyphens/>
        <w:ind w:left="720" w:right="582"/>
        <w:rPr>
          <w:rFonts w:eastAsia="Times New Roman" w:cs="Arial"/>
          <w:bCs/>
          <w:color w:val="000000"/>
          <w:lang w:eastAsia="en-GB"/>
        </w:rPr>
      </w:pPr>
    </w:p>
    <w:p w14:paraId="13174CCE" w14:textId="7FEA2C23" w:rsidR="0073378C" w:rsidRDefault="0073378C" w:rsidP="009C3E0C">
      <w:pPr>
        <w:widowControl w:val="0"/>
        <w:suppressAutoHyphens/>
        <w:ind w:left="720" w:right="582"/>
        <w:rPr>
          <w:rFonts w:eastAsia="Times New Roman" w:cs="Arial"/>
          <w:bCs/>
          <w:color w:val="000000"/>
          <w:lang w:eastAsia="en-GB"/>
        </w:rPr>
      </w:pPr>
      <w:r>
        <w:rPr>
          <w:rFonts w:eastAsia="Times New Roman" w:cs="Arial"/>
          <w:bCs/>
          <w:color w:val="000000"/>
          <w:lang w:eastAsia="en-GB"/>
        </w:rPr>
        <w:t>2016 comment,</w:t>
      </w:r>
    </w:p>
    <w:p w14:paraId="7149890C" w14:textId="5D4250FB" w:rsidR="0029553D" w:rsidRPr="008A649E" w:rsidRDefault="0073378C"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This component is considered to become part of activity 4.7.</w:t>
      </w:r>
    </w:p>
    <w:p w14:paraId="5429A0F2" w14:textId="77777777" w:rsidR="0073378C" w:rsidRDefault="0073378C" w:rsidP="009C3E0C">
      <w:pPr>
        <w:widowControl w:val="0"/>
        <w:suppressAutoHyphens/>
        <w:ind w:left="720" w:right="582"/>
        <w:rPr>
          <w:rFonts w:eastAsia="Times New Roman" w:cs="Arial"/>
          <w:bCs/>
          <w:color w:val="000000"/>
          <w:lang w:eastAsia="en-GB"/>
        </w:rPr>
      </w:pPr>
    </w:p>
    <w:p w14:paraId="5C10561A" w14:textId="6D468B00" w:rsidR="0073378C" w:rsidRPr="00BC534F" w:rsidRDefault="0073378C" w:rsidP="009C3E0C">
      <w:pPr>
        <w:widowControl w:val="0"/>
        <w:suppressAutoHyphens/>
        <w:ind w:left="720" w:right="582"/>
        <w:rPr>
          <w:rFonts w:eastAsia="Times New Roman" w:cs="Arial"/>
          <w:b/>
          <w:bCs/>
          <w:color w:val="000000"/>
          <w:lang w:eastAsia="en-GB"/>
        </w:rPr>
      </w:pPr>
      <w:r w:rsidRPr="00BC534F">
        <w:rPr>
          <w:rFonts w:eastAsia="Times New Roman" w:cs="Arial"/>
          <w:b/>
          <w:bCs/>
          <w:color w:val="000000"/>
          <w:lang w:eastAsia="en-GB"/>
        </w:rPr>
        <w:t>4.4: Drafting “Employment national standard classifier (based on ISCO-2008)</w:t>
      </w:r>
    </w:p>
    <w:p w14:paraId="464F8100" w14:textId="77777777" w:rsidR="0073378C" w:rsidRDefault="0073378C" w:rsidP="009C3E0C">
      <w:pPr>
        <w:widowControl w:val="0"/>
        <w:suppressAutoHyphens/>
        <w:ind w:left="720" w:right="582"/>
        <w:rPr>
          <w:rFonts w:eastAsia="Times New Roman" w:cs="Arial"/>
          <w:bCs/>
          <w:color w:val="000000"/>
          <w:lang w:eastAsia="en-GB"/>
        </w:rPr>
      </w:pPr>
    </w:p>
    <w:p w14:paraId="7314BC88" w14:textId="56654686" w:rsidR="0073378C" w:rsidRDefault="0073378C" w:rsidP="009C3E0C">
      <w:pPr>
        <w:widowControl w:val="0"/>
        <w:suppressAutoHyphens/>
        <w:ind w:left="720" w:right="582"/>
        <w:rPr>
          <w:rFonts w:eastAsia="Times New Roman" w:cs="Arial"/>
          <w:bCs/>
          <w:color w:val="000000"/>
          <w:lang w:eastAsia="en-GB"/>
        </w:rPr>
      </w:pPr>
      <w:r>
        <w:rPr>
          <w:rFonts w:eastAsia="Times New Roman" w:cs="Arial"/>
          <w:bCs/>
          <w:color w:val="000000"/>
          <w:lang w:eastAsia="en-GB"/>
        </w:rPr>
        <w:t>2015,</w:t>
      </w:r>
    </w:p>
    <w:p w14:paraId="7D919DF2" w14:textId="6E2C053B" w:rsidR="0073378C" w:rsidRPr="008A649E" w:rsidRDefault="0073378C"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 xml:space="preserve">MoLHSA signed an agreement with Bureau for Translation of International Agreements of Georgia and translated ISCO 2008 from </w:t>
      </w:r>
      <w:r w:rsidRPr="008A649E">
        <w:rPr>
          <w:rFonts w:eastAsia="Times New Roman" w:cs="Arial"/>
          <w:bCs/>
          <w:i/>
          <w:color w:val="000000"/>
          <w:lang w:eastAsia="en-GB"/>
        </w:rPr>
        <w:lastRenderedPageBreak/>
        <w:t xml:space="preserve">English into Georgian. </w:t>
      </w:r>
    </w:p>
    <w:p w14:paraId="29D19DEC" w14:textId="77777777" w:rsidR="0073378C" w:rsidRDefault="0073378C" w:rsidP="009C3E0C">
      <w:pPr>
        <w:widowControl w:val="0"/>
        <w:suppressAutoHyphens/>
        <w:ind w:left="720" w:right="582"/>
        <w:rPr>
          <w:rFonts w:eastAsia="Times New Roman" w:cs="Arial"/>
          <w:bCs/>
          <w:color w:val="000000"/>
          <w:lang w:eastAsia="en-GB"/>
        </w:rPr>
      </w:pPr>
    </w:p>
    <w:p w14:paraId="69A43961" w14:textId="3DBD11CA" w:rsidR="0073378C" w:rsidRDefault="0073378C" w:rsidP="009C3E0C">
      <w:pPr>
        <w:widowControl w:val="0"/>
        <w:suppressAutoHyphens/>
        <w:ind w:left="720" w:right="582"/>
        <w:rPr>
          <w:rFonts w:eastAsia="Times New Roman" w:cs="Arial"/>
          <w:bCs/>
          <w:color w:val="000000"/>
          <w:lang w:eastAsia="en-GB"/>
        </w:rPr>
      </w:pPr>
      <w:r>
        <w:rPr>
          <w:rFonts w:eastAsia="Times New Roman" w:cs="Arial"/>
          <w:bCs/>
          <w:color w:val="000000"/>
          <w:lang w:eastAsia="en-GB"/>
        </w:rPr>
        <w:t>2016,</w:t>
      </w:r>
    </w:p>
    <w:p w14:paraId="5C3A257D" w14:textId="65AC62C9" w:rsidR="0073378C" w:rsidRPr="008A649E" w:rsidRDefault="0073378C"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 xml:space="preserve">MoLHSA announced a tender for adaptation a translated document of ISCO 2008 to Georgian reality. A tender was won by Tbilisi State University, which prepared a draft document of the National Standard Classification of Occupations. According the Law of Georgia on Official Statistics (Article 9) the document is transferred to </w:t>
      </w:r>
      <w:r w:rsidR="00E55184" w:rsidRPr="008A649E">
        <w:rPr>
          <w:rFonts w:eastAsia="Times New Roman" w:cs="Arial"/>
          <w:bCs/>
          <w:i/>
          <w:color w:val="000000"/>
          <w:lang w:eastAsia="en-GB"/>
        </w:rPr>
        <w:t>GeoSTAT</w:t>
      </w:r>
      <w:r w:rsidRPr="008A649E">
        <w:rPr>
          <w:rFonts w:eastAsia="Times New Roman" w:cs="Arial"/>
          <w:bCs/>
          <w:i/>
          <w:color w:val="000000"/>
          <w:lang w:eastAsia="en-GB"/>
        </w:rPr>
        <w:t xml:space="preserve"> for approval.   </w:t>
      </w:r>
    </w:p>
    <w:p w14:paraId="62F5FDD8" w14:textId="77777777" w:rsidR="0073378C" w:rsidRDefault="0073378C" w:rsidP="009C3E0C">
      <w:pPr>
        <w:widowControl w:val="0"/>
        <w:suppressAutoHyphens/>
        <w:ind w:left="720" w:right="582"/>
        <w:rPr>
          <w:rFonts w:eastAsia="Times New Roman" w:cs="Arial"/>
          <w:bCs/>
          <w:color w:val="000000"/>
          <w:lang w:eastAsia="en-GB"/>
        </w:rPr>
      </w:pPr>
    </w:p>
    <w:p w14:paraId="12183C49" w14:textId="26FD2609" w:rsidR="0073378C" w:rsidRPr="00BC534F" w:rsidRDefault="0073378C" w:rsidP="009C3E0C">
      <w:pPr>
        <w:widowControl w:val="0"/>
        <w:suppressAutoHyphens/>
        <w:ind w:left="720" w:right="582"/>
        <w:rPr>
          <w:rFonts w:eastAsia="Times New Roman" w:cs="Arial"/>
          <w:b/>
          <w:bCs/>
          <w:color w:val="000000"/>
          <w:lang w:eastAsia="en-GB"/>
        </w:rPr>
      </w:pPr>
      <w:r w:rsidRPr="00BC534F">
        <w:rPr>
          <w:rFonts w:eastAsia="Times New Roman" w:cs="Arial"/>
          <w:b/>
          <w:bCs/>
          <w:color w:val="000000"/>
          <w:lang w:eastAsia="en-GB"/>
        </w:rPr>
        <w:t>4.5: Drafting methods on forecasting the expected trends on the labour market</w:t>
      </w:r>
    </w:p>
    <w:p w14:paraId="58A8E575" w14:textId="77777777" w:rsidR="0073378C" w:rsidRDefault="0073378C" w:rsidP="009C3E0C">
      <w:pPr>
        <w:widowControl w:val="0"/>
        <w:suppressAutoHyphens/>
        <w:ind w:left="720" w:right="582"/>
        <w:rPr>
          <w:rFonts w:eastAsia="Times New Roman" w:cs="Arial"/>
          <w:bCs/>
          <w:color w:val="000000"/>
          <w:lang w:eastAsia="en-GB"/>
        </w:rPr>
      </w:pPr>
    </w:p>
    <w:p w14:paraId="6277B090" w14:textId="136C8654" w:rsidR="0073378C" w:rsidRDefault="0073378C" w:rsidP="009C3E0C">
      <w:pPr>
        <w:widowControl w:val="0"/>
        <w:suppressAutoHyphens/>
        <w:ind w:left="720" w:right="582"/>
        <w:rPr>
          <w:rFonts w:eastAsia="Times New Roman" w:cs="Arial"/>
          <w:bCs/>
          <w:color w:val="000000"/>
          <w:lang w:eastAsia="en-GB"/>
        </w:rPr>
      </w:pPr>
      <w:r>
        <w:rPr>
          <w:rFonts w:eastAsia="Times New Roman" w:cs="Arial"/>
          <w:bCs/>
          <w:color w:val="000000"/>
          <w:lang w:eastAsia="en-GB"/>
        </w:rPr>
        <w:t>2016,</w:t>
      </w:r>
    </w:p>
    <w:p w14:paraId="5D07BA32" w14:textId="77777777" w:rsidR="0073378C" w:rsidRPr="008A649E" w:rsidRDefault="0073378C"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MoLHSA in cooperation with EUVEGE Project prepared methods for forecasting labour market indicators. Forecast of LMIS variables is envisaged to be done by three methods:</w:t>
      </w:r>
    </w:p>
    <w:p w14:paraId="0C7EF2B3" w14:textId="77777777" w:rsidR="0073378C" w:rsidRPr="008A649E" w:rsidRDefault="0073378C"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1. ILO Estimation – ILO estimates key indicators of the labour market (KILM) for 2020. Thus, MoLHSA uses ILO estimation for the category – International Comparisons and publishes estimations of variables by the Eastern Partnership Countries – Unemployment Rate, Labour Force Participation Rate, Employment-to-Population Ratio, Youth Unemployment Rate, Adult Unemployment Rate, Labour Force Productivity.</w:t>
      </w:r>
    </w:p>
    <w:p w14:paraId="7D316B08" w14:textId="77777777" w:rsidR="0073378C" w:rsidRPr="008A649E" w:rsidRDefault="0073378C"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2. Data Projection through Microsoft Excel.</w:t>
      </w:r>
    </w:p>
    <w:p w14:paraId="6BE3FFF9" w14:textId="77777777" w:rsidR="0073378C" w:rsidRPr="008A649E" w:rsidRDefault="0073378C"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3. Data Projection through LMIS web page.</w:t>
      </w:r>
    </w:p>
    <w:p w14:paraId="24BD7635" w14:textId="24DFED38" w:rsidR="0073378C" w:rsidRPr="008A649E" w:rsidRDefault="0073378C"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 xml:space="preserve">Remark: EUVEGE Project expert worked on a projection methodology in March 2017. An expert prepared a method which needs proper delivery in upcoming capacity building meetings.  </w:t>
      </w:r>
    </w:p>
    <w:p w14:paraId="3D9C3744" w14:textId="77777777" w:rsidR="0073378C" w:rsidRDefault="0073378C" w:rsidP="009C3E0C">
      <w:pPr>
        <w:widowControl w:val="0"/>
        <w:suppressAutoHyphens/>
        <w:ind w:left="720" w:right="582"/>
        <w:rPr>
          <w:rFonts w:eastAsia="Times New Roman" w:cs="Arial"/>
          <w:bCs/>
          <w:color w:val="000000"/>
          <w:lang w:eastAsia="en-GB"/>
        </w:rPr>
      </w:pPr>
    </w:p>
    <w:p w14:paraId="2D00EED7" w14:textId="25D0FA0A" w:rsidR="0073378C" w:rsidRPr="00BC534F" w:rsidRDefault="0073378C" w:rsidP="009C3E0C">
      <w:pPr>
        <w:widowControl w:val="0"/>
        <w:suppressAutoHyphens/>
        <w:ind w:left="720" w:right="582"/>
        <w:rPr>
          <w:rFonts w:eastAsia="Times New Roman" w:cs="Arial"/>
          <w:b/>
          <w:bCs/>
          <w:color w:val="000000"/>
          <w:lang w:eastAsia="en-GB"/>
        </w:rPr>
      </w:pPr>
      <w:r w:rsidRPr="00BC534F">
        <w:rPr>
          <w:rFonts w:eastAsia="Times New Roman" w:cs="Arial"/>
          <w:b/>
          <w:bCs/>
          <w:color w:val="000000"/>
          <w:lang w:eastAsia="en-GB"/>
        </w:rPr>
        <w:t>4.6: Drafting methods on studying the demand on the labour force</w:t>
      </w:r>
    </w:p>
    <w:p w14:paraId="5D151418" w14:textId="77777777" w:rsidR="0073378C" w:rsidRDefault="0073378C" w:rsidP="009C3E0C">
      <w:pPr>
        <w:widowControl w:val="0"/>
        <w:suppressAutoHyphens/>
        <w:ind w:left="720" w:right="582"/>
        <w:rPr>
          <w:rFonts w:eastAsia="Times New Roman" w:cs="Arial"/>
          <w:bCs/>
          <w:color w:val="000000"/>
          <w:lang w:eastAsia="en-GB"/>
        </w:rPr>
      </w:pPr>
    </w:p>
    <w:p w14:paraId="0CB0BAFB" w14:textId="2D46DDB4" w:rsidR="0073378C" w:rsidRDefault="0073378C" w:rsidP="009C3E0C">
      <w:pPr>
        <w:widowControl w:val="0"/>
        <w:suppressAutoHyphens/>
        <w:ind w:left="720" w:right="582"/>
        <w:rPr>
          <w:rFonts w:eastAsia="Times New Roman" w:cs="Arial"/>
          <w:bCs/>
          <w:color w:val="000000"/>
          <w:lang w:eastAsia="en-GB"/>
        </w:rPr>
      </w:pPr>
      <w:r>
        <w:rPr>
          <w:rFonts w:eastAsia="Times New Roman" w:cs="Arial"/>
          <w:bCs/>
          <w:color w:val="000000"/>
          <w:lang w:eastAsia="en-GB"/>
        </w:rPr>
        <w:t>2016,</w:t>
      </w:r>
    </w:p>
    <w:p w14:paraId="7301F5FD" w14:textId="76C966DE" w:rsidR="0073378C" w:rsidRPr="008A649E" w:rsidRDefault="0073378C"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MoLHSA in cooperation with EUVEGE Project prepared a qualitative method for the labour force demand survey. Representatives of the Social Service Agency were involved in it.</w:t>
      </w:r>
    </w:p>
    <w:p w14:paraId="277C5553" w14:textId="77777777" w:rsidR="0073378C" w:rsidRDefault="0073378C" w:rsidP="009C3E0C">
      <w:pPr>
        <w:widowControl w:val="0"/>
        <w:suppressAutoHyphens/>
        <w:ind w:left="720" w:right="582"/>
        <w:rPr>
          <w:rFonts w:eastAsia="Times New Roman" w:cs="Arial"/>
          <w:bCs/>
          <w:color w:val="000000"/>
          <w:lang w:eastAsia="en-GB"/>
        </w:rPr>
      </w:pPr>
    </w:p>
    <w:p w14:paraId="67E22299" w14:textId="4CC8B73E" w:rsidR="0073378C" w:rsidRPr="00BC534F" w:rsidRDefault="0073378C" w:rsidP="009C3E0C">
      <w:pPr>
        <w:widowControl w:val="0"/>
        <w:suppressAutoHyphens/>
        <w:ind w:left="720" w:right="582"/>
        <w:rPr>
          <w:rFonts w:eastAsia="Times New Roman" w:cs="Arial"/>
          <w:b/>
          <w:bCs/>
          <w:color w:val="000000"/>
          <w:lang w:eastAsia="en-GB"/>
        </w:rPr>
      </w:pPr>
      <w:r w:rsidRPr="00BC534F">
        <w:rPr>
          <w:rFonts w:eastAsia="Times New Roman" w:cs="Arial"/>
          <w:b/>
          <w:bCs/>
          <w:color w:val="000000"/>
          <w:lang w:eastAsia="en-GB"/>
        </w:rPr>
        <w:t xml:space="preserve">4.7: Conducting a pilot study of the </w:t>
      </w:r>
      <w:r w:rsidR="00E55184" w:rsidRPr="00BC534F">
        <w:rPr>
          <w:rFonts w:eastAsia="Times New Roman" w:cs="Arial"/>
          <w:b/>
          <w:bCs/>
          <w:color w:val="000000"/>
          <w:lang w:eastAsia="en-GB"/>
        </w:rPr>
        <w:t>labour</w:t>
      </w:r>
      <w:r w:rsidRPr="00BC534F">
        <w:rPr>
          <w:rFonts w:eastAsia="Times New Roman" w:cs="Arial"/>
          <w:b/>
          <w:bCs/>
          <w:color w:val="000000"/>
          <w:lang w:eastAsia="en-GB"/>
        </w:rPr>
        <w:t xml:space="preserve"> market demand component: quantitative and qualitative sectoral studies</w:t>
      </w:r>
    </w:p>
    <w:p w14:paraId="2B3704B5" w14:textId="77777777" w:rsidR="0073378C" w:rsidRDefault="0073378C" w:rsidP="009C3E0C">
      <w:pPr>
        <w:widowControl w:val="0"/>
        <w:suppressAutoHyphens/>
        <w:ind w:left="720" w:right="582"/>
        <w:rPr>
          <w:rFonts w:eastAsia="Times New Roman" w:cs="Arial"/>
          <w:bCs/>
          <w:color w:val="000000"/>
          <w:lang w:eastAsia="en-GB"/>
        </w:rPr>
      </w:pPr>
    </w:p>
    <w:p w14:paraId="78BC699E" w14:textId="2683E517" w:rsidR="0073378C" w:rsidRDefault="0073378C" w:rsidP="009C3E0C">
      <w:pPr>
        <w:widowControl w:val="0"/>
        <w:suppressAutoHyphens/>
        <w:ind w:left="720" w:right="582"/>
        <w:rPr>
          <w:rFonts w:eastAsia="Times New Roman" w:cs="Arial"/>
          <w:bCs/>
          <w:color w:val="000000"/>
          <w:lang w:eastAsia="en-GB"/>
        </w:rPr>
      </w:pPr>
      <w:r>
        <w:rPr>
          <w:rFonts w:eastAsia="Times New Roman" w:cs="Arial"/>
          <w:bCs/>
          <w:color w:val="000000"/>
          <w:lang w:eastAsia="en-GB"/>
        </w:rPr>
        <w:t>2015,</w:t>
      </w:r>
    </w:p>
    <w:p w14:paraId="6E090EC6" w14:textId="77777777" w:rsidR="0073378C" w:rsidRPr="008A649E" w:rsidRDefault="0073378C"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MOLHSA undertook undertake the Labour Market Demand Components Survey.  240 and 6000 companies were interviewed correspondingly through qualitative and quantitative methods. Sampling was stratified by the following features: Region/Municipality; Enterprise size; Economic Activity. Companies were selected from all economic sectors considering the statistical classification of economic activities (NACE).</w:t>
      </w:r>
    </w:p>
    <w:p w14:paraId="6C88C31B" w14:textId="77777777" w:rsidR="0073378C" w:rsidRPr="008A649E" w:rsidRDefault="0073378C"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Objectives of the research are to:</w:t>
      </w:r>
    </w:p>
    <w:p w14:paraId="55B1C257" w14:textId="77777777" w:rsidR="0073378C" w:rsidRPr="008A649E" w:rsidRDefault="0073378C"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 xml:space="preserve">- Reveal employment opportunities by geographic areas; </w:t>
      </w:r>
    </w:p>
    <w:p w14:paraId="1F79743A" w14:textId="77777777" w:rsidR="0073378C" w:rsidRPr="008A649E" w:rsidRDefault="0073378C"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 Identify factors affecting job creation;</w:t>
      </w:r>
    </w:p>
    <w:p w14:paraId="116C88C6" w14:textId="77777777" w:rsidR="0073378C" w:rsidRPr="008A649E" w:rsidRDefault="0073378C" w:rsidP="009C3E0C">
      <w:pPr>
        <w:widowControl w:val="0"/>
        <w:suppressAutoHyphens/>
        <w:ind w:left="1440" w:right="582"/>
        <w:rPr>
          <w:rFonts w:eastAsia="Times New Roman" w:cs="Arial"/>
          <w:bCs/>
          <w:i/>
          <w:color w:val="000000"/>
          <w:lang w:eastAsia="en-GB"/>
        </w:rPr>
      </w:pPr>
      <w:r w:rsidRPr="008A649E">
        <w:rPr>
          <w:rFonts w:eastAsia="Times New Roman" w:cs="Arial"/>
          <w:bCs/>
          <w:i/>
          <w:color w:val="000000"/>
          <w:lang w:eastAsia="en-GB"/>
        </w:rPr>
        <w:t>- Identify necessary staff qualifications and training.</w:t>
      </w:r>
    </w:p>
    <w:p w14:paraId="6F2CD8BE" w14:textId="0A559586" w:rsidR="0073378C" w:rsidRPr="0073378C" w:rsidRDefault="006D7B13" w:rsidP="009C3E0C">
      <w:pPr>
        <w:widowControl w:val="0"/>
        <w:suppressAutoHyphens/>
        <w:ind w:left="1440" w:right="582"/>
        <w:rPr>
          <w:rFonts w:eastAsia="Times New Roman" w:cs="Arial"/>
          <w:bCs/>
          <w:color w:val="000000"/>
          <w:sz w:val="20"/>
          <w:szCs w:val="20"/>
          <w:lang w:eastAsia="en-GB"/>
        </w:rPr>
      </w:pPr>
      <w:hyperlink r:id="rId23" w:history="1">
        <w:r w:rsidR="0073378C" w:rsidRPr="0073378C">
          <w:rPr>
            <w:rStyle w:val="Hyperlink"/>
            <w:rFonts w:eastAsia="Times New Roman"/>
            <w:bCs/>
            <w:lang w:eastAsia="en-GB"/>
          </w:rPr>
          <w:t>http://labour.gov.ge/Molhsa/Lmis/Lmis.Portal.Web/Handlers/GetFile.ashx?Type=Survey&amp;ID=0c14fdbd-a34a-4801-abfc-e11f0543406f</w:t>
        </w:r>
      </w:hyperlink>
    </w:p>
    <w:p w14:paraId="0C225C79" w14:textId="77777777" w:rsidR="0073378C" w:rsidRDefault="0073378C" w:rsidP="009C3E0C">
      <w:pPr>
        <w:widowControl w:val="0"/>
        <w:suppressAutoHyphens/>
        <w:ind w:left="1440" w:right="582"/>
        <w:rPr>
          <w:rFonts w:eastAsia="Times New Roman" w:cs="Arial"/>
          <w:bCs/>
          <w:color w:val="000000"/>
          <w:lang w:eastAsia="en-GB"/>
        </w:rPr>
      </w:pPr>
    </w:p>
    <w:p w14:paraId="1D4236F2" w14:textId="2C4575DE" w:rsidR="0073378C" w:rsidRDefault="0073378C" w:rsidP="009C3E0C">
      <w:pPr>
        <w:widowControl w:val="0"/>
        <w:suppressAutoHyphens/>
        <w:ind w:left="1440" w:right="582"/>
        <w:rPr>
          <w:rFonts w:eastAsia="Times New Roman" w:cs="Arial"/>
          <w:bCs/>
          <w:color w:val="000000"/>
          <w:lang w:eastAsia="en-GB"/>
        </w:rPr>
      </w:pPr>
      <w:r>
        <w:rPr>
          <w:rFonts w:eastAsia="Times New Roman" w:cs="Arial"/>
          <w:bCs/>
          <w:color w:val="000000"/>
          <w:lang w:eastAsia="en-GB"/>
        </w:rPr>
        <w:t>[this was referred to in fulfilment of Third Instalment Indicator 1.1.1.]</w:t>
      </w:r>
    </w:p>
    <w:p w14:paraId="4AD90742" w14:textId="1236BAE5" w:rsidR="005059E7" w:rsidRDefault="005059E7" w:rsidP="009C3E0C">
      <w:pPr>
        <w:widowControl w:val="0"/>
        <w:suppressAutoHyphens/>
        <w:ind w:left="720" w:right="582"/>
      </w:pPr>
    </w:p>
    <w:p w14:paraId="6DC90ABD" w14:textId="18C34B04" w:rsidR="009601AE" w:rsidRPr="00BC534F" w:rsidRDefault="008A649E" w:rsidP="009C3E0C">
      <w:pPr>
        <w:widowControl w:val="0"/>
        <w:suppressAutoHyphens/>
        <w:ind w:left="720" w:right="582"/>
        <w:rPr>
          <w:b/>
        </w:rPr>
      </w:pPr>
      <w:r w:rsidRPr="00BC534F">
        <w:rPr>
          <w:b/>
        </w:rPr>
        <w:t>4.8: Institutionalizing the labo</w:t>
      </w:r>
      <w:r w:rsidR="00BC534F">
        <w:rPr>
          <w:b/>
        </w:rPr>
        <w:t>u</w:t>
      </w:r>
      <w:r w:rsidRPr="00BC534F">
        <w:rPr>
          <w:b/>
        </w:rPr>
        <w:t>r Market demand study</w:t>
      </w:r>
    </w:p>
    <w:p w14:paraId="79F188EE" w14:textId="77777777" w:rsidR="008A649E" w:rsidRDefault="008A649E" w:rsidP="009C3E0C">
      <w:pPr>
        <w:widowControl w:val="0"/>
        <w:suppressAutoHyphens/>
        <w:ind w:left="720" w:right="582"/>
      </w:pPr>
    </w:p>
    <w:p w14:paraId="421F17AF" w14:textId="3F6645DB" w:rsidR="008A649E" w:rsidRDefault="008A649E" w:rsidP="009C3E0C">
      <w:pPr>
        <w:widowControl w:val="0"/>
        <w:suppressAutoHyphens/>
        <w:ind w:left="720" w:right="582"/>
      </w:pPr>
      <w:r>
        <w:t>2015,</w:t>
      </w:r>
    </w:p>
    <w:p w14:paraId="7925EF9D" w14:textId="30E44D73" w:rsidR="008A649E" w:rsidRPr="008A649E" w:rsidRDefault="008A649E" w:rsidP="009C3E0C">
      <w:pPr>
        <w:widowControl w:val="0"/>
        <w:suppressAutoHyphens/>
        <w:ind w:left="1440" w:right="582"/>
        <w:rPr>
          <w:i/>
        </w:rPr>
      </w:pPr>
      <w:r w:rsidRPr="008A649E">
        <w:rPr>
          <w:i/>
        </w:rPr>
        <w:t xml:space="preserve">World Bank and EU experts made recommendations the labour market survey at the national level to be implemented by </w:t>
      </w:r>
      <w:r w:rsidR="00E55184" w:rsidRPr="008A649E">
        <w:rPr>
          <w:i/>
        </w:rPr>
        <w:t>GeoSTAT</w:t>
      </w:r>
      <w:r w:rsidRPr="008A649E">
        <w:rPr>
          <w:i/>
        </w:rPr>
        <w:t xml:space="preserve">, as it has the biggest experience and human resources of undertaking such kind of studies. Currently </w:t>
      </w:r>
      <w:r w:rsidR="00E55184" w:rsidRPr="008A649E">
        <w:rPr>
          <w:i/>
        </w:rPr>
        <w:t>GeoSTAT</w:t>
      </w:r>
      <w:r w:rsidRPr="008A649E">
        <w:rPr>
          <w:i/>
        </w:rPr>
        <w:t xml:space="preserve"> is institutionalizing the survey and it’ll start to implement in 2018. </w:t>
      </w:r>
    </w:p>
    <w:p w14:paraId="1D6FA5F8" w14:textId="77777777" w:rsidR="00983211" w:rsidRDefault="00983211" w:rsidP="009E3730">
      <w:pPr>
        <w:widowControl w:val="0"/>
        <w:suppressAutoHyphens/>
      </w:pPr>
    </w:p>
    <w:p w14:paraId="5F3EEDAA" w14:textId="10DE3E26" w:rsidR="00983211" w:rsidRPr="006B741E" w:rsidRDefault="00CC097B" w:rsidP="009E3730">
      <w:pPr>
        <w:widowControl w:val="0"/>
        <w:suppressAutoHyphens/>
        <w:rPr>
          <w:rFonts w:cs="Arial"/>
        </w:rPr>
      </w:pPr>
      <w:r w:rsidRPr="006B741E">
        <w:rPr>
          <w:rFonts w:cs="Arial"/>
        </w:rPr>
        <w:t xml:space="preserve">The </w:t>
      </w:r>
      <w:r w:rsidRPr="00BC534F">
        <w:rPr>
          <w:rFonts w:cs="Arial"/>
          <w:b/>
        </w:rPr>
        <w:t>LMIS Action Plan</w:t>
      </w:r>
      <w:r w:rsidRPr="006B741E">
        <w:rPr>
          <w:rFonts w:cs="Arial"/>
        </w:rPr>
        <w:t xml:space="preserve"> itself had five main elements:</w:t>
      </w:r>
    </w:p>
    <w:p w14:paraId="2CC2DEB5" w14:textId="77777777" w:rsidR="00CC097B" w:rsidRPr="006B741E" w:rsidRDefault="00CC097B" w:rsidP="009E3730">
      <w:pPr>
        <w:widowControl w:val="0"/>
        <w:suppressAutoHyphens/>
        <w:rPr>
          <w:rFonts w:cs="Arial"/>
        </w:rPr>
      </w:pPr>
    </w:p>
    <w:p w14:paraId="2C4E391E" w14:textId="6707061A" w:rsidR="00CC097B" w:rsidRPr="006B741E" w:rsidRDefault="00CC097B" w:rsidP="009C3E0C">
      <w:pPr>
        <w:widowControl w:val="0"/>
        <w:suppressAutoHyphens/>
        <w:ind w:left="360"/>
        <w:rPr>
          <w:rFonts w:eastAsiaTheme="minorHAnsi" w:cs="Arial"/>
          <w:bCs/>
          <w:color w:val="000000"/>
        </w:rPr>
      </w:pPr>
      <w:r w:rsidRPr="006B741E">
        <w:rPr>
          <w:rFonts w:eastAsiaTheme="minorHAnsi" w:cs="Arial"/>
          <w:b/>
          <w:bCs/>
          <w:color w:val="000000"/>
        </w:rPr>
        <w:t>1. Specification of institutional arrangement of the Labour Market Informational System, structures responsible for system components, informational sources, participating parties; distribution of roles and functions,</w:t>
      </w:r>
      <w:r w:rsidRPr="006B741E">
        <w:rPr>
          <w:rFonts w:eastAsiaTheme="minorHAnsi" w:cs="Arial"/>
          <w:bCs/>
          <w:color w:val="000000"/>
        </w:rPr>
        <w:t xml:space="preserve"> including</w:t>
      </w:r>
    </w:p>
    <w:p w14:paraId="18BB5DB7" w14:textId="77777777" w:rsidR="00CC097B" w:rsidRPr="006B741E" w:rsidRDefault="00CC097B" w:rsidP="009C3E0C">
      <w:pPr>
        <w:widowControl w:val="0"/>
        <w:suppressAutoHyphens/>
        <w:ind w:left="360"/>
        <w:rPr>
          <w:rFonts w:eastAsiaTheme="minorHAnsi" w:cs="Arial"/>
          <w:b/>
          <w:bCs/>
          <w:color w:val="000000"/>
        </w:rPr>
      </w:pPr>
    </w:p>
    <w:p w14:paraId="1381FE5F" w14:textId="41E9053B" w:rsidR="00CC097B" w:rsidRPr="006B741E" w:rsidRDefault="00CC097B" w:rsidP="009C3E0C">
      <w:pPr>
        <w:pStyle w:val="ListParagraph"/>
        <w:widowControl w:val="0"/>
        <w:numPr>
          <w:ilvl w:val="0"/>
          <w:numId w:val="28"/>
        </w:numPr>
        <w:suppressAutoHyphens/>
        <w:ind w:left="1080"/>
        <w:rPr>
          <w:rFonts w:ascii="Arial" w:hAnsi="Arial" w:cs="Arial"/>
        </w:rPr>
      </w:pPr>
      <w:r w:rsidRPr="006B741E">
        <w:rPr>
          <w:rFonts w:ascii="Arial" w:hAnsi="Arial" w:cs="Arial"/>
        </w:rPr>
        <w:t>establishment of an interagency working group (2015);</w:t>
      </w:r>
    </w:p>
    <w:p w14:paraId="3902F7CB" w14:textId="0337DC26" w:rsidR="00CC097B" w:rsidRPr="006B741E" w:rsidRDefault="00CC097B" w:rsidP="009C3E0C">
      <w:pPr>
        <w:pStyle w:val="ListParagraph"/>
        <w:widowControl w:val="0"/>
        <w:numPr>
          <w:ilvl w:val="0"/>
          <w:numId w:val="28"/>
        </w:numPr>
        <w:suppressAutoHyphens/>
        <w:ind w:left="1080"/>
        <w:rPr>
          <w:rFonts w:ascii="Arial" w:hAnsi="Arial" w:cs="Arial"/>
        </w:rPr>
      </w:pPr>
      <w:r w:rsidRPr="006B741E">
        <w:rPr>
          <w:rFonts w:ascii="Arial" w:hAnsi="Arial" w:cs="Arial"/>
        </w:rPr>
        <w:t>establishment of a central structural unit responsible for administration, functioning and data processing;</w:t>
      </w:r>
    </w:p>
    <w:p w14:paraId="377E4C0A" w14:textId="4204C16E" w:rsidR="00CC097B" w:rsidRPr="006B741E" w:rsidRDefault="00CC097B" w:rsidP="009C3E0C">
      <w:pPr>
        <w:pStyle w:val="ListParagraph"/>
        <w:widowControl w:val="0"/>
        <w:numPr>
          <w:ilvl w:val="0"/>
          <w:numId w:val="28"/>
        </w:numPr>
        <w:suppressAutoHyphens/>
        <w:ind w:left="1080"/>
        <w:rPr>
          <w:rFonts w:ascii="Arial" w:hAnsi="Arial" w:cs="Arial"/>
        </w:rPr>
      </w:pPr>
      <w:r w:rsidRPr="006B741E">
        <w:rPr>
          <w:rFonts w:ascii="Arial" w:hAnsi="Arial" w:cs="Arial"/>
        </w:rPr>
        <w:t>specification of labour market sources;</w:t>
      </w:r>
    </w:p>
    <w:p w14:paraId="164DCED7" w14:textId="77777777" w:rsidR="00CC097B" w:rsidRPr="006B741E" w:rsidRDefault="00CC097B" w:rsidP="009C3E0C">
      <w:pPr>
        <w:widowControl w:val="0"/>
        <w:suppressAutoHyphens/>
        <w:ind w:left="360"/>
        <w:rPr>
          <w:rFonts w:cs="Arial"/>
        </w:rPr>
      </w:pPr>
    </w:p>
    <w:p w14:paraId="4B7D830F" w14:textId="4D71AFC8" w:rsidR="00CC097B" w:rsidRPr="006B741E" w:rsidRDefault="00CC097B" w:rsidP="009C3E0C">
      <w:pPr>
        <w:widowControl w:val="0"/>
        <w:suppressAutoHyphens/>
        <w:ind w:left="720"/>
        <w:rPr>
          <w:rFonts w:cs="Arial"/>
        </w:rPr>
      </w:pPr>
      <w:r w:rsidRPr="006B741E">
        <w:rPr>
          <w:rFonts w:cs="Arial"/>
        </w:rPr>
        <w:t>[</w:t>
      </w:r>
      <w:r w:rsidRPr="009C3E0C">
        <w:rPr>
          <w:rFonts w:cs="Arial"/>
          <w:b/>
          <w:u w:val="single"/>
        </w:rPr>
        <w:t>all scheduled for and completed in 2015</w:t>
      </w:r>
      <w:r w:rsidRPr="006B741E">
        <w:rPr>
          <w:rFonts w:cs="Arial"/>
        </w:rPr>
        <w:t>]</w:t>
      </w:r>
    </w:p>
    <w:p w14:paraId="27037BAE" w14:textId="77777777" w:rsidR="00CC097B" w:rsidRPr="006B741E" w:rsidRDefault="00CC097B" w:rsidP="009C3E0C">
      <w:pPr>
        <w:widowControl w:val="0"/>
        <w:suppressAutoHyphens/>
        <w:ind w:left="360"/>
        <w:rPr>
          <w:rFonts w:cs="Arial"/>
        </w:rPr>
      </w:pPr>
    </w:p>
    <w:p w14:paraId="4BAC95FB" w14:textId="77777777" w:rsidR="00CC097B" w:rsidRPr="006B741E" w:rsidRDefault="00CC097B" w:rsidP="009C3E0C">
      <w:pPr>
        <w:widowControl w:val="0"/>
        <w:suppressAutoHyphens/>
        <w:ind w:left="360"/>
        <w:rPr>
          <w:rFonts w:eastAsiaTheme="minorHAnsi" w:cs="Arial"/>
          <w:bCs/>
          <w:color w:val="000000"/>
        </w:rPr>
      </w:pPr>
      <w:r w:rsidRPr="006B741E">
        <w:rPr>
          <w:rFonts w:eastAsiaTheme="minorHAnsi" w:cs="Arial"/>
          <w:b/>
          <w:bCs/>
          <w:color w:val="000000"/>
        </w:rPr>
        <w:t>2. Development of normative acts for functioning of the Labour Market Informational System</w:t>
      </w:r>
      <w:r w:rsidRPr="006B741E">
        <w:rPr>
          <w:rFonts w:eastAsiaTheme="minorHAnsi" w:cs="Arial"/>
          <w:bCs/>
          <w:color w:val="000000"/>
        </w:rPr>
        <w:t>, including</w:t>
      </w:r>
    </w:p>
    <w:p w14:paraId="79FC2AEF" w14:textId="77777777" w:rsidR="00CC097B" w:rsidRPr="006B741E" w:rsidRDefault="00CC097B" w:rsidP="009C3E0C">
      <w:pPr>
        <w:widowControl w:val="0"/>
        <w:suppressAutoHyphens/>
        <w:ind w:left="360"/>
        <w:rPr>
          <w:rFonts w:eastAsiaTheme="minorHAnsi" w:cs="Arial"/>
          <w:bCs/>
          <w:color w:val="000000"/>
        </w:rPr>
      </w:pPr>
    </w:p>
    <w:p w14:paraId="5A080F6E" w14:textId="77777777" w:rsidR="00CC097B" w:rsidRPr="006B741E" w:rsidRDefault="00CC097B" w:rsidP="009C3E0C">
      <w:pPr>
        <w:pStyle w:val="ListParagraph"/>
        <w:widowControl w:val="0"/>
        <w:numPr>
          <w:ilvl w:val="0"/>
          <w:numId w:val="38"/>
        </w:numPr>
        <w:suppressAutoHyphens/>
        <w:ind w:left="1080"/>
        <w:rPr>
          <w:rFonts w:ascii="Arial" w:eastAsiaTheme="minorHAnsi" w:hAnsi="Arial" w:cs="Arial"/>
          <w:bCs/>
          <w:color w:val="000000"/>
        </w:rPr>
      </w:pPr>
      <w:r w:rsidRPr="006B741E">
        <w:rPr>
          <w:rFonts w:ascii="Arial" w:eastAsiaTheme="minorHAnsi" w:hAnsi="Arial" w:cs="Arial"/>
          <w:bCs/>
          <w:color w:val="000000"/>
        </w:rPr>
        <w:t>revision of existing normative acts;</w:t>
      </w:r>
    </w:p>
    <w:p w14:paraId="243FAD7E" w14:textId="77777777" w:rsidR="00CC097B" w:rsidRPr="006B741E" w:rsidRDefault="00CC097B" w:rsidP="009C3E0C">
      <w:pPr>
        <w:widowControl w:val="0"/>
        <w:suppressAutoHyphens/>
        <w:ind w:left="360"/>
        <w:rPr>
          <w:rFonts w:eastAsiaTheme="minorHAnsi" w:cs="Arial"/>
          <w:bCs/>
          <w:color w:val="000000"/>
        </w:rPr>
      </w:pPr>
    </w:p>
    <w:p w14:paraId="53D27F7D" w14:textId="6FA8CBDA" w:rsidR="00CC097B" w:rsidRPr="006B741E" w:rsidRDefault="00CC097B" w:rsidP="009C3E0C">
      <w:pPr>
        <w:widowControl w:val="0"/>
        <w:suppressAutoHyphens/>
        <w:ind w:left="720"/>
        <w:rPr>
          <w:rFonts w:cs="Arial"/>
        </w:rPr>
      </w:pPr>
      <w:r w:rsidRPr="006B741E">
        <w:rPr>
          <w:rFonts w:eastAsiaTheme="minorHAnsi" w:cs="Arial"/>
          <w:bCs/>
          <w:color w:val="000000"/>
        </w:rPr>
        <w:t>[</w:t>
      </w:r>
      <w:r w:rsidRPr="009C3E0C">
        <w:rPr>
          <w:rFonts w:eastAsiaTheme="minorHAnsi" w:cs="Arial"/>
          <w:b/>
          <w:bCs/>
          <w:color w:val="000000"/>
          <w:u w:val="single"/>
        </w:rPr>
        <w:t>scheduled for and completed in 2015</w:t>
      </w:r>
      <w:r w:rsidRPr="006B741E">
        <w:rPr>
          <w:rFonts w:eastAsiaTheme="minorHAnsi" w:cs="Arial"/>
          <w:bCs/>
          <w:color w:val="000000"/>
        </w:rPr>
        <w:t xml:space="preserve">] </w:t>
      </w:r>
    </w:p>
    <w:p w14:paraId="1D716F8A" w14:textId="77777777" w:rsidR="00CC097B" w:rsidRPr="006B741E" w:rsidRDefault="00CC097B" w:rsidP="009C3E0C">
      <w:pPr>
        <w:widowControl w:val="0"/>
        <w:suppressAutoHyphens/>
        <w:ind w:left="360"/>
        <w:rPr>
          <w:rFonts w:cs="Arial"/>
        </w:rPr>
      </w:pPr>
    </w:p>
    <w:p w14:paraId="11C9D712" w14:textId="5DEC47A9" w:rsidR="00CC097B" w:rsidRPr="006B741E" w:rsidRDefault="00CC097B" w:rsidP="009C3E0C">
      <w:pPr>
        <w:widowControl w:val="0"/>
        <w:suppressAutoHyphens/>
        <w:ind w:left="360"/>
        <w:rPr>
          <w:rFonts w:eastAsiaTheme="minorHAnsi" w:cs="Arial"/>
          <w:bCs/>
          <w:color w:val="000000"/>
        </w:rPr>
      </w:pPr>
      <w:r w:rsidRPr="006B741E">
        <w:rPr>
          <w:rFonts w:eastAsiaTheme="minorHAnsi" w:cs="Arial"/>
          <w:b/>
          <w:bCs/>
          <w:color w:val="000000"/>
        </w:rPr>
        <w:t>3. Collection and analysis of the Labour Market data, identification of gaps and their elimination methods</w:t>
      </w:r>
      <w:r w:rsidRPr="006B741E">
        <w:rPr>
          <w:rFonts w:eastAsiaTheme="minorHAnsi" w:cs="Arial"/>
          <w:bCs/>
          <w:color w:val="000000"/>
        </w:rPr>
        <w:t>, including</w:t>
      </w:r>
    </w:p>
    <w:p w14:paraId="36545FCF" w14:textId="77777777" w:rsidR="00CC097B" w:rsidRPr="006B741E" w:rsidRDefault="00CC097B" w:rsidP="009C3E0C">
      <w:pPr>
        <w:widowControl w:val="0"/>
        <w:suppressAutoHyphens/>
        <w:ind w:left="360"/>
        <w:rPr>
          <w:rFonts w:eastAsiaTheme="minorHAnsi" w:cs="Arial"/>
          <w:bCs/>
          <w:color w:val="000000"/>
        </w:rPr>
      </w:pPr>
    </w:p>
    <w:p w14:paraId="4C8618D4" w14:textId="6FD7EAF2" w:rsidR="00CC097B" w:rsidRPr="006B741E" w:rsidRDefault="000755DF" w:rsidP="009C3E0C">
      <w:pPr>
        <w:pStyle w:val="ListParagraph"/>
        <w:widowControl w:val="0"/>
        <w:numPr>
          <w:ilvl w:val="0"/>
          <w:numId w:val="38"/>
        </w:numPr>
        <w:suppressAutoHyphens/>
        <w:ind w:left="1080"/>
        <w:rPr>
          <w:rFonts w:ascii="Arial" w:eastAsiaTheme="minorHAnsi" w:hAnsi="Arial" w:cs="Arial"/>
          <w:bCs/>
          <w:color w:val="000000"/>
        </w:rPr>
      </w:pPr>
      <w:r w:rsidRPr="006B741E">
        <w:rPr>
          <w:rFonts w:ascii="Arial" w:eastAsiaTheme="minorHAnsi" w:hAnsi="Arial" w:cs="Arial"/>
          <w:bCs/>
          <w:color w:val="000000"/>
        </w:rPr>
        <w:t>search and collection of information;</w:t>
      </w:r>
    </w:p>
    <w:p w14:paraId="11704E9D" w14:textId="190D2D72" w:rsidR="000755DF" w:rsidRPr="006B741E" w:rsidRDefault="000755DF" w:rsidP="009C3E0C">
      <w:pPr>
        <w:pStyle w:val="ListParagraph"/>
        <w:widowControl w:val="0"/>
        <w:numPr>
          <w:ilvl w:val="0"/>
          <w:numId w:val="38"/>
        </w:numPr>
        <w:suppressAutoHyphens/>
        <w:ind w:left="1080"/>
        <w:rPr>
          <w:rFonts w:ascii="Arial" w:eastAsiaTheme="minorHAnsi" w:hAnsi="Arial" w:cs="Arial"/>
          <w:bCs/>
          <w:color w:val="000000"/>
        </w:rPr>
      </w:pPr>
      <w:r w:rsidRPr="006B741E">
        <w:rPr>
          <w:rFonts w:ascii="Arial" w:eastAsiaTheme="minorHAnsi" w:hAnsi="Arial" w:cs="Arial"/>
          <w:bCs/>
          <w:color w:val="000000"/>
        </w:rPr>
        <w:t>analysis of information and identification of gaps;</w:t>
      </w:r>
    </w:p>
    <w:p w14:paraId="495D3D80" w14:textId="77777777" w:rsidR="000755DF" w:rsidRPr="006B741E" w:rsidRDefault="000755DF" w:rsidP="009C3E0C">
      <w:pPr>
        <w:widowControl w:val="0"/>
        <w:suppressAutoHyphens/>
        <w:ind w:left="360"/>
        <w:rPr>
          <w:rFonts w:eastAsiaTheme="minorHAnsi" w:cs="Arial"/>
          <w:bCs/>
          <w:color w:val="000000"/>
        </w:rPr>
      </w:pPr>
    </w:p>
    <w:p w14:paraId="29952F01" w14:textId="352FDFC2" w:rsidR="000755DF" w:rsidRPr="006B741E" w:rsidRDefault="000755DF" w:rsidP="009C3E0C">
      <w:pPr>
        <w:widowControl w:val="0"/>
        <w:suppressAutoHyphens/>
        <w:ind w:left="709"/>
        <w:rPr>
          <w:rFonts w:eastAsiaTheme="minorHAnsi" w:cs="Arial"/>
          <w:bCs/>
          <w:color w:val="000000"/>
        </w:rPr>
      </w:pPr>
      <w:r w:rsidRPr="006B741E">
        <w:rPr>
          <w:rFonts w:eastAsiaTheme="minorHAnsi" w:cs="Arial"/>
          <w:bCs/>
          <w:color w:val="000000"/>
        </w:rPr>
        <w:t>[</w:t>
      </w:r>
      <w:r w:rsidRPr="009C3E0C">
        <w:rPr>
          <w:rFonts w:eastAsiaTheme="minorHAnsi" w:cs="Arial"/>
          <w:b/>
          <w:bCs/>
          <w:color w:val="000000"/>
          <w:u w:val="single"/>
        </w:rPr>
        <w:t>both scheduled for 2015 but completed in 2016 - and to an extent ongoing</w:t>
      </w:r>
      <w:r w:rsidRPr="006B741E">
        <w:rPr>
          <w:rFonts w:eastAsiaTheme="minorHAnsi" w:cs="Arial"/>
          <w:bCs/>
          <w:color w:val="000000"/>
        </w:rPr>
        <w:t>]</w:t>
      </w:r>
    </w:p>
    <w:p w14:paraId="5B3902DE" w14:textId="77777777" w:rsidR="000755DF" w:rsidRPr="006B741E" w:rsidRDefault="000755DF" w:rsidP="009C3E0C">
      <w:pPr>
        <w:widowControl w:val="0"/>
        <w:suppressAutoHyphens/>
        <w:ind w:left="360"/>
        <w:rPr>
          <w:rFonts w:eastAsiaTheme="minorHAnsi" w:cs="Arial"/>
          <w:bCs/>
          <w:color w:val="000000"/>
        </w:rPr>
      </w:pPr>
    </w:p>
    <w:p w14:paraId="08A7D88B" w14:textId="558FF28A" w:rsidR="000755DF" w:rsidRPr="006B741E" w:rsidRDefault="000755DF" w:rsidP="009C3E0C">
      <w:pPr>
        <w:pStyle w:val="ListParagraph"/>
        <w:widowControl w:val="0"/>
        <w:numPr>
          <w:ilvl w:val="0"/>
          <w:numId w:val="38"/>
        </w:numPr>
        <w:suppressAutoHyphens/>
        <w:ind w:left="1080"/>
        <w:rPr>
          <w:rFonts w:ascii="Arial" w:eastAsiaTheme="minorHAnsi" w:hAnsi="Arial" w:cs="Arial"/>
          <w:bCs/>
          <w:color w:val="000000"/>
        </w:rPr>
      </w:pPr>
      <w:r w:rsidRPr="006B741E">
        <w:rPr>
          <w:rFonts w:ascii="Arial" w:eastAsiaTheme="minorHAnsi" w:hAnsi="Arial" w:cs="Arial"/>
          <w:bCs/>
          <w:color w:val="000000"/>
        </w:rPr>
        <w:t>assessment of methods of search and collection of information;</w:t>
      </w:r>
    </w:p>
    <w:p w14:paraId="60756052" w14:textId="77777777" w:rsidR="000755DF" w:rsidRPr="006B741E" w:rsidRDefault="000755DF" w:rsidP="009C3E0C">
      <w:pPr>
        <w:widowControl w:val="0"/>
        <w:suppressAutoHyphens/>
        <w:ind w:left="360"/>
        <w:rPr>
          <w:rFonts w:eastAsiaTheme="minorHAnsi" w:cs="Arial"/>
          <w:bCs/>
          <w:color w:val="000000"/>
        </w:rPr>
      </w:pPr>
    </w:p>
    <w:p w14:paraId="11FD04D4" w14:textId="77777777" w:rsidR="000755DF" w:rsidRPr="006B741E" w:rsidRDefault="000755DF" w:rsidP="009C3E0C">
      <w:pPr>
        <w:widowControl w:val="0"/>
        <w:suppressAutoHyphens/>
        <w:ind w:left="720"/>
        <w:rPr>
          <w:rFonts w:eastAsiaTheme="minorHAnsi" w:cs="Arial"/>
          <w:bCs/>
          <w:color w:val="000000"/>
        </w:rPr>
      </w:pPr>
      <w:r w:rsidRPr="006B741E">
        <w:rPr>
          <w:rFonts w:eastAsiaTheme="minorHAnsi" w:cs="Arial"/>
          <w:bCs/>
          <w:color w:val="000000"/>
        </w:rPr>
        <w:t>[</w:t>
      </w:r>
      <w:r w:rsidRPr="009C3E0C">
        <w:rPr>
          <w:rFonts w:eastAsiaTheme="minorHAnsi" w:cs="Arial"/>
          <w:b/>
          <w:bCs/>
          <w:color w:val="000000"/>
          <w:u w:val="single"/>
        </w:rPr>
        <w:t>scheduled for 2016 and largely completed but ongoing</w:t>
      </w:r>
      <w:r w:rsidRPr="006B741E">
        <w:rPr>
          <w:rFonts w:eastAsiaTheme="minorHAnsi" w:cs="Arial"/>
          <w:bCs/>
          <w:color w:val="000000"/>
        </w:rPr>
        <w:t>]</w:t>
      </w:r>
    </w:p>
    <w:p w14:paraId="66F38D21" w14:textId="77777777" w:rsidR="000755DF" w:rsidRPr="006B741E" w:rsidRDefault="000755DF" w:rsidP="009C3E0C">
      <w:pPr>
        <w:widowControl w:val="0"/>
        <w:suppressAutoHyphens/>
        <w:ind w:left="360"/>
        <w:rPr>
          <w:rFonts w:eastAsiaTheme="minorHAnsi" w:cs="Arial"/>
          <w:bCs/>
          <w:color w:val="000000"/>
        </w:rPr>
      </w:pPr>
    </w:p>
    <w:p w14:paraId="4C2F81B6" w14:textId="75328B6F" w:rsidR="000755DF" w:rsidRPr="006B741E" w:rsidRDefault="000755DF" w:rsidP="009C3E0C">
      <w:pPr>
        <w:pStyle w:val="ListParagraph"/>
        <w:widowControl w:val="0"/>
        <w:numPr>
          <w:ilvl w:val="0"/>
          <w:numId w:val="38"/>
        </w:numPr>
        <w:suppressAutoHyphens/>
        <w:ind w:left="1080"/>
        <w:rPr>
          <w:rFonts w:ascii="Arial" w:eastAsiaTheme="minorHAnsi" w:hAnsi="Arial" w:cs="Arial"/>
          <w:bCs/>
          <w:color w:val="000000"/>
        </w:rPr>
      </w:pPr>
      <w:r w:rsidRPr="006B741E">
        <w:rPr>
          <w:rFonts w:ascii="Arial" w:eastAsiaTheme="minorHAnsi" w:hAnsi="Arial" w:cs="Arial"/>
          <w:bCs/>
          <w:color w:val="000000"/>
        </w:rPr>
        <w:t>identification of alternative ways to eliminate gaps;</w:t>
      </w:r>
    </w:p>
    <w:p w14:paraId="45B4E098" w14:textId="4718F465" w:rsidR="000755DF" w:rsidRPr="006B741E" w:rsidRDefault="000755DF" w:rsidP="009C3E0C">
      <w:pPr>
        <w:pStyle w:val="ListParagraph"/>
        <w:widowControl w:val="0"/>
        <w:numPr>
          <w:ilvl w:val="0"/>
          <w:numId w:val="38"/>
        </w:numPr>
        <w:suppressAutoHyphens/>
        <w:ind w:left="1080"/>
        <w:rPr>
          <w:rFonts w:ascii="Arial" w:hAnsi="Arial" w:cs="Arial"/>
        </w:rPr>
      </w:pPr>
      <w:r w:rsidRPr="006B741E">
        <w:rPr>
          <w:rFonts w:ascii="Arial" w:eastAsiaTheme="minorHAnsi" w:hAnsi="Arial" w:cs="Arial"/>
          <w:bCs/>
          <w:color w:val="000000"/>
        </w:rPr>
        <w:t>preparation of additional survey projects as necessary</w:t>
      </w:r>
    </w:p>
    <w:p w14:paraId="54ADF0F7" w14:textId="704D1089" w:rsidR="009601AE" w:rsidRPr="006B741E" w:rsidRDefault="009601AE" w:rsidP="009C3E0C">
      <w:pPr>
        <w:widowControl w:val="0"/>
        <w:suppressAutoHyphens/>
        <w:ind w:left="360"/>
        <w:rPr>
          <w:rFonts w:cs="Arial"/>
        </w:rPr>
      </w:pPr>
    </w:p>
    <w:p w14:paraId="55CCCB43" w14:textId="3645743F" w:rsidR="009601AE" w:rsidRPr="006B741E" w:rsidRDefault="00B520E5" w:rsidP="009C3E0C">
      <w:pPr>
        <w:widowControl w:val="0"/>
        <w:suppressAutoHyphens/>
        <w:ind w:left="720"/>
        <w:rPr>
          <w:rFonts w:cs="Arial"/>
        </w:rPr>
      </w:pPr>
      <w:r>
        <w:rPr>
          <w:rFonts w:cs="Arial"/>
        </w:rPr>
        <w:t>[</w:t>
      </w:r>
      <w:r w:rsidR="000755DF" w:rsidRPr="009C3E0C">
        <w:rPr>
          <w:rFonts w:cs="Arial"/>
          <w:b/>
          <w:u w:val="single"/>
        </w:rPr>
        <w:t>scheduled for 2016 through 2018 - ongoing</w:t>
      </w:r>
      <w:r w:rsidR="000755DF" w:rsidRPr="006B741E">
        <w:rPr>
          <w:rFonts w:cs="Arial"/>
        </w:rPr>
        <w:t>]</w:t>
      </w:r>
    </w:p>
    <w:p w14:paraId="7FAFE188" w14:textId="77777777" w:rsidR="000755DF" w:rsidRPr="006B741E" w:rsidRDefault="000755DF" w:rsidP="009C3E0C">
      <w:pPr>
        <w:widowControl w:val="0"/>
        <w:suppressAutoHyphens/>
        <w:ind w:left="360"/>
        <w:rPr>
          <w:rFonts w:cs="Arial"/>
        </w:rPr>
      </w:pPr>
    </w:p>
    <w:p w14:paraId="6307820B" w14:textId="4573810F" w:rsidR="000755DF" w:rsidRPr="006B741E" w:rsidRDefault="000755DF" w:rsidP="009C3E0C">
      <w:pPr>
        <w:widowControl w:val="0"/>
        <w:suppressAutoHyphens/>
        <w:ind w:left="360"/>
        <w:rPr>
          <w:rFonts w:eastAsiaTheme="minorHAnsi" w:cs="Arial"/>
          <w:bCs/>
          <w:color w:val="000000"/>
        </w:rPr>
      </w:pPr>
      <w:r w:rsidRPr="006B741E">
        <w:rPr>
          <w:rFonts w:eastAsiaTheme="minorHAnsi" w:cs="Arial"/>
          <w:b/>
          <w:bCs/>
          <w:color w:val="000000"/>
        </w:rPr>
        <w:t>4. Institutionalization of surveys of the labour market components</w:t>
      </w:r>
      <w:r w:rsidRPr="006B741E">
        <w:rPr>
          <w:rFonts w:eastAsiaTheme="minorHAnsi" w:cs="Arial"/>
          <w:bCs/>
          <w:color w:val="000000"/>
        </w:rPr>
        <w:t>, including</w:t>
      </w:r>
    </w:p>
    <w:p w14:paraId="3D6421DA" w14:textId="77777777" w:rsidR="000755DF" w:rsidRPr="006B741E" w:rsidRDefault="000755DF" w:rsidP="009C3E0C">
      <w:pPr>
        <w:widowControl w:val="0"/>
        <w:suppressAutoHyphens/>
        <w:ind w:left="360"/>
        <w:rPr>
          <w:rFonts w:eastAsiaTheme="minorHAnsi" w:cs="Arial"/>
          <w:bCs/>
          <w:color w:val="000000"/>
        </w:rPr>
      </w:pPr>
    </w:p>
    <w:p w14:paraId="7B2B069F" w14:textId="5D90BB23" w:rsidR="000755DF" w:rsidRPr="006B741E" w:rsidRDefault="000755DF" w:rsidP="009C3E0C">
      <w:pPr>
        <w:pStyle w:val="ListParagraph"/>
        <w:widowControl w:val="0"/>
        <w:numPr>
          <w:ilvl w:val="0"/>
          <w:numId w:val="39"/>
        </w:numPr>
        <w:suppressAutoHyphens/>
        <w:ind w:left="1080"/>
        <w:rPr>
          <w:rFonts w:ascii="Arial" w:hAnsi="Arial" w:cs="Arial"/>
        </w:rPr>
      </w:pPr>
      <w:r w:rsidRPr="006B741E">
        <w:rPr>
          <w:rFonts w:ascii="Arial" w:eastAsiaTheme="minorHAnsi" w:hAnsi="Arial" w:cs="Arial"/>
          <w:bCs/>
          <w:color w:val="000000"/>
        </w:rPr>
        <w:t>identification of important variables for monitoring the labour market;</w:t>
      </w:r>
    </w:p>
    <w:p w14:paraId="3214BB8F" w14:textId="7AB68D8D" w:rsidR="000755DF" w:rsidRPr="006B741E" w:rsidRDefault="000755DF" w:rsidP="009C3E0C">
      <w:pPr>
        <w:pStyle w:val="ListParagraph"/>
        <w:widowControl w:val="0"/>
        <w:numPr>
          <w:ilvl w:val="0"/>
          <w:numId w:val="39"/>
        </w:numPr>
        <w:suppressAutoHyphens/>
        <w:ind w:left="1080"/>
        <w:rPr>
          <w:rFonts w:ascii="Arial" w:hAnsi="Arial" w:cs="Arial"/>
        </w:rPr>
      </w:pPr>
      <w:r w:rsidRPr="006B741E">
        <w:rPr>
          <w:rFonts w:ascii="Arial" w:hAnsi="Arial" w:cs="Arial"/>
        </w:rPr>
        <w:t>specification of human and financial resources for institutionalising the survey</w:t>
      </w:r>
    </w:p>
    <w:p w14:paraId="14682740" w14:textId="77777777" w:rsidR="000755DF" w:rsidRPr="006B741E" w:rsidRDefault="000755DF" w:rsidP="009C3E0C">
      <w:pPr>
        <w:widowControl w:val="0"/>
        <w:suppressAutoHyphens/>
        <w:ind w:left="360"/>
        <w:rPr>
          <w:rFonts w:cs="Arial"/>
        </w:rPr>
      </w:pPr>
    </w:p>
    <w:p w14:paraId="4861491E" w14:textId="78B3C8E3" w:rsidR="000755DF" w:rsidRPr="006B741E" w:rsidRDefault="000755DF" w:rsidP="009C3E0C">
      <w:pPr>
        <w:widowControl w:val="0"/>
        <w:suppressAutoHyphens/>
        <w:ind w:left="720"/>
        <w:rPr>
          <w:rFonts w:cs="Arial"/>
        </w:rPr>
      </w:pPr>
      <w:r w:rsidRPr="006B741E">
        <w:rPr>
          <w:rFonts w:cs="Arial"/>
        </w:rPr>
        <w:t>[</w:t>
      </w:r>
      <w:r w:rsidRPr="009C3E0C">
        <w:rPr>
          <w:rFonts w:cs="Arial"/>
          <w:b/>
          <w:u w:val="single"/>
        </w:rPr>
        <w:t>scheduled for 2015 - ongoing</w:t>
      </w:r>
      <w:r w:rsidRPr="006B741E">
        <w:rPr>
          <w:rFonts w:cs="Arial"/>
        </w:rPr>
        <w:t>]</w:t>
      </w:r>
    </w:p>
    <w:p w14:paraId="20D078B7" w14:textId="77777777" w:rsidR="000755DF" w:rsidRPr="006B741E" w:rsidRDefault="000755DF" w:rsidP="009C3E0C">
      <w:pPr>
        <w:widowControl w:val="0"/>
        <w:suppressAutoHyphens/>
        <w:ind w:left="360"/>
        <w:rPr>
          <w:rFonts w:cs="Arial"/>
        </w:rPr>
      </w:pPr>
    </w:p>
    <w:p w14:paraId="242EA673" w14:textId="452F321C" w:rsidR="000755DF" w:rsidRPr="006B741E" w:rsidRDefault="000755DF" w:rsidP="009C3E0C">
      <w:pPr>
        <w:pStyle w:val="ListParagraph"/>
        <w:widowControl w:val="0"/>
        <w:numPr>
          <w:ilvl w:val="0"/>
          <w:numId w:val="40"/>
        </w:numPr>
        <w:suppressAutoHyphens/>
        <w:ind w:left="1080"/>
        <w:rPr>
          <w:rFonts w:ascii="Arial" w:hAnsi="Arial" w:cs="Arial"/>
        </w:rPr>
      </w:pPr>
      <w:r w:rsidRPr="006B741E">
        <w:rPr>
          <w:rFonts w:ascii="Arial" w:hAnsi="Arial" w:cs="Arial"/>
        </w:rPr>
        <w:t>specification of institutional responsibility for surveys;</w:t>
      </w:r>
    </w:p>
    <w:p w14:paraId="1DB50937" w14:textId="77777777" w:rsidR="000755DF" w:rsidRPr="006B741E" w:rsidRDefault="000755DF" w:rsidP="009C3E0C">
      <w:pPr>
        <w:widowControl w:val="0"/>
        <w:suppressAutoHyphens/>
        <w:ind w:left="360"/>
        <w:rPr>
          <w:rFonts w:cs="Arial"/>
        </w:rPr>
      </w:pPr>
    </w:p>
    <w:p w14:paraId="6E47A3CF" w14:textId="622E59C4" w:rsidR="006B741E" w:rsidRPr="006B741E" w:rsidRDefault="006B741E" w:rsidP="009C3E0C">
      <w:pPr>
        <w:widowControl w:val="0"/>
        <w:suppressAutoHyphens/>
        <w:ind w:left="720"/>
        <w:rPr>
          <w:rFonts w:cs="Arial"/>
        </w:rPr>
      </w:pPr>
      <w:r w:rsidRPr="006B741E">
        <w:rPr>
          <w:rFonts w:cs="Arial"/>
        </w:rPr>
        <w:t>[</w:t>
      </w:r>
      <w:r w:rsidRPr="009C3E0C">
        <w:rPr>
          <w:rFonts w:cs="Arial"/>
          <w:b/>
          <w:u w:val="single"/>
        </w:rPr>
        <w:t>scheduled for 2016 through 2018 - initiated 2016</w:t>
      </w:r>
      <w:r w:rsidRPr="006B741E">
        <w:rPr>
          <w:rFonts w:cs="Arial"/>
        </w:rPr>
        <w:t>]</w:t>
      </w:r>
    </w:p>
    <w:p w14:paraId="4D641EBB" w14:textId="77777777" w:rsidR="006B741E" w:rsidRPr="006B741E" w:rsidRDefault="006B741E" w:rsidP="009C3E0C">
      <w:pPr>
        <w:widowControl w:val="0"/>
        <w:suppressAutoHyphens/>
        <w:ind w:left="360"/>
        <w:rPr>
          <w:rFonts w:cs="Arial"/>
        </w:rPr>
      </w:pPr>
    </w:p>
    <w:p w14:paraId="191017EA" w14:textId="340C9F2C" w:rsidR="006B741E" w:rsidRPr="006B741E" w:rsidRDefault="006B741E" w:rsidP="009C3E0C">
      <w:pPr>
        <w:widowControl w:val="0"/>
        <w:suppressAutoHyphens/>
        <w:ind w:left="360"/>
        <w:rPr>
          <w:rFonts w:eastAsiaTheme="minorHAnsi" w:cs="Arial"/>
          <w:b/>
          <w:bCs/>
          <w:color w:val="000000"/>
        </w:rPr>
      </w:pPr>
      <w:r w:rsidRPr="006B741E">
        <w:rPr>
          <w:rFonts w:eastAsiaTheme="minorHAnsi" w:cs="Arial"/>
          <w:b/>
          <w:bCs/>
          <w:color w:val="000000"/>
        </w:rPr>
        <w:t xml:space="preserve">5. Provision of availability of the results of analysis of the Labour </w:t>
      </w:r>
      <w:r>
        <w:rPr>
          <w:rFonts w:eastAsiaTheme="minorHAnsi" w:cs="Arial"/>
          <w:b/>
          <w:bCs/>
          <w:color w:val="000000"/>
        </w:rPr>
        <w:t>Market Informational System data</w:t>
      </w:r>
      <w:r w:rsidRPr="006B741E">
        <w:rPr>
          <w:rFonts w:eastAsiaTheme="minorHAnsi" w:cs="Arial"/>
          <w:bCs/>
          <w:color w:val="000000"/>
        </w:rPr>
        <w:t>, including</w:t>
      </w:r>
    </w:p>
    <w:p w14:paraId="3E305E47" w14:textId="77777777" w:rsidR="006B741E" w:rsidRPr="006B741E" w:rsidRDefault="006B741E" w:rsidP="009C3E0C">
      <w:pPr>
        <w:widowControl w:val="0"/>
        <w:suppressAutoHyphens/>
        <w:ind w:left="360"/>
        <w:rPr>
          <w:rFonts w:eastAsiaTheme="minorHAnsi" w:cs="Arial"/>
          <w:bCs/>
          <w:color w:val="000000"/>
        </w:rPr>
      </w:pPr>
    </w:p>
    <w:p w14:paraId="609DA3C8" w14:textId="2FD374DA" w:rsidR="006B741E" w:rsidRPr="006B741E" w:rsidRDefault="006B741E" w:rsidP="009C3E0C">
      <w:pPr>
        <w:pStyle w:val="ListParagraph"/>
        <w:widowControl w:val="0"/>
        <w:numPr>
          <w:ilvl w:val="0"/>
          <w:numId w:val="40"/>
        </w:numPr>
        <w:suppressAutoHyphens/>
        <w:ind w:left="1080"/>
        <w:rPr>
          <w:rFonts w:ascii="Arial" w:eastAsiaTheme="minorHAnsi" w:hAnsi="Arial" w:cs="Arial"/>
          <w:bCs/>
          <w:color w:val="000000"/>
        </w:rPr>
      </w:pPr>
      <w:r w:rsidRPr="006B741E">
        <w:rPr>
          <w:rFonts w:ascii="Arial" w:eastAsiaTheme="minorHAnsi" w:hAnsi="Arial" w:cs="Arial"/>
          <w:bCs/>
          <w:color w:val="000000"/>
        </w:rPr>
        <w:t>preparation of target reports for system users;</w:t>
      </w:r>
    </w:p>
    <w:p w14:paraId="1AA10F44" w14:textId="7E5FEFCA" w:rsidR="006B741E" w:rsidRPr="006B741E" w:rsidRDefault="006B741E" w:rsidP="009C3E0C">
      <w:pPr>
        <w:pStyle w:val="ListParagraph"/>
        <w:widowControl w:val="0"/>
        <w:numPr>
          <w:ilvl w:val="0"/>
          <w:numId w:val="40"/>
        </w:numPr>
        <w:suppressAutoHyphens/>
        <w:ind w:left="1080"/>
        <w:rPr>
          <w:rFonts w:ascii="Arial" w:eastAsiaTheme="minorHAnsi" w:hAnsi="Arial" w:cs="Arial"/>
          <w:bCs/>
          <w:color w:val="000000"/>
        </w:rPr>
      </w:pPr>
      <w:r w:rsidRPr="006B741E">
        <w:rPr>
          <w:rFonts w:ascii="Arial" w:eastAsiaTheme="minorHAnsi" w:hAnsi="Arial" w:cs="Arial"/>
          <w:bCs/>
          <w:color w:val="000000"/>
        </w:rPr>
        <w:t>distribution of results from labour market monitoring;</w:t>
      </w:r>
    </w:p>
    <w:p w14:paraId="705EC2B1" w14:textId="457CF19E" w:rsidR="006B741E" w:rsidRPr="006B741E" w:rsidRDefault="006B741E" w:rsidP="009C3E0C">
      <w:pPr>
        <w:pStyle w:val="ListParagraph"/>
        <w:widowControl w:val="0"/>
        <w:numPr>
          <w:ilvl w:val="0"/>
          <w:numId w:val="40"/>
        </w:numPr>
        <w:suppressAutoHyphens/>
        <w:ind w:left="1080"/>
        <w:rPr>
          <w:rFonts w:ascii="Arial" w:eastAsiaTheme="minorHAnsi" w:hAnsi="Arial" w:cs="Arial"/>
          <w:bCs/>
          <w:color w:val="000000"/>
        </w:rPr>
      </w:pPr>
      <w:r w:rsidRPr="006B741E">
        <w:rPr>
          <w:rFonts w:ascii="Arial" w:eastAsiaTheme="minorHAnsi" w:hAnsi="Arial" w:cs="Arial"/>
          <w:bCs/>
          <w:color w:val="000000"/>
        </w:rPr>
        <w:t>organization of training for application of results;</w:t>
      </w:r>
    </w:p>
    <w:p w14:paraId="417F2360" w14:textId="77777777" w:rsidR="006B741E" w:rsidRPr="006B741E" w:rsidRDefault="006B741E" w:rsidP="009C3E0C">
      <w:pPr>
        <w:widowControl w:val="0"/>
        <w:suppressAutoHyphens/>
        <w:ind w:left="360"/>
        <w:rPr>
          <w:rFonts w:eastAsiaTheme="minorHAnsi" w:cs="Arial"/>
          <w:bCs/>
          <w:color w:val="000000"/>
        </w:rPr>
      </w:pPr>
    </w:p>
    <w:p w14:paraId="654E08C5" w14:textId="6781307F" w:rsidR="006B741E" w:rsidRPr="006B741E" w:rsidRDefault="006B741E" w:rsidP="009C3E0C">
      <w:pPr>
        <w:widowControl w:val="0"/>
        <w:suppressAutoHyphens/>
        <w:ind w:left="720"/>
        <w:rPr>
          <w:rFonts w:cs="Arial"/>
        </w:rPr>
      </w:pPr>
      <w:r w:rsidRPr="006B741E">
        <w:rPr>
          <w:rFonts w:eastAsiaTheme="minorHAnsi" w:cs="Arial"/>
          <w:bCs/>
          <w:color w:val="000000"/>
        </w:rPr>
        <w:t>[</w:t>
      </w:r>
      <w:r w:rsidRPr="009C3E0C">
        <w:rPr>
          <w:rFonts w:eastAsiaTheme="minorHAnsi" w:cs="Arial"/>
          <w:b/>
          <w:bCs/>
          <w:color w:val="000000"/>
          <w:u w:val="single"/>
        </w:rPr>
        <w:t>scheduled for 2016 through 2018 - initiated in 2016</w:t>
      </w:r>
      <w:r w:rsidRPr="006B741E">
        <w:rPr>
          <w:rFonts w:eastAsiaTheme="minorHAnsi" w:cs="Arial"/>
          <w:bCs/>
          <w:color w:val="000000"/>
        </w:rPr>
        <w:t>]</w:t>
      </w:r>
    </w:p>
    <w:p w14:paraId="19723B36" w14:textId="77777777" w:rsidR="006B741E" w:rsidRDefault="006B741E" w:rsidP="009E3730">
      <w:pPr>
        <w:widowControl w:val="0"/>
        <w:suppressAutoHyphens/>
      </w:pPr>
    </w:p>
    <w:p w14:paraId="431038A3" w14:textId="77777777" w:rsidR="009601AE" w:rsidRDefault="009601AE" w:rsidP="009E3730">
      <w:pPr>
        <w:widowControl w:val="0"/>
        <w:suppressAutoHyphens/>
      </w:pPr>
      <w:r>
        <w:t>MoLHSA Division for Labour Market Information Analysis, under the Department for Labour and Employment, initiated the process of LMIS development in 2014, determining institutional arrangements, the conceptual design and programme for implementation. However, it was not until May 2015 that the Ministry established an Interagency Coordination Council for LMIS development and, thereafter, operation, consisting of representatives from different economic and social sector ministries, public sector development and statistics agencies, the social partners, and civil society organisations that together would contribute to the coherent and timely delivery of the relevant data and information as well as benefit from the labour market analysis that would eventuate. Nonetheless, it seems that further action to establish the LMIS was limited in 2015, perhaps because no milestones for LMIS development were included in the EU EVET SRC disbursement conditions for the Third Instalment due for achievement by the end of 2015.</w:t>
      </w:r>
    </w:p>
    <w:p w14:paraId="6059A2CD" w14:textId="77777777" w:rsidR="009601AE" w:rsidRDefault="009601AE" w:rsidP="009E3730">
      <w:pPr>
        <w:widowControl w:val="0"/>
        <w:suppressAutoHyphens/>
      </w:pPr>
    </w:p>
    <w:p w14:paraId="69C775AD" w14:textId="56CA9761" w:rsidR="009601AE" w:rsidRDefault="009601AE" w:rsidP="009E3730">
      <w:pPr>
        <w:widowControl w:val="0"/>
        <w:suppressAutoHyphens/>
      </w:pPr>
      <w:r>
        <w:t>The design and implementation plan of the LMIS in 2014 was elaborated with the support of the EU VEG</w:t>
      </w:r>
      <w:r w:rsidR="00B520E5">
        <w:t>E</w:t>
      </w:r>
      <w:r>
        <w:t xml:space="preserve"> TA project, and the TA has provided </w:t>
      </w:r>
      <w:r w:rsidRPr="00BE3CEC">
        <w:t xml:space="preserve">ongoing support to </w:t>
      </w:r>
      <w:r>
        <w:t xml:space="preserve">LMIS </w:t>
      </w:r>
      <w:r w:rsidRPr="00BE3CEC">
        <w:t>develop</w:t>
      </w:r>
      <w:r>
        <w:t>ment through 2016, including in an advisory capacity on software development and testing, training and documentation. However, implementation has been managed by the MoLHSA Labour Market Information Analysis Division, the officers of which have, by all accounts, also found it necessary to undertake much detailed work on data preparation, making up for deficiencies in both data provision by stakeholders and software development by the contractor. Steps undertaken in 2016 have included</w:t>
      </w:r>
    </w:p>
    <w:p w14:paraId="23FA5A92" w14:textId="77777777" w:rsidR="009601AE" w:rsidRDefault="009601AE" w:rsidP="009E3730">
      <w:pPr>
        <w:widowControl w:val="0"/>
        <w:suppressAutoHyphens/>
      </w:pPr>
    </w:p>
    <w:p w14:paraId="56715C05" w14:textId="5E568E28" w:rsidR="009601AE" w:rsidRDefault="009601AE" w:rsidP="007C295F">
      <w:pPr>
        <w:widowControl w:val="0"/>
        <w:numPr>
          <w:ilvl w:val="0"/>
          <w:numId w:val="16"/>
        </w:numPr>
        <w:suppressAutoHyphens/>
        <w:autoSpaceDE w:val="0"/>
        <w:autoSpaceDN w:val="0"/>
      </w:pPr>
      <w:r>
        <w:t>recruitment of a short-term Croatian expert by the EU VEG</w:t>
      </w:r>
      <w:r w:rsidR="00B520E5">
        <w:t>E</w:t>
      </w:r>
      <w:r>
        <w:t xml:space="preserve"> TA to assist with the design of the architecture of the LMIS;</w:t>
      </w:r>
    </w:p>
    <w:p w14:paraId="55E40282" w14:textId="3998890C" w:rsidR="009601AE" w:rsidRDefault="009601AE" w:rsidP="007C295F">
      <w:pPr>
        <w:widowControl w:val="0"/>
        <w:numPr>
          <w:ilvl w:val="0"/>
          <w:numId w:val="16"/>
        </w:numPr>
        <w:suppressAutoHyphens/>
        <w:autoSpaceDE w:val="0"/>
        <w:autoSpaceDN w:val="0"/>
      </w:pPr>
      <w:r>
        <w:t>a study tour to Croatia to examine an established LMIS, financed through the EU VEG</w:t>
      </w:r>
      <w:r w:rsidR="00B520E5">
        <w:t>E</w:t>
      </w:r>
      <w:r>
        <w:t xml:space="preserve"> TA project. LMIS web-pages from the UK, USA, Canada, Portugal, and Croatia, among others, were also examined;</w:t>
      </w:r>
    </w:p>
    <w:p w14:paraId="27411523" w14:textId="77777777" w:rsidR="009601AE" w:rsidRDefault="009601AE" w:rsidP="007C295F">
      <w:pPr>
        <w:widowControl w:val="0"/>
        <w:numPr>
          <w:ilvl w:val="0"/>
          <w:numId w:val="16"/>
        </w:numPr>
        <w:suppressAutoHyphens/>
        <w:autoSpaceDE w:val="0"/>
        <w:autoSpaceDN w:val="0"/>
      </w:pPr>
      <w:r>
        <w:t>the nature and format of variables presented through the LMIS, and the information content, frequency, and compatibility of data provided by participating agencies was agreed through the coordination council (although a formal Government resolution/decree on this agreement was not expected before the end of 2016);</w:t>
      </w:r>
    </w:p>
    <w:p w14:paraId="06D4A660" w14:textId="77777777" w:rsidR="009601AE" w:rsidRDefault="009601AE" w:rsidP="007C295F">
      <w:pPr>
        <w:widowControl w:val="0"/>
        <w:numPr>
          <w:ilvl w:val="0"/>
          <w:numId w:val="16"/>
        </w:numPr>
        <w:suppressAutoHyphens/>
        <w:autoSpaceDE w:val="0"/>
        <w:autoSpaceDN w:val="0"/>
      </w:pPr>
      <w:r>
        <w:t>preparation of Terms of Reference/tender documentation for selection of a software developer (with support from USAID). Three companies, from Ukraine, Croatia, and Georgia, bid for the tender but local sourcing was preferred; and</w:t>
      </w:r>
    </w:p>
    <w:p w14:paraId="26FF6F5E" w14:textId="77777777" w:rsidR="009601AE" w:rsidRDefault="009601AE" w:rsidP="007C295F">
      <w:pPr>
        <w:widowControl w:val="0"/>
        <w:numPr>
          <w:ilvl w:val="0"/>
          <w:numId w:val="16"/>
        </w:numPr>
        <w:suppressAutoHyphens/>
        <w:autoSpaceDE w:val="0"/>
        <w:autoSpaceDN w:val="0"/>
      </w:pPr>
      <w:r w:rsidRPr="009E224E">
        <w:t xml:space="preserve">selection of </w:t>
      </w:r>
      <w:r>
        <w:t>a</w:t>
      </w:r>
      <w:r w:rsidRPr="009E224E">
        <w:t xml:space="preserve"> Georgian IT company (UGT) to </w:t>
      </w:r>
      <w:r>
        <w:t>set up the LMIS</w:t>
      </w:r>
      <w:r w:rsidRPr="009E224E">
        <w:t xml:space="preserve">. </w:t>
      </w:r>
      <w:r>
        <w:t>D</w:t>
      </w:r>
      <w:r w:rsidRPr="009E224E">
        <w:t xml:space="preserve">espite </w:t>
      </w:r>
      <w:r>
        <w:t xml:space="preserve">preparation of </w:t>
      </w:r>
      <w:r w:rsidRPr="009E224E">
        <w:t xml:space="preserve">the tender documents </w:t>
      </w:r>
      <w:r>
        <w:t>early in 2016, a c</w:t>
      </w:r>
      <w:r w:rsidRPr="009E224E">
        <w:t>ontract</w:t>
      </w:r>
      <w:r>
        <w:t xml:space="preserve"> to the value of GEL430,000 (covered by the state budget)</w:t>
      </w:r>
      <w:r w:rsidRPr="009E224E">
        <w:t xml:space="preserve"> </w:t>
      </w:r>
      <w:r>
        <w:t xml:space="preserve">was </w:t>
      </w:r>
      <w:r w:rsidRPr="009E224E">
        <w:t xml:space="preserve">signed </w:t>
      </w:r>
      <w:r>
        <w:t xml:space="preserve">only on 5th </w:t>
      </w:r>
      <w:r w:rsidRPr="009E224E">
        <w:t>July 2016</w:t>
      </w:r>
      <w:r>
        <w:t xml:space="preserve">. Even then initiation of the contract was delayed for want of </w:t>
      </w:r>
      <w:r w:rsidRPr="009E224E">
        <w:t>official signatures</w:t>
      </w:r>
      <w:r>
        <w:t>; and work started only at the beginning of October 2016</w:t>
      </w:r>
      <w:r w:rsidRPr="009E224E">
        <w:t xml:space="preserve">. </w:t>
      </w:r>
    </w:p>
    <w:p w14:paraId="30602F5C" w14:textId="77777777" w:rsidR="009601AE" w:rsidRDefault="009601AE" w:rsidP="009E3730">
      <w:pPr>
        <w:widowControl w:val="0"/>
        <w:suppressAutoHyphens/>
      </w:pPr>
    </w:p>
    <w:p w14:paraId="75059776" w14:textId="646AC1AB" w:rsidR="009601AE" w:rsidRDefault="009601AE" w:rsidP="009E3730">
      <w:pPr>
        <w:widowControl w:val="0"/>
        <w:suppressAutoHyphens/>
      </w:pPr>
      <w:r>
        <w:lastRenderedPageBreak/>
        <w:t>Training of operatives for the LMIS (</w:t>
      </w:r>
      <w:r w:rsidR="00B2626E">
        <w:t xml:space="preserve">initially </w:t>
      </w:r>
      <w:r>
        <w:t xml:space="preserve">staff of MoLHSA, </w:t>
      </w:r>
      <w:r w:rsidR="00B2626E">
        <w:t>but now moved to Ministry of Economy</w:t>
      </w:r>
      <w:r>
        <w:t xml:space="preserve"> </w:t>
      </w:r>
      <w:r w:rsidR="00B2626E">
        <w:t>and Sustainable Development (</w:t>
      </w:r>
      <w:r>
        <w:t>MoESD</w:t>
      </w:r>
      <w:r w:rsidR="00B2626E">
        <w:t>) from April/May 2017</w:t>
      </w:r>
      <w:r>
        <w:t xml:space="preserve">) is to be provided by UGT under its contract. </w:t>
      </w:r>
      <w:r w:rsidR="00B2626E">
        <w:t>A</w:t>
      </w:r>
      <w:r>
        <w:t xml:space="preserve"> manual covering, </w:t>
      </w:r>
      <w:r w:rsidRPr="002A0D1A">
        <w:rPr>
          <w:i/>
        </w:rPr>
        <w:t>inter alia</w:t>
      </w:r>
      <w:r>
        <w:t xml:space="preserve">, instructions on how to add categories, input and analyse data, produce reports, and generally operate the system </w:t>
      </w:r>
      <w:r w:rsidR="00B2626E">
        <w:t>has been</w:t>
      </w:r>
      <w:r>
        <w:t xml:space="preserve"> prepared for subsequent training, but training itself had yet to take place. </w:t>
      </w:r>
    </w:p>
    <w:p w14:paraId="72908F29" w14:textId="77777777" w:rsidR="009601AE" w:rsidRDefault="009601AE" w:rsidP="009E3730">
      <w:pPr>
        <w:widowControl w:val="0"/>
        <w:suppressAutoHyphens/>
      </w:pPr>
    </w:p>
    <w:p w14:paraId="2ED11D7E" w14:textId="123A3B53" w:rsidR="009601AE" w:rsidRDefault="00B2626E" w:rsidP="009E3730">
      <w:pPr>
        <w:widowControl w:val="0"/>
        <w:suppressAutoHyphens/>
      </w:pPr>
      <w:r>
        <w:t xml:space="preserve">At the time of the Review, </w:t>
      </w:r>
      <w:r w:rsidR="009601AE">
        <w:t xml:space="preserve">UGT </w:t>
      </w:r>
      <w:r>
        <w:t xml:space="preserve">had still </w:t>
      </w:r>
      <w:r w:rsidR="009601AE">
        <w:t>to test the system and sort out software and operation bugs before completion of its contract. Even then, a system warranty would expect continued inputs to eliminate system errors where and when they ar</w:t>
      </w:r>
      <w:r>
        <w:t>o</w:t>
      </w:r>
      <w:r w:rsidR="009601AE">
        <w:t xml:space="preserve">se. Given the delays in the tender process, although </w:t>
      </w:r>
      <w:r w:rsidR="009601AE" w:rsidRPr="009E224E">
        <w:t xml:space="preserve">the </w:t>
      </w:r>
      <w:r w:rsidR="009601AE">
        <w:t xml:space="preserve">initial </w:t>
      </w:r>
      <w:r w:rsidR="009601AE" w:rsidRPr="009E224E">
        <w:t>contract</w:t>
      </w:r>
      <w:r w:rsidR="009601AE">
        <w:t xml:space="preserve"> proposed </w:t>
      </w:r>
      <w:r w:rsidR="009601AE" w:rsidRPr="009E224E">
        <w:t>deliver</w:t>
      </w:r>
      <w:r w:rsidR="009601AE">
        <w:t xml:space="preserve">y of </w:t>
      </w:r>
      <w:r w:rsidR="009601AE" w:rsidRPr="009E224E">
        <w:t xml:space="preserve">the final output </w:t>
      </w:r>
      <w:r w:rsidR="009601AE">
        <w:t xml:space="preserve">by the </w:t>
      </w:r>
      <w:r w:rsidR="009601AE" w:rsidRPr="009E224E">
        <w:t xml:space="preserve">end of 2016, </w:t>
      </w:r>
      <w:r w:rsidR="009F06E3">
        <w:t xml:space="preserve">this was later postponed to </w:t>
      </w:r>
      <w:r>
        <w:t>the end of the first quarter of 2017</w:t>
      </w:r>
      <w:r w:rsidR="009601AE">
        <w:t>.</w:t>
      </w:r>
    </w:p>
    <w:p w14:paraId="27653F85" w14:textId="77777777" w:rsidR="009601AE" w:rsidRDefault="009601AE" w:rsidP="009E3730">
      <w:pPr>
        <w:widowControl w:val="0"/>
        <w:suppressAutoHyphens/>
      </w:pPr>
    </w:p>
    <w:p w14:paraId="72429580" w14:textId="5F029C24" w:rsidR="009601AE" w:rsidRDefault="009601AE" w:rsidP="009E3730">
      <w:pPr>
        <w:widowControl w:val="0"/>
        <w:suppressAutoHyphens/>
      </w:pPr>
      <w:r>
        <w:t xml:space="preserve">In addition, </w:t>
      </w:r>
      <w:r w:rsidR="009F06E3">
        <w:t xml:space="preserve">at the time of the Review, </w:t>
      </w:r>
      <w:r>
        <w:t xml:space="preserve">a Government resolution formally specifying information exchange obligations (both content and timing) between the various agencies of Government </w:t>
      </w:r>
      <w:r w:rsidR="009F06E3">
        <w:t>wa</w:t>
      </w:r>
      <w:r w:rsidR="00B2626E">
        <w:t xml:space="preserve">s in the process of being </w:t>
      </w:r>
      <w:r>
        <w:t xml:space="preserve">finalised. This should perhaps also spell out the two-way relationship between the ESS WorkNet system and the LMIS and between the VET system and the LMIS. </w:t>
      </w:r>
      <w:r w:rsidR="00B2626E">
        <w:t xml:space="preserve">After finalisation, the </w:t>
      </w:r>
      <w:r>
        <w:t>resolution has to go through the Government's visa process with all relevant ministries before Cabinet adoption. The frequency of these information exchanges, and the compatibility of data presentation will significantly affect the timeliness and relevance of LMIS reporting, and hence its effectiveness. Annual presentation of data from key sources could, if inappropriately timed, result in a two year delay before changing labour market circumstances are reflected in modifications to occupational standards and VET programmes, depending on the accuracy of labour market forecasts, though these two could be dependent upon outdated information and thus unreliable signposts of future labour market needs.</w:t>
      </w:r>
    </w:p>
    <w:p w14:paraId="7F6E3493" w14:textId="77777777" w:rsidR="009601AE" w:rsidRDefault="009601AE" w:rsidP="009E3730">
      <w:pPr>
        <w:widowControl w:val="0"/>
        <w:suppressAutoHyphens/>
      </w:pPr>
    </w:p>
    <w:p w14:paraId="41E3ECF4" w14:textId="582FFC76" w:rsidR="009601AE" w:rsidRDefault="009601AE" w:rsidP="009E3730">
      <w:pPr>
        <w:widowControl w:val="0"/>
        <w:suppressAutoHyphens/>
      </w:pPr>
      <w:r>
        <w:t>Finally, it must be recognized that the Labour Force Survey</w:t>
      </w:r>
      <w:r w:rsidR="00B2626E">
        <w:t>,</w:t>
      </w:r>
      <w:r>
        <w:t xml:space="preserve"> </w:t>
      </w:r>
      <w:r w:rsidR="00B2626E">
        <w:t xml:space="preserve">originally </w:t>
      </w:r>
      <w:r>
        <w:t xml:space="preserve">planned for 2017 </w:t>
      </w:r>
      <w:r w:rsidR="00B2626E">
        <w:t xml:space="preserve">but now expected in 2018, </w:t>
      </w:r>
      <w:r>
        <w:t xml:space="preserve">will provide important information on labour market developments, and verification for some of the LMIS analytical results. </w:t>
      </w:r>
    </w:p>
    <w:p w14:paraId="43F525CA" w14:textId="77777777" w:rsidR="00DE794D" w:rsidRDefault="00DE794D" w:rsidP="009E3730">
      <w:pPr>
        <w:widowControl w:val="0"/>
        <w:suppressAutoHyphens/>
      </w:pPr>
    </w:p>
    <w:p w14:paraId="20BB0173" w14:textId="40862A8F" w:rsidR="00710732" w:rsidRDefault="00DE794D" w:rsidP="009E3730">
      <w:pPr>
        <w:widowControl w:val="0"/>
        <w:suppressAutoHyphens/>
      </w:pPr>
      <w:r>
        <w:t xml:space="preserve">Generally speaking, while there have been delays in implementation, the development of the LMIS is broadly on-track, in-line with the schedule of the </w:t>
      </w:r>
      <w:r w:rsidR="00E55184">
        <w:t>implementation</w:t>
      </w:r>
      <w:r>
        <w:t xml:space="preserve"> Action Plan. There remains much to be done, especially in providing up-to-date and forecast data and relevant analysis, but the existing website is a good start and in line with expectations</w:t>
      </w:r>
      <w:r w:rsidR="00FB5419">
        <w:t>, and has been publically accessible since late December 2016</w:t>
      </w:r>
      <w:r>
        <w:t>.</w:t>
      </w:r>
    </w:p>
    <w:p w14:paraId="0C194124" w14:textId="77777777" w:rsidR="00DE794D" w:rsidRDefault="00DE794D" w:rsidP="009E3730">
      <w:pPr>
        <w:widowControl w:val="0"/>
        <w:suppressAutoHyphens/>
      </w:pPr>
    </w:p>
    <w:p w14:paraId="67554A79" w14:textId="77777777" w:rsidR="009601AE" w:rsidRDefault="009601AE" w:rsidP="009E3730">
      <w:pPr>
        <w:widowControl w:val="0"/>
        <w:suppressAutoHyphens/>
        <w:rPr>
          <w:b/>
          <w:bCs/>
          <w:i/>
          <w:iCs/>
        </w:rPr>
      </w:pPr>
      <w:r>
        <w:rPr>
          <w:b/>
          <w:bCs/>
          <w:u w:val="single"/>
        </w:rPr>
        <w:t>Indicator 1.1.2</w:t>
      </w:r>
      <w:r>
        <w:rPr>
          <w:b/>
          <w:bCs/>
        </w:rPr>
        <w:t xml:space="preserve">: </w:t>
      </w:r>
      <w:r w:rsidRPr="00E0490C">
        <w:rPr>
          <w:b/>
          <w:bCs/>
          <w:i/>
        </w:rPr>
        <w:t>Annual</w:t>
      </w:r>
      <w:r>
        <w:rPr>
          <w:b/>
          <w:bCs/>
          <w:i/>
          <w:iCs/>
        </w:rPr>
        <w:t xml:space="preserve"> LMIS reports of skills supply (including annual VET statistical reports disaggregated at least by: gender, occupation (or equivalent in the Georgian classification), level of NQF, region, and VET provider), and demand (including annual labour market statistics) are prepared and published.</w:t>
      </w:r>
    </w:p>
    <w:p w14:paraId="4E16FB2B" w14:textId="77777777" w:rsidR="009601AE" w:rsidRDefault="009601AE" w:rsidP="009E3730">
      <w:pPr>
        <w:widowControl w:val="0"/>
        <w:suppressAutoHyphens/>
      </w:pPr>
    </w:p>
    <w:p w14:paraId="62AE7A15" w14:textId="77777777" w:rsidR="009601AE" w:rsidRDefault="009601AE" w:rsidP="009E3730">
      <w:pPr>
        <w:widowControl w:val="0"/>
        <w:suppressAutoHyphens/>
      </w:pPr>
      <w:r>
        <w:t xml:space="preserve">Source of Verification: </w:t>
      </w:r>
    </w:p>
    <w:p w14:paraId="5A8E732F" w14:textId="77777777" w:rsidR="009601AE" w:rsidRDefault="009601AE" w:rsidP="009E3730">
      <w:pPr>
        <w:widowControl w:val="0"/>
        <w:numPr>
          <w:ilvl w:val="0"/>
          <w:numId w:val="1"/>
        </w:numPr>
        <w:suppressAutoHyphens/>
        <w:autoSpaceDE w:val="0"/>
        <w:autoSpaceDN w:val="0"/>
        <w:rPr>
          <w:lang w:eastAsia="en-GB"/>
        </w:rPr>
      </w:pPr>
      <w:r>
        <w:rPr>
          <w:lang w:eastAsia="en-GB"/>
        </w:rPr>
        <w:t>Annual LMIS report;</w:t>
      </w:r>
    </w:p>
    <w:p w14:paraId="25E5C012" w14:textId="77777777" w:rsidR="009601AE" w:rsidRDefault="009601AE" w:rsidP="009E3730">
      <w:pPr>
        <w:widowControl w:val="0"/>
        <w:numPr>
          <w:ilvl w:val="0"/>
          <w:numId w:val="1"/>
        </w:numPr>
        <w:suppressAutoHyphens/>
        <w:autoSpaceDE w:val="0"/>
        <w:autoSpaceDN w:val="0"/>
        <w:ind w:left="714" w:hanging="357"/>
        <w:rPr>
          <w:lang w:eastAsia="en-GB"/>
        </w:rPr>
      </w:pPr>
      <w:r>
        <w:rPr>
          <w:lang w:eastAsia="en-GB"/>
        </w:rPr>
        <w:t>Minutes of the Employment and VET Coordination Council.</w:t>
      </w:r>
    </w:p>
    <w:p w14:paraId="7A063EE3" w14:textId="77777777" w:rsidR="009601AE" w:rsidRDefault="009601AE" w:rsidP="009E3730">
      <w:pPr>
        <w:widowControl w:val="0"/>
        <w:suppressAutoHyphens/>
      </w:pPr>
    </w:p>
    <w:p w14:paraId="5CA78E30" w14:textId="131C1E29" w:rsidR="009601AE" w:rsidRDefault="009601AE" w:rsidP="009E3730">
      <w:pPr>
        <w:widowControl w:val="0"/>
        <w:suppressAutoHyphens/>
        <w:rPr>
          <w:b/>
          <w:bCs/>
        </w:rPr>
      </w:pPr>
      <w:r>
        <w:rPr>
          <w:b/>
          <w:bCs/>
          <w:u w:val="single"/>
        </w:rPr>
        <w:t>Review Assessment</w:t>
      </w:r>
      <w:r>
        <w:rPr>
          <w:b/>
          <w:bCs/>
        </w:rPr>
        <w:t>: fulfil</w:t>
      </w:r>
      <w:r w:rsidR="005F1696">
        <w:rPr>
          <w:b/>
          <w:bCs/>
        </w:rPr>
        <w:t>led</w:t>
      </w:r>
      <w:r>
        <w:rPr>
          <w:b/>
          <w:bCs/>
        </w:rPr>
        <w:t>.</w:t>
      </w:r>
    </w:p>
    <w:p w14:paraId="2306ADDE" w14:textId="77777777" w:rsidR="009601AE" w:rsidRDefault="009601AE" w:rsidP="009E3730">
      <w:pPr>
        <w:widowControl w:val="0"/>
        <w:suppressAutoHyphens/>
      </w:pPr>
    </w:p>
    <w:p w14:paraId="5248DCBD" w14:textId="3D56AA80" w:rsidR="009601AE" w:rsidRDefault="009601AE" w:rsidP="009E3730">
      <w:pPr>
        <w:widowControl w:val="0"/>
        <w:suppressAutoHyphens/>
      </w:pPr>
      <w:r>
        <w:t>As noted above the LMIS is still under development, but the website (</w:t>
      </w:r>
      <w:r w:rsidRPr="005D565C">
        <w:rPr>
          <w:rStyle w:val="Hyperlink"/>
        </w:rPr>
        <w:t>labour.gov.ge</w:t>
      </w:r>
      <w:r>
        <w:t xml:space="preserve">) </w:t>
      </w:r>
      <w:r w:rsidR="00764670">
        <w:t>is</w:t>
      </w:r>
      <w:r>
        <w:t xml:space="preserve"> impress</w:t>
      </w:r>
      <w:r w:rsidR="00764670">
        <w:t>ive and includes</w:t>
      </w:r>
      <w:r>
        <w:t xml:space="preserve"> a number of </w:t>
      </w:r>
      <w:r w:rsidR="00764670">
        <w:t xml:space="preserve">key </w:t>
      </w:r>
      <w:r>
        <w:t xml:space="preserve">elements. The site allowed for links to a variety of existing sources of information, including the SSA's ESS </w:t>
      </w:r>
      <w:r w:rsidRPr="00564EFC">
        <w:rPr>
          <w:rStyle w:val="Hyperlink"/>
        </w:rPr>
        <w:t>worknet.ge</w:t>
      </w:r>
      <w:r w:rsidRPr="00564EFC">
        <w:t xml:space="preserve"> (see Indicator 1.2.1 below),</w:t>
      </w:r>
      <w:r>
        <w:t xml:space="preserve"> MoSYA's </w:t>
      </w:r>
      <w:r w:rsidRPr="00564EFC">
        <w:rPr>
          <w:rStyle w:val="Hyperlink"/>
        </w:rPr>
        <w:t>myprofession.ge</w:t>
      </w:r>
      <w:r>
        <w:t xml:space="preserve">, and MoES's </w:t>
      </w:r>
      <w:r w:rsidRPr="00564EFC">
        <w:rPr>
          <w:rStyle w:val="Hyperlink"/>
        </w:rPr>
        <w:t>vet.ge</w:t>
      </w:r>
      <w:r>
        <w:t xml:space="preserve"> information on VET provision, as well as data on economic activity and employment over the last few years broken down by gender, region, profession, educational attainment (although not NQF level as such), etc. including all the categories specified for reporting in this Indicator, often through a variety of informative graphics, although in many cases the latest information displayed was for 2013. Much of the </w:t>
      </w:r>
      <w:r>
        <w:lastRenderedPageBreak/>
        <w:t>information is received directly from a variety of different data sources</w:t>
      </w:r>
      <w:r>
        <w:rPr>
          <w:rStyle w:val="FootnoteReference"/>
        </w:rPr>
        <w:footnoteReference w:id="38"/>
      </w:r>
      <w:r>
        <w:t xml:space="preserve">, but in incompatible formats that </w:t>
      </w:r>
      <w:r w:rsidR="00933C96">
        <w:t>have</w:t>
      </w:r>
      <w:r>
        <w:t xml:space="preserve"> then </w:t>
      </w:r>
      <w:r w:rsidR="00933C96">
        <w:t xml:space="preserve">had to </w:t>
      </w:r>
      <w:r>
        <w:t xml:space="preserve">be reformatted to allow integration and aggregation with other data for presentation. Reportedly much of this reformatting had to be done manually by the Labour Market Information Division, and this was one reason </w:t>
      </w:r>
      <w:r w:rsidR="003C65AF">
        <w:t xml:space="preserve">for </w:t>
      </w:r>
      <w:r w:rsidR="008B79DD">
        <w:t>delay</w:t>
      </w:r>
      <w:r w:rsidR="003C65AF">
        <w:t xml:space="preserve"> in completion of</w:t>
      </w:r>
      <w:r>
        <w:t xml:space="preserve"> the process, although the main reason must be assumed the relatively late appointment of the Georgian company UGT as contractor in July 2016. The need for this reformatting raises an issue for the future about whether either the way data sets are managed in the source ministries can be changed (unlikely) or their automatic manipulation can be introduced into the LMIS (as might have been expected had the contractor been more experienced). </w:t>
      </w:r>
    </w:p>
    <w:p w14:paraId="37944393" w14:textId="77777777" w:rsidR="006B72F0" w:rsidRDefault="006B72F0" w:rsidP="009E3730">
      <w:pPr>
        <w:widowControl w:val="0"/>
        <w:suppressAutoHyphens/>
      </w:pPr>
    </w:p>
    <w:p w14:paraId="4DF13026" w14:textId="454CCF5D" w:rsidR="006B72F0" w:rsidRDefault="006B72F0" w:rsidP="009E3730">
      <w:pPr>
        <w:widowControl w:val="0"/>
        <w:suppressAutoHyphens/>
      </w:pPr>
      <w:r>
        <w:t>The LMIS stores 78 variables within six categories and 14 sub-categories:</w:t>
      </w:r>
    </w:p>
    <w:p w14:paraId="38D1022A" w14:textId="77777777" w:rsidR="006B72F0" w:rsidRDefault="006B72F0" w:rsidP="009E3730">
      <w:pPr>
        <w:widowControl w:val="0"/>
        <w:suppressAutoHyphens/>
      </w:pPr>
    </w:p>
    <w:tbl>
      <w:tblPr>
        <w:tblStyle w:val="LightList-Accent4"/>
        <w:tblW w:w="6520" w:type="dxa"/>
        <w:jc w:val="center"/>
        <w:tblLayout w:type="fixed"/>
        <w:tblLook w:val="04A0" w:firstRow="1" w:lastRow="0" w:firstColumn="1" w:lastColumn="0" w:noHBand="0" w:noVBand="1"/>
      </w:tblPr>
      <w:tblGrid>
        <w:gridCol w:w="2658"/>
        <w:gridCol w:w="2728"/>
        <w:gridCol w:w="1134"/>
      </w:tblGrid>
      <w:tr w:rsidR="00E435BC" w:rsidRPr="00E435BC" w14:paraId="027306FA" w14:textId="77777777" w:rsidTr="00E435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8" w:type="dxa"/>
            <w:shd w:val="clear" w:color="auto" w:fill="BFBFBF" w:themeFill="background1" w:themeFillShade="BF"/>
          </w:tcPr>
          <w:p w14:paraId="3CB05CC7" w14:textId="77777777" w:rsidR="006B72F0" w:rsidRPr="00E435BC" w:rsidRDefault="006B72F0" w:rsidP="009E3730">
            <w:pPr>
              <w:widowControl w:val="0"/>
              <w:suppressAutoHyphens/>
              <w:jc w:val="center"/>
              <w:rPr>
                <w:rFonts w:ascii="Arial" w:hAnsi="Arial" w:cs="Arial"/>
                <w:color w:val="auto"/>
                <w:sz w:val="20"/>
                <w:szCs w:val="20"/>
              </w:rPr>
            </w:pPr>
            <w:r w:rsidRPr="00E435BC">
              <w:rPr>
                <w:rFonts w:ascii="Arial" w:hAnsi="Arial" w:cs="Arial"/>
                <w:color w:val="auto"/>
                <w:sz w:val="20"/>
                <w:szCs w:val="20"/>
              </w:rPr>
              <w:t>Category</w:t>
            </w:r>
          </w:p>
        </w:tc>
        <w:tc>
          <w:tcPr>
            <w:tcW w:w="2728" w:type="dxa"/>
            <w:shd w:val="clear" w:color="auto" w:fill="BFBFBF" w:themeFill="background1" w:themeFillShade="BF"/>
          </w:tcPr>
          <w:p w14:paraId="54E411B0" w14:textId="77777777" w:rsidR="006B72F0" w:rsidRPr="00E435BC" w:rsidRDefault="006B72F0" w:rsidP="009E3730">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435BC">
              <w:rPr>
                <w:rFonts w:ascii="Arial" w:hAnsi="Arial" w:cs="Arial"/>
                <w:color w:val="auto"/>
                <w:sz w:val="20"/>
                <w:szCs w:val="20"/>
              </w:rPr>
              <w:t>Sub-category</w:t>
            </w:r>
          </w:p>
        </w:tc>
        <w:tc>
          <w:tcPr>
            <w:tcW w:w="1134" w:type="dxa"/>
            <w:shd w:val="clear" w:color="auto" w:fill="BFBFBF" w:themeFill="background1" w:themeFillShade="BF"/>
          </w:tcPr>
          <w:p w14:paraId="4C876D25" w14:textId="6B6D5B51" w:rsidR="006B72F0" w:rsidRPr="00E435BC" w:rsidRDefault="006B72F0" w:rsidP="009E3730">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435BC">
              <w:rPr>
                <w:rFonts w:ascii="Arial" w:hAnsi="Arial" w:cs="Arial"/>
                <w:color w:val="auto"/>
                <w:sz w:val="20"/>
                <w:szCs w:val="20"/>
              </w:rPr>
              <w:t>No.</w:t>
            </w:r>
            <w:r w:rsidR="008B79DD">
              <w:rPr>
                <w:rFonts w:ascii="Arial" w:hAnsi="Arial" w:cs="Arial"/>
                <w:color w:val="auto"/>
                <w:sz w:val="20"/>
                <w:szCs w:val="20"/>
              </w:rPr>
              <w:t xml:space="preserve"> </w:t>
            </w:r>
            <w:r w:rsidRPr="00E435BC">
              <w:rPr>
                <w:rFonts w:ascii="Arial" w:hAnsi="Arial" w:cs="Arial"/>
                <w:color w:val="auto"/>
                <w:sz w:val="20"/>
                <w:szCs w:val="20"/>
              </w:rPr>
              <w:t>of Variables</w:t>
            </w:r>
          </w:p>
        </w:tc>
      </w:tr>
      <w:tr w:rsidR="006B72F0" w:rsidRPr="006B72F0" w14:paraId="15D8EE95" w14:textId="77777777" w:rsidTr="006B72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8" w:type="dxa"/>
          </w:tcPr>
          <w:p w14:paraId="11DF52D4" w14:textId="77777777" w:rsidR="006B72F0" w:rsidRPr="006B72F0" w:rsidRDefault="006B72F0" w:rsidP="009E3730">
            <w:pPr>
              <w:widowControl w:val="0"/>
              <w:suppressAutoHyphens/>
              <w:jc w:val="both"/>
              <w:rPr>
                <w:rFonts w:ascii="Arial" w:hAnsi="Arial" w:cs="Arial"/>
                <w:sz w:val="20"/>
                <w:szCs w:val="20"/>
              </w:rPr>
            </w:pPr>
            <w:r w:rsidRPr="006B72F0">
              <w:rPr>
                <w:rFonts w:ascii="Arial" w:hAnsi="Arial" w:cs="Arial"/>
                <w:sz w:val="20"/>
                <w:szCs w:val="20"/>
              </w:rPr>
              <w:t>Labour Market</w:t>
            </w:r>
          </w:p>
        </w:tc>
        <w:tc>
          <w:tcPr>
            <w:tcW w:w="2728" w:type="dxa"/>
          </w:tcPr>
          <w:p w14:paraId="3F7956BA" w14:textId="77777777" w:rsidR="006B72F0" w:rsidRPr="006B72F0" w:rsidRDefault="006B72F0" w:rsidP="009E3730">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2F0">
              <w:rPr>
                <w:rFonts w:ascii="Arial" w:hAnsi="Arial" w:cs="Arial"/>
                <w:sz w:val="20"/>
                <w:szCs w:val="20"/>
              </w:rPr>
              <w:t>Employment</w:t>
            </w:r>
          </w:p>
        </w:tc>
        <w:tc>
          <w:tcPr>
            <w:tcW w:w="1134" w:type="dxa"/>
          </w:tcPr>
          <w:p w14:paraId="2D00E188" w14:textId="77777777" w:rsidR="006B72F0" w:rsidRPr="006B72F0" w:rsidRDefault="006B72F0" w:rsidP="009E373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B72F0">
              <w:rPr>
                <w:rFonts w:ascii="Arial" w:hAnsi="Arial" w:cs="Arial"/>
                <w:color w:val="000000"/>
                <w:sz w:val="20"/>
                <w:szCs w:val="20"/>
              </w:rPr>
              <w:t>7</w:t>
            </w:r>
          </w:p>
        </w:tc>
      </w:tr>
      <w:tr w:rsidR="006B72F0" w:rsidRPr="006B72F0" w14:paraId="7AABCC87" w14:textId="77777777" w:rsidTr="006B72F0">
        <w:trPr>
          <w:jc w:val="center"/>
        </w:trPr>
        <w:tc>
          <w:tcPr>
            <w:cnfStyle w:val="001000000000" w:firstRow="0" w:lastRow="0" w:firstColumn="1" w:lastColumn="0" w:oddVBand="0" w:evenVBand="0" w:oddHBand="0" w:evenHBand="0" w:firstRowFirstColumn="0" w:firstRowLastColumn="0" w:lastRowFirstColumn="0" w:lastRowLastColumn="0"/>
            <w:tcW w:w="2658" w:type="dxa"/>
          </w:tcPr>
          <w:p w14:paraId="3E458B3E" w14:textId="77777777" w:rsidR="006B72F0" w:rsidRPr="006B72F0" w:rsidRDefault="006B72F0" w:rsidP="009E3730">
            <w:pPr>
              <w:widowControl w:val="0"/>
              <w:suppressAutoHyphens/>
              <w:jc w:val="both"/>
              <w:rPr>
                <w:rFonts w:ascii="Arial" w:hAnsi="Arial" w:cs="Arial"/>
                <w:sz w:val="20"/>
                <w:szCs w:val="20"/>
              </w:rPr>
            </w:pPr>
          </w:p>
        </w:tc>
        <w:tc>
          <w:tcPr>
            <w:tcW w:w="2728" w:type="dxa"/>
          </w:tcPr>
          <w:p w14:paraId="0CFB9D72" w14:textId="77777777" w:rsidR="006B72F0" w:rsidRPr="006B72F0" w:rsidRDefault="006B72F0" w:rsidP="009E3730">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F0">
              <w:rPr>
                <w:rFonts w:ascii="Arial" w:hAnsi="Arial" w:cs="Arial"/>
                <w:sz w:val="20"/>
                <w:szCs w:val="20"/>
              </w:rPr>
              <w:t>Unemployment</w:t>
            </w:r>
          </w:p>
        </w:tc>
        <w:tc>
          <w:tcPr>
            <w:tcW w:w="1134" w:type="dxa"/>
          </w:tcPr>
          <w:p w14:paraId="2BD3E2AD" w14:textId="77777777" w:rsidR="006B72F0" w:rsidRPr="006B72F0" w:rsidRDefault="006B72F0" w:rsidP="009E373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B72F0">
              <w:rPr>
                <w:rFonts w:ascii="Arial" w:hAnsi="Arial" w:cs="Arial"/>
                <w:color w:val="000000"/>
                <w:sz w:val="20"/>
                <w:szCs w:val="20"/>
              </w:rPr>
              <w:t>5</w:t>
            </w:r>
          </w:p>
        </w:tc>
      </w:tr>
      <w:tr w:rsidR="006B72F0" w:rsidRPr="006B72F0" w14:paraId="5351AA04" w14:textId="77777777" w:rsidTr="006B72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8" w:type="dxa"/>
          </w:tcPr>
          <w:p w14:paraId="2BD25466" w14:textId="77777777" w:rsidR="006B72F0" w:rsidRPr="006B72F0" w:rsidRDefault="006B72F0" w:rsidP="009E3730">
            <w:pPr>
              <w:widowControl w:val="0"/>
              <w:suppressAutoHyphens/>
              <w:jc w:val="both"/>
              <w:rPr>
                <w:rFonts w:ascii="Arial" w:hAnsi="Arial" w:cs="Arial"/>
                <w:sz w:val="20"/>
                <w:szCs w:val="20"/>
              </w:rPr>
            </w:pPr>
          </w:p>
        </w:tc>
        <w:tc>
          <w:tcPr>
            <w:tcW w:w="2728" w:type="dxa"/>
          </w:tcPr>
          <w:p w14:paraId="3EFCA28C" w14:textId="77777777" w:rsidR="006B72F0" w:rsidRPr="006B72F0" w:rsidRDefault="006B72F0" w:rsidP="009E3730">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2F0">
              <w:rPr>
                <w:rFonts w:ascii="Arial" w:hAnsi="Arial" w:cs="Arial"/>
                <w:sz w:val="20"/>
                <w:szCs w:val="20"/>
              </w:rPr>
              <w:t xml:space="preserve">Activity of Population </w:t>
            </w:r>
          </w:p>
        </w:tc>
        <w:tc>
          <w:tcPr>
            <w:tcW w:w="1134" w:type="dxa"/>
          </w:tcPr>
          <w:p w14:paraId="7CF4B85C" w14:textId="77777777" w:rsidR="006B72F0" w:rsidRPr="006B72F0" w:rsidRDefault="006B72F0" w:rsidP="009E373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B72F0">
              <w:rPr>
                <w:rFonts w:ascii="Arial" w:hAnsi="Arial" w:cs="Arial"/>
                <w:color w:val="000000"/>
                <w:sz w:val="20"/>
                <w:szCs w:val="20"/>
              </w:rPr>
              <w:t>6</w:t>
            </w:r>
          </w:p>
        </w:tc>
      </w:tr>
      <w:tr w:rsidR="006B72F0" w:rsidRPr="006B72F0" w14:paraId="6BB0EBAB" w14:textId="77777777" w:rsidTr="006B72F0">
        <w:trPr>
          <w:jc w:val="center"/>
        </w:trPr>
        <w:tc>
          <w:tcPr>
            <w:cnfStyle w:val="001000000000" w:firstRow="0" w:lastRow="0" w:firstColumn="1" w:lastColumn="0" w:oddVBand="0" w:evenVBand="0" w:oddHBand="0" w:evenHBand="0" w:firstRowFirstColumn="0" w:firstRowLastColumn="0" w:lastRowFirstColumn="0" w:lastRowLastColumn="0"/>
            <w:tcW w:w="2658" w:type="dxa"/>
          </w:tcPr>
          <w:p w14:paraId="7EF43A62" w14:textId="77777777" w:rsidR="006B72F0" w:rsidRPr="006B72F0" w:rsidRDefault="006B72F0" w:rsidP="009E3730">
            <w:pPr>
              <w:widowControl w:val="0"/>
              <w:suppressAutoHyphens/>
              <w:jc w:val="both"/>
              <w:rPr>
                <w:rFonts w:ascii="Arial" w:hAnsi="Arial" w:cs="Arial"/>
                <w:sz w:val="20"/>
                <w:szCs w:val="20"/>
              </w:rPr>
            </w:pPr>
          </w:p>
        </w:tc>
        <w:tc>
          <w:tcPr>
            <w:tcW w:w="2728" w:type="dxa"/>
          </w:tcPr>
          <w:p w14:paraId="7A70C71F" w14:textId="77777777" w:rsidR="006B72F0" w:rsidRPr="006B72F0" w:rsidRDefault="006B72F0" w:rsidP="009E3730">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F0">
              <w:rPr>
                <w:rFonts w:ascii="Arial" w:hAnsi="Arial" w:cs="Arial"/>
                <w:sz w:val="20"/>
                <w:szCs w:val="20"/>
              </w:rPr>
              <w:t>Labour Force Demand</w:t>
            </w:r>
          </w:p>
        </w:tc>
        <w:tc>
          <w:tcPr>
            <w:tcW w:w="1134" w:type="dxa"/>
          </w:tcPr>
          <w:p w14:paraId="5393E47A" w14:textId="77777777" w:rsidR="006B72F0" w:rsidRPr="006B72F0" w:rsidRDefault="006B72F0" w:rsidP="009E373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B72F0">
              <w:rPr>
                <w:rFonts w:ascii="Arial" w:hAnsi="Arial" w:cs="Arial"/>
                <w:color w:val="000000"/>
                <w:sz w:val="20"/>
                <w:szCs w:val="20"/>
              </w:rPr>
              <w:t>9</w:t>
            </w:r>
          </w:p>
        </w:tc>
      </w:tr>
      <w:tr w:rsidR="006B72F0" w:rsidRPr="006B72F0" w14:paraId="2D11B12A" w14:textId="77777777" w:rsidTr="006B72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8" w:type="dxa"/>
          </w:tcPr>
          <w:p w14:paraId="7D4DE6AB" w14:textId="77777777" w:rsidR="006B72F0" w:rsidRPr="006B72F0" w:rsidRDefault="006B72F0" w:rsidP="009E3730">
            <w:pPr>
              <w:widowControl w:val="0"/>
              <w:suppressAutoHyphens/>
              <w:jc w:val="both"/>
              <w:rPr>
                <w:rFonts w:ascii="Arial" w:hAnsi="Arial" w:cs="Arial"/>
                <w:sz w:val="20"/>
                <w:szCs w:val="20"/>
              </w:rPr>
            </w:pPr>
          </w:p>
        </w:tc>
        <w:tc>
          <w:tcPr>
            <w:tcW w:w="2728" w:type="dxa"/>
          </w:tcPr>
          <w:p w14:paraId="30972F86" w14:textId="77777777" w:rsidR="006B72F0" w:rsidRPr="006B72F0" w:rsidRDefault="006B72F0" w:rsidP="009E3730">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2F0">
              <w:rPr>
                <w:rFonts w:ascii="Arial" w:hAnsi="Arial" w:cs="Arial"/>
                <w:sz w:val="20"/>
                <w:szCs w:val="20"/>
              </w:rPr>
              <w:t>Wages</w:t>
            </w:r>
          </w:p>
        </w:tc>
        <w:tc>
          <w:tcPr>
            <w:tcW w:w="1134" w:type="dxa"/>
          </w:tcPr>
          <w:p w14:paraId="3306F5D5" w14:textId="77777777" w:rsidR="006B72F0" w:rsidRPr="006B72F0" w:rsidRDefault="006B72F0" w:rsidP="009E373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B72F0">
              <w:rPr>
                <w:rFonts w:ascii="Arial" w:hAnsi="Arial" w:cs="Arial"/>
                <w:color w:val="000000"/>
                <w:sz w:val="20"/>
                <w:szCs w:val="20"/>
              </w:rPr>
              <w:t>4</w:t>
            </w:r>
          </w:p>
        </w:tc>
      </w:tr>
      <w:tr w:rsidR="006B72F0" w:rsidRPr="006B72F0" w14:paraId="6F0B43BA" w14:textId="77777777" w:rsidTr="006B72F0">
        <w:trPr>
          <w:jc w:val="center"/>
        </w:trPr>
        <w:tc>
          <w:tcPr>
            <w:cnfStyle w:val="001000000000" w:firstRow="0" w:lastRow="0" w:firstColumn="1" w:lastColumn="0" w:oddVBand="0" w:evenVBand="0" w:oddHBand="0" w:evenHBand="0" w:firstRowFirstColumn="0" w:firstRowLastColumn="0" w:lastRowFirstColumn="0" w:lastRowLastColumn="0"/>
            <w:tcW w:w="2658" w:type="dxa"/>
          </w:tcPr>
          <w:p w14:paraId="1AC6685C" w14:textId="77777777" w:rsidR="006B72F0" w:rsidRPr="006B72F0" w:rsidRDefault="006B72F0" w:rsidP="009E3730">
            <w:pPr>
              <w:widowControl w:val="0"/>
              <w:suppressAutoHyphens/>
              <w:jc w:val="both"/>
              <w:rPr>
                <w:rFonts w:ascii="Arial" w:hAnsi="Arial" w:cs="Arial"/>
                <w:sz w:val="20"/>
                <w:szCs w:val="20"/>
              </w:rPr>
            </w:pPr>
          </w:p>
        </w:tc>
        <w:tc>
          <w:tcPr>
            <w:tcW w:w="2728" w:type="dxa"/>
          </w:tcPr>
          <w:p w14:paraId="489E4B91" w14:textId="77777777" w:rsidR="006B72F0" w:rsidRPr="006B72F0" w:rsidRDefault="006B72F0" w:rsidP="009E3730">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F0">
              <w:rPr>
                <w:rFonts w:ascii="Arial" w:hAnsi="Arial" w:cs="Arial"/>
                <w:sz w:val="20"/>
                <w:szCs w:val="20"/>
              </w:rPr>
              <w:t>Vacancies and Employment</w:t>
            </w:r>
          </w:p>
        </w:tc>
        <w:tc>
          <w:tcPr>
            <w:tcW w:w="1134" w:type="dxa"/>
          </w:tcPr>
          <w:p w14:paraId="7BC5D1B7" w14:textId="77777777" w:rsidR="006B72F0" w:rsidRPr="006B72F0" w:rsidRDefault="006B72F0" w:rsidP="009E373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B72F0">
              <w:rPr>
                <w:rFonts w:ascii="Arial" w:hAnsi="Arial" w:cs="Arial"/>
                <w:color w:val="000000"/>
                <w:sz w:val="20"/>
                <w:szCs w:val="20"/>
              </w:rPr>
              <w:t>7</w:t>
            </w:r>
          </w:p>
        </w:tc>
      </w:tr>
      <w:tr w:rsidR="006B72F0" w:rsidRPr="006B72F0" w14:paraId="2DD67AC0" w14:textId="77777777" w:rsidTr="006B72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8" w:type="dxa"/>
          </w:tcPr>
          <w:p w14:paraId="1E32264A" w14:textId="77777777" w:rsidR="006B72F0" w:rsidRPr="006B72F0" w:rsidRDefault="006B72F0" w:rsidP="009E3730">
            <w:pPr>
              <w:widowControl w:val="0"/>
              <w:suppressAutoHyphens/>
              <w:jc w:val="both"/>
              <w:rPr>
                <w:rFonts w:ascii="Arial" w:hAnsi="Arial" w:cs="Arial"/>
                <w:sz w:val="20"/>
                <w:szCs w:val="20"/>
              </w:rPr>
            </w:pPr>
            <w:r w:rsidRPr="006B72F0">
              <w:rPr>
                <w:rFonts w:ascii="Arial" w:hAnsi="Arial" w:cs="Arial"/>
                <w:sz w:val="20"/>
                <w:szCs w:val="20"/>
              </w:rPr>
              <w:t>Population</w:t>
            </w:r>
          </w:p>
        </w:tc>
        <w:tc>
          <w:tcPr>
            <w:tcW w:w="2728" w:type="dxa"/>
          </w:tcPr>
          <w:p w14:paraId="04F3B822" w14:textId="77777777" w:rsidR="006B72F0" w:rsidRPr="006B72F0" w:rsidRDefault="006B72F0" w:rsidP="009E3730">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2F0">
              <w:rPr>
                <w:rFonts w:ascii="Arial" w:hAnsi="Arial" w:cs="Arial"/>
                <w:sz w:val="20"/>
                <w:szCs w:val="20"/>
              </w:rPr>
              <w:t>Distribution of Population</w:t>
            </w:r>
          </w:p>
        </w:tc>
        <w:tc>
          <w:tcPr>
            <w:tcW w:w="1134" w:type="dxa"/>
          </w:tcPr>
          <w:p w14:paraId="14EB9C43" w14:textId="77777777" w:rsidR="006B72F0" w:rsidRPr="006B72F0" w:rsidRDefault="006B72F0" w:rsidP="009E373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B72F0">
              <w:rPr>
                <w:rFonts w:ascii="Arial" w:hAnsi="Arial" w:cs="Arial"/>
                <w:color w:val="000000"/>
                <w:sz w:val="20"/>
                <w:szCs w:val="20"/>
              </w:rPr>
              <w:t>7</w:t>
            </w:r>
          </w:p>
        </w:tc>
      </w:tr>
      <w:tr w:rsidR="006B72F0" w:rsidRPr="006B72F0" w14:paraId="6591EAB8" w14:textId="77777777" w:rsidTr="006B72F0">
        <w:trPr>
          <w:jc w:val="center"/>
        </w:trPr>
        <w:tc>
          <w:tcPr>
            <w:cnfStyle w:val="001000000000" w:firstRow="0" w:lastRow="0" w:firstColumn="1" w:lastColumn="0" w:oddVBand="0" w:evenVBand="0" w:oddHBand="0" w:evenHBand="0" w:firstRowFirstColumn="0" w:firstRowLastColumn="0" w:lastRowFirstColumn="0" w:lastRowLastColumn="0"/>
            <w:tcW w:w="2658" w:type="dxa"/>
          </w:tcPr>
          <w:p w14:paraId="182FEB5F" w14:textId="77777777" w:rsidR="006B72F0" w:rsidRPr="006B72F0" w:rsidRDefault="006B72F0" w:rsidP="009E3730">
            <w:pPr>
              <w:widowControl w:val="0"/>
              <w:suppressAutoHyphens/>
              <w:jc w:val="both"/>
              <w:rPr>
                <w:rFonts w:ascii="Arial" w:hAnsi="Arial" w:cs="Arial"/>
                <w:sz w:val="20"/>
                <w:szCs w:val="20"/>
              </w:rPr>
            </w:pPr>
          </w:p>
        </w:tc>
        <w:tc>
          <w:tcPr>
            <w:tcW w:w="2728" w:type="dxa"/>
          </w:tcPr>
          <w:p w14:paraId="01656A44" w14:textId="77777777" w:rsidR="006B72F0" w:rsidRPr="006B72F0" w:rsidRDefault="006B72F0" w:rsidP="009E3730">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F0">
              <w:rPr>
                <w:rFonts w:ascii="Arial" w:hAnsi="Arial" w:cs="Arial"/>
                <w:sz w:val="20"/>
                <w:szCs w:val="20"/>
              </w:rPr>
              <w:t>Migration</w:t>
            </w:r>
          </w:p>
        </w:tc>
        <w:tc>
          <w:tcPr>
            <w:tcW w:w="1134" w:type="dxa"/>
          </w:tcPr>
          <w:p w14:paraId="2AAA6282" w14:textId="77777777" w:rsidR="006B72F0" w:rsidRPr="006B72F0" w:rsidRDefault="006B72F0" w:rsidP="009E373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B72F0">
              <w:rPr>
                <w:rFonts w:ascii="Arial" w:hAnsi="Arial" w:cs="Arial"/>
                <w:color w:val="000000"/>
                <w:sz w:val="20"/>
                <w:szCs w:val="20"/>
              </w:rPr>
              <w:t>2</w:t>
            </w:r>
          </w:p>
        </w:tc>
      </w:tr>
      <w:tr w:rsidR="006B72F0" w:rsidRPr="006B72F0" w14:paraId="48F6695B" w14:textId="77777777" w:rsidTr="006B72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8" w:type="dxa"/>
          </w:tcPr>
          <w:p w14:paraId="29E683DA" w14:textId="77777777" w:rsidR="006B72F0" w:rsidRPr="006B72F0" w:rsidRDefault="006B72F0" w:rsidP="009E3730">
            <w:pPr>
              <w:widowControl w:val="0"/>
              <w:suppressAutoHyphens/>
              <w:jc w:val="both"/>
              <w:rPr>
                <w:rFonts w:ascii="Arial" w:hAnsi="Arial" w:cs="Arial"/>
                <w:sz w:val="20"/>
                <w:szCs w:val="20"/>
              </w:rPr>
            </w:pPr>
            <w:r w:rsidRPr="006B72F0">
              <w:rPr>
                <w:rFonts w:ascii="Arial" w:hAnsi="Arial" w:cs="Arial"/>
                <w:sz w:val="20"/>
                <w:szCs w:val="20"/>
              </w:rPr>
              <w:t>Macroeconomics</w:t>
            </w:r>
          </w:p>
        </w:tc>
        <w:tc>
          <w:tcPr>
            <w:tcW w:w="2728" w:type="dxa"/>
          </w:tcPr>
          <w:p w14:paraId="0B5D0CAD" w14:textId="77777777" w:rsidR="006B72F0" w:rsidRPr="006B72F0" w:rsidRDefault="006B72F0" w:rsidP="009E3730">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2F0">
              <w:rPr>
                <w:rFonts w:ascii="Arial" w:hAnsi="Arial" w:cs="Arial"/>
                <w:sz w:val="20"/>
                <w:szCs w:val="20"/>
              </w:rPr>
              <w:t>Macroeconomics</w:t>
            </w:r>
          </w:p>
        </w:tc>
        <w:tc>
          <w:tcPr>
            <w:tcW w:w="1134" w:type="dxa"/>
          </w:tcPr>
          <w:p w14:paraId="0BBC1175" w14:textId="77777777" w:rsidR="006B72F0" w:rsidRPr="006B72F0" w:rsidRDefault="006B72F0" w:rsidP="009E373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2F0">
              <w:rPr>
                <w:rFonts w:ascii="Arial" w:hAnsi="Arial" w:cs="Arial"/>
                <w:sz w:val="20"/>
                <w:szCs w:val="20"/>
              </w:rPr>
              <w:t>4</w:t>
            </w:r>
          </w:p>
        </w:tc>
      </w:tr>
      <w:tr w:rsidR="006B72F0" w:rsidRPr="006B72F0" w14:paraId="1BC1358A" w14:textId="77777777" w:rsidTr="006B72F0">
        <w:trPr>
          <w:jc w:val="center"/>
        </w:trPr>
        <w:tc>
          <w:tcPr>
            <w:cnfStyle w:val="001000000000" w:firstRow="0" w:lastRow="0" w:firstColumn="1" w:lastColumn="0" w:oddVBand="0" w:evenVBand="0" w:oddHBand="0" w:evenHBand="0" w:firstRowFirstColumn="0" w:firstRowLastColumn="0" w:lastRowFirstColumn="0" w:lastRowLastColumn="0"/>
            <w:tcW w:w="2658" w:type="dxa"/>
          </w:tcPr>
          <w:p w14:paraId="30349636" w14:textId="77777777" w:rsidR="006B72F0" w:rsidRPr="006B72F0" w:rsidRDefault="006B72F0" w:rsidP="009E3730">
            <w:pPr>
              <w:widowControl w:val="0"/>
              <w:suppressAutoHyphens/>
              <w:jc w:val="both"/>
              <w:rPr>
                <w:rFonts w:ascii="Arial" w:hAnsi="Arial" w:cs="Arial"/>
                <w:sz w:val="20"/>
                <w:szCs w:val="20"/>
              </w:rPr>
            </w:pPr>
            <w:r w:rsidRPr="006B72F0">
              <w:rPr>
                <w:rFonts w:ascii="Arial" w:hAnsi="Arial" w:cs="Arial"/>
                <w:sz w:val="20"/>
                <w:szCs w:val="20"/>
              </w:rPr>
              <w:t>Investments</w:t>
            </w:r>
          </w:p>
        </w:tc>
        <w:tc>
          <w:tcPr>
            <w:tcW w:w="2728" w:type="dxa"/>
          </w:tcPr>
          <w:p w14:paraId="6C735A66" w14:textId="77777777" w:rsidR="006B72F0" w:rsidRPr="006B72F0" w:rsidRDefault="006B72F0" w:rsidP="009E3730">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F0">
              <w:rPr>
                <w:rFonts w:ascii="Arial" w:hAnsi="Arial" w:cs="Arial"/>
                <w:sz w:val="20"/>
                <w:szCs w:val="20"/>
              </w:rPr>
              <w:t>Foreign Direct Investment</w:t>
            </w:r>
          </w:p>
        </w:tc>
        <w:tc>
          <w:tcPr>
            <w:tcW w:w="1134" w:type="dxa"/>
          </w:tcPr>
          <w:p w14:paraId="205FF185" w14:textId="77777777" w:rsidR="006B72F0" w:rsidRPr="006B72F0" w:rsidRDefault="006B72F0" w:rsidP="009E373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B72F0">
              <w:rPr>
                <w:rFonts w:ascii="Arial" w:hAnsi="Arial" w:cs="Arial"/>
                <w:color w:val="000000"/>
                <w:sz w:val="20"/>
                <w:szCs w:val="20"/>
              </w:rPr>
              <w:t>3</w:t>
            </w:r>
          </w:p>
        </w:tc>
      </w:tr>
      <w:tr w:rsidR="006B72F0" w:rsidRPr="006B72F0" w14:paraId="1E4AE6A4" w14:textId="77777777" w:rsidTr="006B72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8" w:type="dxa"/>
          </w:tcPr>
          <w:p w14:paraId="5E2FA7C7" w14:textId="77777777" w:rsidR="006B72F0" w:rsidRPr="006B72F0" w:rsidRDefault="006B72F0" w:rsidP="009E3730">
            <w:pPr>
              <w:widowControl w:val="0"/>
              <w:suppressAutoHyphens/>
              <w:jc w:val="both"/>
              <w:rPr>
                <w:rFonts w:ascii="Arial" w:hAnsi="Arial" w:cs="Arial"/>
                <w:sz w:val="20"/>
                <w:szCs w:val="20"/>
              </w:rPr>
            </w:pPr>
          </w:p>
        </w:tc>
        <w:tc>
          <w:tcPr>
            <w:tcW w:w="2728" w:type="dxa"/>
          </w:tcPr>
          <w:p w14:paraId="6544636B" w14:textId="77777777" w:rsidR="006B72F0" w:rsidRPr="006B72F0" w:rsidRDefault="006B72F0" w:rsidP="009E3730">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2F0">
              <w:rPr>
                <w:rFonts w:ascii="Arial" w:hAnsi="Arial" w:cs="Arial"/>
                <w:sz w:val="20"/>
                <w:szCs w:val="20"/>
              </w:rPr>
              <w:t>Financed Projects</w:t>
            </w:r>
          </w:p>
        </w:tc>
        <w:tc>
          <w:tcPr>
            <w:tcW w:w="1134" w:type="dxa"/>
          </w:tcPr>
          <w:p w14:paraId="0BA6EFD1" w14:textId="77777777" w:rsidR="006B72F0" w:rsidRPr="006B72F0" w:rsidRDefault="006B72F0" w:rsidP="009E373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B72F0">
              <w:rPr>
                <w:rFonts w:ascii="Arial" w:hAnsi="Arial" w:cs="Arial"/>
                <w:color w:val="000000"/>
                <w:sz w:val="20"/>
                <w:szCs w:val="20"/>
              </w:rPr>
              <w:t>7</w:t>
            </w:r>
          </w:p>
        </w:tc>
      </w:tr>
      <w:tr w:rsidR="006B72F0" w:rsidRPr="006B72F0" w14:paraId="4C4043E5" w14:textId="77777777" w:rsidTr="006B72F0">
        <w:trPr>
          <w:jc w:val="center"/>
        </w:trPr>
        <w:tc>
          <w:tcPr>
            <w:cnfStyle w:val="001000000000" w:firstRow="0" w:lastRow="0" w:firstColumn="1" w:lastColumn="0" w:oddVBand="0" w:evenVBand="0" w:oddHBand="0" w:evenHBand="0" w:firstRowFirstColumn="0" w:firstRowLastColumn="0" w:lastRowFirstColumn="0" w:lastRowLastColumn="0"/>
            <w:tcW w:w="2658" w:type="dxa"/>
          </w:tcPr>
          <w:p w14:paraId="3A7EE085" w14:textId="77777777" w:rsidR="006B72F0" w:rsidRPr="006B72F0" w:rsidRDefault="006B72F0" w:rsidP="009E3730">
            <w:pPr>
              <w:widowControl w:val="0"/>
              <w:suppressAutoHyphens/>
              <w:jc w:val="both"/>
              <w:rPr>
                <w:rFonts w:ascii="Arial" w:hAnsi="Arial" w:cs="Arial"/>
                <w:sz w:val="20"/>
                <w:szCs w:val="20"/>
              </w:rPr>
            </w:pPr>
            <w:r w:rsidRPr="006B72F0">
              <w:rPr>
                <w:rFonts w:ascii="Arial" w:hAnsi="Arial" w:cs="Arial"/>
                <w:sz w:val="20"/>
                <w:szCs w:val="20"/>
              </w:rPr>
              <w:t xml:space="preserve">Education </w:t>
            </w:r>
          </w:p>
        </w:tc>
        <w:tc>
          <w:tcPr>
            <w:tcW w:w="2728" w:type="dxa"/>
          </w:tcPr>
          <w:p w14:paraId="307817F9" w14:textId="77777777" w:rsidR="006B72F0" w:rsidRPr="006B72F0" w:rsidRDefault="006B72F0" w:rsidP="009E3730">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F0">
              <w:rPr>
                <w:rFonts w:ascii="Arial" w:hAnsi="Arial" w:cs="Arial"/>
                <w:sz w:val="20"/>
                <w:szCs w:val="20"/>
              </w:rPr>
              <w:t>Vocational Education</w:t>
            </w:r>
          </w:p>
        </w:tc>
        <w:tc>
          <w:tcPr>
            <w:tcW w:w="1134" w:type="dxa"/>
          </w:tcPr>
          <w:p w14:paraId="0A3C7424" w14:textId="77777777" w:rsidR="006B72F0" w:rsidRPr="006B72F0" w:rsidRDefault="006B72F0" w:rsidP="009E373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B72F0">
              <w:rPr>
                <w:rFonts w:ascii="Arial" w:hAnsi="Arial" w:cs="Arial"/>
                <w:color w:val="000000"/>
                <w:sz w:val="20"/>
                <w:szCs w:val="20"/>
              </w:rPr>
              <w:t>8</w:t>
            </w:r>
          </w:p>
        </w:tc>
      </w:tr>
      <w:tr w:rsidR="006B72F0" w:rsidRPr="006B72F0" w14:paraId="6B7552C9" w14:textId="77777777" w:rsidTr="006B72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8" w:type="dxa"/>
          </w:tcPr>
          <w:p w14:paraId="58799895" w14:textId="77777777" w:rsidR="006B72F0" w:rsidRPr="006B72F0" w:rsidRDefault="006B72F0" w:rsidP="009E3730">
            <w:pPr>
              <w:widowControl w:val="0"/>
              <w:suppressAutoHyphens/>
              <w:jc w:val="both"/>
              <w:rPr>
                <w:rFonts w:ascii="Arial" w:hAnsi="Arial" w:cs="Arial"/>
                <w:sz w:val="20"/>
                <w:szCs w:val="20"/>
              </w:rPr>
            </w:pPr>
          </w:p>
        </w:tc>
        <w:tc>
          <w:tcPr>
            <w:tcW w:w="2728" w:type="dxa"/>
          </w:tcPr>
          <w:p w14:paraId="4BDF77A7" w14:textId="77777777" w:rsidR="006B72F0" w:rsidRPr="006B72F0" w:rsidRDefault="006B72F0" w:rsidP="009E3730">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2F0">
              <w:rPr>
                <w:rFonts w:ascii="Arial" w:hAnsi="Arial" w:cs="Arial"/>
                <w:sz w:val="20"/>
                <w:szCs w:val="20"/>
              </w:rPr>
              <w:t>Higher Education</w:t>
            </w:r>
          </w:p>
        </w:tc>
        <w:tc>
          <w:tcPr>
            <w:tcW w:w="1134" w:type="dxa"/>
          </w:tcPr>
          <w:p w14:paraId="56FE0E3E" w14:textId="77777777" w:rsidR="006B72F0" w:rsidRPr="006B72F0" w:rsidRDefault="006B72F0" w:rsidP="009E373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B72F0">
              <w:rPr>
                <w:rFonts w:ascii="Arial" w:hAnsi="Arial" w:cs="Arial"/>
                <w:color w:val="000000"/>
                <w:sz w:val="20"/>
                <w:szCs w:val="20"/>
              </w:rPr>
              <w:t>2</w:t>
            </w:r>
          </w:p>
        </w:tc>
      </w:tr>
      <w:tr w:rsidR="006B72F0" w:rsidRPr="006B72F0" w14:paraId="2876A1EB" w14:textId="77777777" w:rsidTr="006B72F0">
        <w:trPr>
          <w:jc w:val="center"/>
        </w:trPr>
        <w:tc>
          <w:tcPr>
            <w:cnfStyle w:val="001000000000" w:firstRow="0" w:lastRow="0" w:firstColumn="1" w:lastColumn="0" w:oddVBand="0" w:evenVBand="0" w:oddHBand="0" w:evenHBand="0" w:firstRowFirstColumn="0" w:firstRowLastColumn="0" w:lastRowFirstColumn="0" w:lastRowLastColumn="0"/>
            <w:tcW w:w="2658" w:type="dxa"/>
          </w:tcPr>
          <w:p w14:paraId="0EF5E94D" w14:textId="77777777" w:rsidR="006B72F0" w:rsidRPr="006B72F0" w:rsidRDefault="006B72F0" w:rsidP="009E3730">
            <w:pPr>
              <w:widowControl w:val="0"/>
              <w:suppressAutoHyphens/>
              <w:jc w:val="both"/>
              <w:rPr>
                <w:rFonts w:ascii="Arial" w:hAnsi="Arial" w:cs="Arial"/>
                <w:sz w:val="20"/>
                <w:szCs w:val="20"/>
              </w:rPr>
            </w:pPr>
            <w:r w:rsidRPr="006B72F0">
              <w:rPr>
                <w:rFonts w:ascii="Arial" w:hAnsi="Arial" w:cs="Arial"/>
                <w:sz w:val="20"/>
                <w:szCs w:val="20"/>
              </w:rPr>
              <w:t>International Comparison</w:t>
            </w:r>
          </w:p>
        </w:tc>
        <w:tc>
          <w:tcPr>
            <w:tcW w:w="2728" w:type="dxa"/>
          </w:tcPr>
          <w:p w14:paraId="0B03E141" w14:textId="77777777" w:rsidR="006B72F0" w:rsidRPr="006B72F0" w:rsidRDefault="006B72F0" w:rsidP="009E3730">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F0">
              <w:rPr>
                <w:rFonts w:ascii="Arial" w:hAnsi="Arial" w:cs="Arial"/>
                <w:sz w:val="20"/>
                <w:szCs w:val="20"/>
              </w:rPr>
              <w:t xml:space="preserve">International Comparison </w:t>
            </w:r>
          </w:p>
        </w:tc>
        <w:tc>
          <w:tcPr>
            <w:tcW w:w="1134" w:type="dxa"/>
          </w:tcPr>
          <w:p w14:paraId="2EE52985" w14:textId="77777777" w:rsidR="006B72F0" w:rsidRPr="006B72F0" w:rsidRDefault="006B72F0" w:rsidP="009E373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2F0">
              <w:rPr>
                <w:rFonts w:ascii="Arial" w:hAnsi="Arial" w:cs="Arial"/>
                <w:sz w:val="20"/>
                <w:szCs w:val="20"/>
              </w:rPr>
              <w:t>7</w:t>
            </w:r>
          </w:p>
        </w:tc>
      </w:tr>
    </w:tbl>
    <w:p w14:paraId="50491640" w14:textId="77777777" w:rsidR="009601AE" w:rsidRDefault="009601AE" w:rsidP="009E3730">
      <w:pPr>
        <w:widowControl w:val="0"/>
        <w:suppressAutoHyphens/>
      </w:pPr>
    </w:p>
    <w:p w14:paraId="1EE77C0E" w14:textId="40D7BA01" w:rsidR="009601AE" w:rsidRDefault="009601AE" w:rsidP="009E3730">
      <w:pPr>
        <w:widowControl w:val="0"/>
        <w:suppressAutoHyphens/>
      </w:pPr>
      <w:r>
        <w:t xml:space="preserve">The Indicator refers to annual reports in the plural, and the expectation was clearly that having set the framework for the LMIS in 2014 (as required by Second Instalment Specific Condition 1.1 determining the institutional setting, format, and plan for implementation of the LMIS), development would continue through 2015 rather than commence </w:t>
      </w:r>
      <w:r w:rsidR="00933C96">
        <w:t>only in the second half of</w:t>
      </w:r>
      <w:r>
        <w:t xml:space="preserve"> 2016, such that by the assessment for disbursement of the current Fourth Instalment two annual reports would </w:t>
      </w:r>
      <w:r w:rsidR="003C65AF">
        <w:t>have been</w:t>
      </w:r>
      <w:r>
        <w:t xml:space="preserve"> available, for 2015 and 2016. </w:t>
      </w:r>
      <w:r w:rsidR="00933C96">
        <w:t>Delays in LMIS development, discussed above under Indicator 1.1.1, although not in themselves particularly significant, have meant that an annual report for 2015 as such was not produced.</w:t>
      </w:r>
    </w:p>
    <w:p w14:paraId="318EE0A8" w14:textId="77777777" w:rsidR="009601AE" w:rsidRDefault="009601AE" w:rsidP="009E3730">
      <w:pPr>
        <w:widowControl w:val="0"/>
        <w:suppressAutoHyphens/>
      </w:pPr>
    </w:p>
    <w:p w14:paraId="20DE4906" w14:textId="335C91BC" w:rsidR="009601AE" w:rsidRDefault="003C65AF" w:rsidP="009E3730">
      <w:pPr>
        <w:widowControl w:val="0"/>
        <w:suppressAutoHyphens/>
      </w:pPr>
      <w:r>
        <w:t xml:space="preserve">Nonetheless, a </w:t>
      </w:r>
      <w:r w:rsidR="00621844">
        <w:t xml:space="preserve">20 page </w:t>
      </w:r>
      <w:r>
        <w:t>report</w:t>
      </w:r>
      <w:r w:rsidR="00621844">
        <w:t xml:space="preserve">, entitled </w:t>
      </w:r>
      <w:r w:rsidR="00621844" w:rsidRPr="00621844">
        <w:rPr>
          <w:i/>
        </w:rPr>
        <w:t>'The Labour Market Information System:</w:t>
      </w:r>
      <w:r w:rsidRPr="00621844">
        <w:rPr>
          <w:i/>
        </w:rPr>
        <w:t xml:space="preserve"> 2016 </w:t>
      </w:r>
      <w:r w:rsidR="00621844" w:rsidRPr="00621844">
        <w:rPr>
          <w:i/>
        </w:rPr>
        <w:t>Report</w:t>
      </w:r>
      <w:r w:rsidR="00621844">
        <w:t xml:space="preserve">' </w:t>
      </w:r>
      <w:r>
        <w:t xml:space="preserve">has been produced. It was uploaded onto the website </w:t>
      </w:r>
      <w:r w:rsidR="00E93885">
        <w:t>on 15th</w:t>
      </w:r>
      <w:r>
        <w:t xml:space="preserve"> December 2016, but updated and modified with additional elements on </w:t>
      </w:r>
      <w:r w:rsidR="00E93885">
        <w:t xml:space="preserve">9th and </w:t>
      </w:r>
      <w:r>
        <w:t>2</w:t>
      </w:r>
      <w:r w:rsidR="00621844">
        <w:t>4</w:t>
      </w:r>
      <w:r>
        <w:t xml:space="preserve">th March 2017. </w:t>
      </w:r>
      <w:r w:rsidR="006B72F0">
        <w:t>There are f</w:t>
      </w:r>
      <w:r w:rsidR="00EE6E40">
        <w:t>ive</w:t>
      </w:r>
      <w:r w:rsidR="006B72F0">
        <w:t xml:space="preserve"> main </w:t>
      </w:r>
      <w:r w:rsidR="00EE6E40">
        <w:t>sections covered, including</w:t>
      </w:r>
      <w:r w:rsidR="006B72F0">
        <w:t xml:space="preserve"> General Review (an</w:t>
      </w:r>
      <w:r w:rsidR="00621844">
        <w:t xml:space="preserve"> introduction to the LMIS</w:t>
      </w:r>
      <w:r w:rsidR="006B72F0">
        <w:t>); Review of Vocational Education Key Indicators</w:t>
      </w:r>
      <w:r w:rsidR="00621844">
        <w:t xml:space="preserve"> (</w:t>
      </w:r>
      <w:r w:rsidR="00EE6E40">
        <w:t>employment, VET enrolment in 2015 by region, gender, age, field of study)</w:t>
      </w:r>
      <w:r w:rsidR="006B72F0">
        <w:t>; Foreign Direct Investments and Employment</w:t>
      </w:r>
      <w:r w:rsidR="00EE6E40">
        <w:t xml:space="preserve"> (by region, sector)</w:t>
      </w:r>
      <w:r w:rsidR="006B72F0">
        <w:t>; Information on Jobs Created within the 'Start-up Georgia' Stat</w:t>
      </w:r>
      <w:r w:rsidR="00AE0803">
        <w:t>e</w:t>
      </w:r>
      <w:r w:rsidR="006B72F0">
        <w:t xml:space="preserve"> Programme</w:t>
      </w:r>
      <w:r w:rsidR="00E435BC">
        <w:t>, and some regional and international comparisons (of employment rates and labour productivity)</w:t>
      </w:r>
      <w:r w:rsidR="006B72F0">
        <w:t xml:space="preserve">. In addition an Annex provides information on </w:t>
      </w:r>
      <w:r w:rsidR="00AE0803">
        <w:t>job openings by year from 2012-2016 published by HR.GE (the website for public sector opportunities), by job category and sector.</w:t>
      </w:r>
    </w:p>
    <w:p w14:paraId="362A6C22" w14:textId="77777777" w:rsidR="006B72F0" w:rsidRDefault="006B72F0" w:rsidP="009E3730">
      <w:pPr>
        <w:widowControl w:val="0"/>
        <w:suppressAutoHyphens/>
      </w:pPr>
    </w:p>
    <w:p w14:paraId="4E7F99FB" w14:textId="4DDE1A3C" w:rsidR="00E435BC" w:rsidRDefault="00E435BC" w:rsidP="009E3730">
      <w:pPr>
        <w:widowControl w:val="0"/>
        <w:suppressAutoHyphens/>
      </w:pPr>
      <w:r>
        <w:rPr>
          <w:bCs/>
        </w:rPr>
        <w:t xml:space="preserve">While the LMIS itself meets the Indicator requirement </w:t>
      </w:r>
      <w:r w:rsidRPr="00E435BC">
        <w:rPr>
          <w:bCs/>
          <w:iCs/>
        </w:rPr>
        <w:t xml:space="preserve">of </w:t>
      </w:r>
      <w:r>
        <w:rPr>
          <w:bCs/>
          <w:iCs/>
        </w:rPr>
        <w:t>'</w:t>
      </w:r>
      <w:r w:rsidRPr="00E435BC">
        <w:rPr>
          <w:bCs/>
          <w:iCs/>
        </w:rPr>
        <w:t>skills supply (including annual VET statistical reports disaggregated at least by: gender, occupation</w:t>
      </w:r>
      <w:r>
        <w:rPr>
          <w:bCs/>
          <w:iCs/>
        </w:rPr>
        <w:t>...</w:t>
      </w:r>
      <w:r w:rsidRPr="00E435BC">
        <w:rPr>
          <w:bCs/>
          <w:iCs/>
        </w:rPr>
        <w:t>, level of NQF, region, and VET provider), and demand (including annual labour market statistics)</w:t>
      </w:r>
      <w:r>
        <w:rPr>
          <w:bCs/>
          <w:iCs/>
        </w:rPr>
        <w:t xml:space="preserve">', and is publicly </w:t>
      </w:r>
      <w:r>
        <w:rPr>
          <w:bCs/>
          <w:iCs/>
        </w:rPr>
        <w:lastRenderedPageBreak/>
        <w:t>accessible on the website, it is not clear that the report quite meets expectations in this regard. One would have expected a more comprehensive analysis and presentation of data across the economy and the VET sector. However, as each of the elements does in some respect occur, the Review does not believe it appropriate to consider the Indicator unfulfilled</w:t>
      </w:r>
      <w:r w:rsidRPr="00E435BC">
        <w:rPr>
          <w:bCs/>
          <w:iCs/>
        </w:rPr>
        <w:t>.</w:t>
      </w:r>
      <w:r>
        <w:rPr>
          <w:bCs/>
          <w:iCs/>
        </w:rPr>
        <w:t xml:space="preserve"> Future reports will need considerable work on format</w:t>
      </w:r>
      <w:r w:rsidR="00844A10">
        <w:rPr>
          <w:bCs/>
          <w:iCs/>
        </w:rPr>
        <w:t xml:space="preserve">, </w:t>
      </w:r>
      <w:r>
        <w:rPr>
          <w:bCs/>
          <w:iCs/>
        </w:rPr>
        <w:t>style</w:t>
      </w:r>
      <w:r w:rsidR="00844A10">
        <w:rPr>
          <w:bCs/>
          <w:iCs/>
        </w:rPr>
        <w:t>, and content</w:t>
      </w:r>
      <w:r>
        <w:rPr>
          <w:bCs/>
          <w:iCs/>
        </w:rPr>
        <w:t xml:space="preserve"> to give a comprehensive picture and meaningful conclusions, and will need to include forward projections </w:t>
      </w:r>
      <w:r w:rsidR="001D6C30">
        <w:rPr>
          <w:bCs/>
          <w:iCs/>
        </w:rPr>
        <w:t xml:space="preserve">of economic activity (by sector and region) and employment opportunities (by speciality and region) to be able to provide a meaningful input </w:t>
      </w:r>
      <w:r w:rsidR="00F36F38">
        <w:t xml:space="preserve">to help lead decisions on VET provision to meet </w:t>
      </w:r>
      <w:r w:rsidR="00F36F38">
        <w:rPr>
          <w:bCs/>
          <w:iCs/>
        </w:rPr>
        <w:t xml:space="preserve">future labour demand </w:t>
      </w:r>
      <w:r w:rsidR="00F36F38">
        <w:t>and individual career choice.</w:t>
      </w:r>
    </w:p>
    <w:p w14:paraId="59E2BCBF" w14:textId="77777777" w:rsidR="003C65AF" w:rsidRDefault="003C65AF" w:rsidP="009E3730">
      <w:pPr>
        <w:widowControl w:val="0"/>
        <w:suppressAutoHyphens/>
      </w:pPr>
    </w:p>
    <w:p w14:paraId="0AA4403B" w14:textId="77777777" w:rsidR="009601AE" w:rsidRDefault="009601AE" w:rsidP="009E3730">
      <w:pPr>
        <w:pStyle w:val="Heading3"/>
        <w:widowControl w:val="0"/>
        <w:suppressAutoHyphens/>
      </w:pPr>
      <w:bookmarkStart w:id="49" w:name="_Toc404511343"/>
      <w:bookmarkStart w:id="50" w:name="_Toc413019050"/>
      <w:bookmarkStart w:id="51" w:name="_Toc486837763"/>
      <w:r>
        <w:t>ii)</w:t>
      </w:r>
      <w:r>
        <w:tab/>
        <w:t>Specific Condition 1.2:</w:t>
      </w:r>
      <w:r>
        <w:rPr>
          <w:lang w:eastAsia="en-GB"/>
        </w:rPr>
        <w:t xml:space="preserve"> Improved Quality of Employment Support Services.</w:t>
      </w:r>
      <w:bookmarkEnd w:id="49"/>
      <w:bookmarkEnd w:id="50"/>
      <w:bookmarkEnd w:id="51"/>
    </w:p>
    <w:p w14:paraId="5A40C1C4" w14:textId="77777777" w:rsidR="009601AE" w:rsidRDefault="009601AE" w:rsidP="009E3730">
      <w:pPr>
        <w:widowControl w:val="0"/>
        <w:suppressAutoHyphens/>
      </w:pPr>
    </w:p>
    <w:p w14:paraId="01566E19" w14:textId="77777777" w:rsidR="009601AE" w:rsidRPr="006B1542" w:rsidRDefault="009601AE" w:rsidP="009E3730">
      <w:pPr>
        <w:widowControl w:val="0"/>
        <w:suppressAutoHyphens/>
      </w:pPr>
      <w:r w:rsidRPr="006B1542">
        <w:rPr>
          <w:bCs/>
        </w:rPr>
        <w:t>Potential value: €1.0mn.</w:t>
      </w:r>
    </w:p>
    <w:p w14:paraId="6BCA6C27" w14:textId="77777777" w:rsidR="009601AE" w:rsidRDefault="009601AE" w:rsidP="009E3730">
      <w:pPr>
        <w:widowControl w:val="0"/>
        <w:suppressAutoHyphens/>
      </w:pPr>
    </w:p>
    <w:p w14:paraId="4FA4016A" w14:textId="75886918" w:rsidR="009601AE" w:rsidRDefault="009601AE" w:rsidP="009E3730">
      <w:pPr>
        <w:widowControl w:val="0"/>
        <w:suppressAutoHyphens/>
        <w:rPr>
          <w:b/>
          <w:bCs/>
        </w:rPr>
      </w:pPr>
      <w:r>
        <w:rPr>
          <w:b/>
          <w:bCs/>
          <w:u w:val="single"/>
        </w:rPr>
        <w:t>Review Assessment</w:t>
      </w:r>
      <w:r>
        <w:rPr>
          <w:b/>
          <w:bCs/>
        </w:rPr>
        <w:t>: compliance.</w:t>
      </w:r>
    </w:p>
    <w:p w14:paraId="61A2F0FC" w14:textId="77777777" w:rsidR="005F1696" w:rsidRDefault="005F1696" w:rsidP="009E3730">
      <w:pPr>
        <w:widowControl w:val="0"/>
        <w:suppressAutoHyphens/>
      </w:pPr>
    </w:p>
    <w:p w14:paraId="61D71E71" w14:textId="4303CC30" w:rsidR="009601AE" w:rsidRDefault="005F1696" w:rsidP="009E3730">
      <w:pPr>
        <w:widowControl w:val="0"/>
        <w:suppressAutoHyphens/>
      </w:pPr>
      <w:r>
        <w:t>Score: 1.00. Recommended disbursement: €1.0mn.</w:t>
      </w:r>
    </w:p>
    <w:p w14:paraId="03BD22B6" w14:textId="77777777" w:rsidR="005F1696" w:rsidRDefault="005F1696" w:rsidP="009E3730">
      <w:pPr>
        <w:widowControl w:val="0"/>
        <w:suppressAutoHyphens/>
      </w:pPr>
    </w:p>
    <w:p w14:paraId="14B7B436" w14:textId="77777777" w:rsidR="009601AE" w:rsidRDefault="009601AE" w:rsidP="009E3730">
      <w:pPr>
        <w:widowControl w:val="0"/>
        <w:suppressAutoHyphens/>
        <w:rPr>
          <w:b/>
          <w:bCs/>
          <w:i/>
          <w:iCs/>
          <w:lang w:eastAsia="en-GB"/>
        </w:rPr>
      </w:pPr>
      <w:r>
        <w:rPr>
          <w:b/>
          <w:bCs/>
          <w:u w:val="single"/>
        </w:rPr>
        <w:t>Indicator 1.2.1</w:t>
      </w:r>
      <w:r>
        <w:rPr>
          <w:b/>
          <w:bCs/>
        </w:rPr>
        <w:t>:</w:t>
      </w:r>
      <w:r>
        <w:rPr>
          <w:b/>
          <w:bCs/>
          <w:lang w:eastAsia="en-GB"/>
        </w:rPr>
        <w:t xml:space="preserve"> </w:t>
      </w:r>
      <w:r>
        <w:rPr>
          <w:b/>
          <w:bCs/>
          <w:i/>
          <w:iCs/>
          <w:lang w:eastAsia="en-GB"/>
        </w:rPr>
        <w:t>Report on ESS operations reflecting feedback from users on the quality of services is produced, consulted with stakeholders and available for the public.</w:t>
      </w:r>
    </w:p>
    <w:p w14:paraId="66894951" w14:textId="77777777" w:rsidR="009601AE" w:rsidRDefault="009601AE" w:rsidP="009E3730">
      <w:pPr>
        <w:widowControl w:val="0"/>
        <w:suppressAutoHyphens/>
      </w:pPr>
    </w:p>
    <w:p w14:paraId="3BCE9021" w14:textId="77777777" w:rsidR="009601AE" w:rsidRDefault="009601AE" w:rsidP="009E3730">
      <w:pPr>
        <w:widowControl w:val="0"/>
        <w:suppressAutoHyphens/>
      </w:pPr>
      <w:r>
        <w:t xml:space="preserve">Source of Verification: </w:t>
      </w:r>
    </w:p>
    <w:p w14:paraId="7E7C0472" w14:textId="77777777" w:rsidR="009601AE" w:rsidRDefault="009601AE" w:rsidP="009E3730">
      <w:pPr>
        <w:widowControl w:val="0"/>
        <w:numPr>
          <w:ilvl w:val="0"/>
          <w:numId w:val="2"/>
        </w:numPr>
        <w:suppressAutoHyphens/>
        <w:autoSpaceDE w:val="0"/>
        <w:autoSpaceDN w:val="0"/>
        <w:ind w:left="714" w:hanging="357"/>
        <w:rPr>
          <w:lang w:eastAsia="en-GB"/>
        </w:rPr>
      </w:pPr>
      <w:r>
        <w:rPr>
          <w:lang w:eastAsia="en-GB"/>
        </w:rPr>
        <w:t>MoLHSA Report on ESS operations and services;</w:t>
      </w:r>
    </w:p>
    <w:p w14:paraId="76C38E09" w14:textId="77777777" w:rsidR="009601AE" w:rsidRDefault="009601AE" w:rsidP="009E3730">
      <w:pPr>
        <w:widowControl w:val="0"/>
        <w:numPr>
          <w:ilvl w:val="0"/>
          <w:numId w:val="2"/>
        </w:numPr>
        <w:suppressAutoHyphens/>
        <w:autoSpaceDE w:val="0"/>
        <w:autoSpaceDN w:val="0"/>
        <w:ind w:left="714" w:hanging="357"/>
        <w:rPr>
          <w:lang w:eastAsia="en-GB"/>
        </w:rPr>
      </w:pPr>
      <w:r>
        <w:rPr>
          <w:lang w:eastAsia="en-GB"/>
        </w:rPr>
        <w:t>Databases of ESS offices;</w:t>
      </w:r>
    </w:p>
    <w:p w14:paraId="472CDC97" w14:textId="77777777" w:rsidR="009601AE" w:rsidRDefault="009601AE" w:rsidP="009E3730">
      <w:pPr>
        <w:widowControl w:val="0"/>
        <w:numPr>
          <w:ilvl w:val="0"/>
          <w:numId w:val="2"/>
        </w:numPr>
        <w:suppressAutoHyphens/>
        <w:autoSpaceDE w:val="0"/>
        <w:autoSpaceDN w:val="0"/>
        <w:ind w:left="714" w:hanging="357"/>
        <w:rPr>
          <w:lang w:eastAsia="en-GB"/>
        </w:rPr>
      </w:pPr>
      <w:r>
        <w:rPr>
          <w:lang w:eastAsia="en-GB"/>
        </w:rPr>
        <w:t>LMIS Annual Reports; and</w:t>
      </w:r>
    </w:p>
    <w:p w14:paraId="1F17674C" w14:textId="77777777" w:rsidR="009601AE" w:rsidRDefault="009601AE" w:rsidP="009E3730">
      <w:pPr>
        <w:widowControl w:val="0"/>
        <w:numPr>
          <w:ilvl w:val="0"/>
          <w:numId w:val="2"/>
        </w:numPr>
        <w:suppressAutoHyphens/>
        <w:autoSpaceDE w:val="0"/>
        <w:autoSpaceDN w:val="0"/>
        <w:ind w:left="714" w:hanging="357"/>
        <w:rPr>
          <w:lang w:eastAsia="en-GB"/>
        </w:rPr>
      </w:pPr>
      <w:r>
        <w:rPr>
          <w:lang w:eastAsia="en-GB"/>
        </w:rPr>
        <w:t>Annual Labour Market Report.</w:t>
      </w:r>
    </w:p>
    <w:p w14:paraId="5FE28B4D" w14:textId="77777777" w:rsidR="009601AE" w:rsidRDefault="009601AE" w:rsidP="009E3730">
      <w:pPr>
        <w:widowControl w:val="0"/>
        <w:suppressAutoHyphens/>
      </w:pPr>
    </w:p>
    <w:p w14:paraId="1106E7C3" w14:textId="4FC35713" w:rsidR="009601AE" w:rsidRDefault="009601AE" w:rsidP="009E3730">
      <w:pPr>
        <w:widowControl w:val="0"/>
        <w:suppressAutoHyphens/>
        <w:rPr>
          <w:b/>
          <w:bCs/>
        </w:rPr>
      </w:pPr>
      <w:r>
        <w:rPr>
          <w:b/>
          <w:bCs/>
          <w:u w:val="single"/>
        </w:rPr>
        <w:t>Review Assessment</w:t>
      </w:r>
      <w:r>
        <w:rPr>
          <w:b/>
          <w:bCs/>
        </w:rPr>
        <w:t>: fulfil</w:t>
      </w:r>
      <w:r w:rsidR="005F1696">
        <w:rPr>
          <w:b/>
          <w:bCs/>
        </w:rPr>
        <w:t>led</w:t>
      </w:r>
      <w:r>
        <w:rPr>
          <w:b/>
          <w:bCs/>
        </w:rPr>
        <w:t>.</w:t>
      </w:r>
    </w:p>
    <w:p w14:paraId="10C09BAE" w14:textId="77777777" w:rsidR="009601AE" w:rsidRPr="00AA4BC7" w:rsidRDefault="009601AE" w:rsidP="009E3730">
      <w:pPr>
        <w:widowControl w:val="0"/>
        <w:suppressAutoHyphens/>
      </w:pPr>
    </w:p>
    <w:p w14:paraId="48210A13" w14:textId="071EF5AA" w:rsidR="009601AE" w:rsidRPr="004E11C7" w:rsidRDefault="009601AE" w:rsidP="009E3730">
      <w:pPr>
        <w:widowControl w:val="0"/>
        <w:suppressAutoHyphens/>
      </w:pPr>
      <w:r>
        <w:t>The</w:t>
      </w:r>
      <w:r w:rsidRPr="004E11C7">
        <w:t xml:space="preserve"> </w:t>
      </w:r>
      <w:r>
        <w:t xml:space="preserve">ESS in Georgia is the primary embodiment of the Government's decision to introduce active labour market policies (ALMP), though support for a labour market responsive VET system is another. The primary objective </w:t>
      </w:r>
      <w:r w:rsidRPr="004E11C7">
        <w:t xml:space="preserve">of the ESS </w:t>
      </w:r>
      <w:r>
        <w:t xml:space="preserve">is to marry employment opportunities (job vacancies) with suitably qualified jobseekers, whether unemployed or employed but interested in career development. The central feature of ESS operations </w:t>
      </w:r>
      <w:r w:rsidRPr="004E11C7">
        <w:t>over the last couple of years has been the establishment of a website to support jobseekers (both employed and unemployed) find employment. The database includes registered jobseekers and vacancies posted by employers and has been progressively used by the ESS to</w:t>
      </w:r>
      <w:r>
        <w:t xml:space="preserve"> assist both job</w:t>
      </w:r>
      <w:r w:rsidRPr="004E11C7">
        <w:t>seekers to identify relevant employment opportunities and employers to find job-seekers with relevant skills and experience. The existence of the website (</w:t>
      </w:r>
      <w:r w:rsidRPr="004E11C7">
        <w:rPr>
          <w:rStyle w:val="Hyperlink"/>
        </w:rPr>
        <w:t>www.worknet.gov.ge</w:t>
      </w:r>
      <w:r w:rsidRPr="004E11C7">
        <w:t>) appears to be already widely known, as evidenced during the survey</w:t>
      </w:r>
      <w:r w:rsidR="00E75FBF">
        <w:t>s</w:t>
      </w:r>
      <w:r w:rsidRPr="004E11C7">
        <w:t xml:space="preserve"> of employers conducted in </w:t>
      </w:r>
      <w:r w:rsidR="00E75FBF">
        <w:t>2015 (see</w:t>
      </w:r>
      <w:r w:rsidRPr="004E11C7">
        <w:t xml:space="preserve"> </w:t>
      </w:r>
      <w:r>
        <w:t xml:space="preserve">Third Instalment </w:t>
      </w:r>
      <w:r w:rsidR="00E75FBF">
        <w:t xml:space="preserve">Aide Memoire </w:t>
      </w:r>
      <w:r w:rsidRPr="004E11C7">
        <w:t>Specific Condition 3.2, Indicator 3.2.2</w:t>
      </w:r>
      <w:r w:rsidR="00E75FBF">
        <w:t>)</w:t>
      </w:r>
      <w:r w:rsidRPr="004E11C7">
        <w:t xml:space="preserve"> </w:t>
      </w:r>
      <w:r>
        <w:t xml:space="preserve">and </w:t>
      </w:r>
      <w:r w:rsidR="00E75FBF">
        <w:t xml:space="preserve">2016 (see </w:t>
      </w:r>
      <w:r>
        <w:t xml:space="preserve">Fourth Instalment Specific Condition 3.2, Indicator 3.2.2 </w:t>
      </w:r>
      <w:r w:rsidRPr="004E11C7">
        <w:t>below)</w:t>
      </w:r>
      <w:r>
        <w:rPr>
          <w:rStyle w:val="FootnoteReference"/>
        </w:rPr>
        <w:footnoteReference w:id="39"/>
      </w:r>
      <w:r>
        <w:t>. Evidence provided by SSA suggests a significant expansion in 2016 in both the number of active jobseekers and the inclusion of employer vacancies</w:t>
      </w:r>
      <w:r w:rsidRPr="004E11C7">
        <w:t xml:space="preserve">, </w:t>
      </w:r>
      <w:r>
        <w:t xml:space="preserve">with an increase in job placements, </w:t>
      </w:r>
      <w:r w:rsidRPr="004E11C7">
        <w:t>supported by job fora held in a number of cities, the active encouragement of employer participation by ESS officers in SSA offices</w:t>
      </w:r>
      <w:r>
        <w:t>, and effective linking of employers and jobseekers through the activities of the ESS at both central and regional level</w:t>
      </w:r>
      <w:r w:rsidRPr="004E11C7">
        <w:t>.</w:t>
      </w:r>
    </w:p>
    <w:p w14:paraId="368C46A8" w14:textId="77777777" w:rsidR="009601AE" w:rsidRPr="00AA4BC7" w:rsidRDefault="009601AE" w:rsidP="009E3730">
      <w:pPr>
        <w:widowControl w:val="0"/>
        <w:suppressAutoHyphens/>
      </w:pPr>
    </w:p>
    <w:p w14:paraId="3E7F6702" w14:textId="4D6E5E77" w:rsidR="009601AE" w:rsidRPr="00AA4BC7" w:rsidRDefault="009601AE" w:rsidP="009E3730">
      <w:pPr>
        <w:widowControl w:val="0"/>
        <w:suppressAutoHyphens/>
      </w:pPr>
      <w:r w:rsidRPr="00AA4BC7">
        <w:t>The operation of ESS assumes the delivery of services necessary for the effective implementation of L</w:t>
      </w:r>
      <w:r>
        <w:t xml:space="preserve">abour </w:t>
      </w:r>
      <w:r w:rsidRPr="00AA4BC7">
        <w:t>M</w:t>
      </w:r>
      <w:r>
        <w:t>arket</w:t>
      </w:r>
      <w:r w:rsidRPr="00AA4BC7">
        <w:t xml:space="preserve"> policies, </w:t>
      </w:r>
      <w:r>
        <w:t>including both</w:t>
      </w:r>
      <w:r w:rsidRPr="00AA4BC7">
        <w:t xml:space="preserve"> direct and indirect services of </w:t>
      </w:r>
      <w:r>
        <w:t>a</w:t>
      </w:r>
      <w:r w:rsidRPr="00AA4BC7">
        <w:t xml:space="preserve"> Public Employment Service </w:t>
      </w:r>
      <w:r>
        <w:t>(PES) to support</w:t>
      </w:r>
      <w:r w:rsidRPr="00AA4BC7">
        <w:t xml:space="preserve"> jobseekers. </w:t>
      </w:r>
      <w:r>
        <w:t xml:space="preserve">Although </w:t>
      </w:r>
      <w:r w:rsidRPr="00AA4BC7">
        <w:t xml:space="preserve">unemployment insurance </w:t>
      </w:r>
      <w:r w:rsidRPr="00AA4BC7">
        <w:lastRenderedPageBreak/>
        <w:t xml:space="preserve">schemes usually </w:t>
      </w:r>
      <w:r>
        <w:t xml:space="preserve">associated with </w:t>
      </w:r>
      <w:r w:rsidRPr="00AA4BC7">
        <w:t xml:space="preserve">PES tasks </w:t>
      </w:r>
      <w:r>
        <w:t xml:space="preserve">are currently absent from </w:t>
      </w:r>
      <w:r w:rsidRPr="00AA4BC7">
        <w:t xml:space="preserve">Georgia, measures for the unemployed and </w:t>
      </w:r>
      <w:r>
        <w:t xml:space="preserve">other </w:t>
      </w:r>
      <w:r w:rsidRPr="00AA4BC7">
        <w:t xml:space="preserve">jobseekers include: </w:t>
      </w:r>
      <w:r>
        <w:t xml:space="preserve">the </w:t>
      </w:r>
      <w:r w:rsidRPr="00AA4BC7">
        <w:t>LMIS</w:t>
      </w:r>
      <w:r w:rsidR="00E75FBF">
        <w:t xml:space="preserve"> (see Indicator 1.1.1)</w:t>
      </w:r>
      <w:r w:rsidRPr="00AA4BC7">
        <w:t>, career guidance</w:t>
      </w:r>
      <w:r w:rsidR="00E75FBF">
        <w:t xml:space="preserve"> (see Indicator 3.1.1)</w:t>
      </w:r>
      <w:r w:rsidRPr="00AA4BC7">
        <w:t xml:space="preserve">, diversified categories of training, job rotation and job sharing, a range of incentives for employment and self-employment creation schemes and other supported employment and rehabilitation schemes. </w:t>
      </w:r>
      <w:r w:rsidR="002F01AA">
        <w:t>Other job recruitment websites c</w:t>
      </w:r>
      <w:r w:rsidR="00E75FBF">
        <w:t xml:space="preserve">omplementary to </w:t>
      </w:r>
      <w:r w:rsidR="008B79DD" w:rsidRPr="002B46C1">
        <w:rPr>
          <w:i/>
          <w:color w:val="17365D" w:themeColor="text2" w:themeShade="BF"/>
          <w:sz w:val="20"/>
          <w:szCs w:val="20"/>
        </w:rPr>
        <w:t>Worknet.ge</w:t>
      </w:r>
      <w:r w:rsidR="00E75FBF" w:rsidRPr="002B46C1">
        <w:rPr>
          <w:color w:val="17365D" w:themeColor="text2" w:themeShade="BF"/>
        </w:rPr>
        <w:t xml:space="preserve"> </w:t>
      </w:r>
      <w:r w:rsidR="002F01AA">
        <w:t>include</w:t>
      </w:r>
      <w:r w:rsidR="00E75FBF">
        <w:t xml:space="preserve"> </w:t>
      </w:r>
      <w:r w:rsidR="008B79DD" w:rsidRPr="002B46C1">
        <w:rPr>
          <w:i/>
          <w:color w:val="17365D" w:themeColor="text2" w:themeShade="BF"/>
          <w:sz w:val="20"/>
          <w:szCs w:val="20"/>
        </w:rPr>
        <w:t>Myprofession.ge</w:t>
      </w:r>
      <w:r w:rsidR="00E75FBF" w:rsidRPr="002B46C1">
        <w:rPr>
          <w:color w:val="17365D" w:themeColor="text2" w:themeShade="BF"/>
          <w:sz w:val="20"/>
          <w:szCs w:val="20"/>
        </w:rPr>
        <w:t xml:space="preserve"> </w:t>
      </w:r>
      <w:r w:rsidR="00E75FBF">
        <w:t>managed by the Ministry of Sports and Youth Affairs</w:t>
      </w:r>
      <w:r w:rsidR="002F01AA">
        <w:t xml:space="preserve">, </w:t>
      </w:r>
      <w:r w:rsidR="008529A6" w:rsidRPr="002B46C1">
        <w:rPr>
          <w:i/>
          <w:color w:val="17365D" w:themeColor="text2" w:themeShade="BF"/>
          <w:sz w:val="20"/>
          <w:szCs w:val="20"/>
        </w:rPr>
        <w:t>HR</w:t>
      </w:r>
      <w:r w:rsidR="002F01AA" w:rsidRPr="002B46C1">
        <w:rPr>
          <w:i/>
          <w:color w:val="17365D" w:themeColor="text2" w:themeShade="BF"/>
          <w:sz w:val="20"/>
          <w:szCs w:val="20"/>
        </w:rPr>
        <w:t>.ge</w:t>
      </w:r>
      <w:r w:rsidR="002F01AA" w:rsidRPr="002B46C1">
        <w:rPr>
          <w:color w:val="17365D" w:themeColor="text2" w:themeShade="BF"/>
          <w:sz w:val="20"/>
          <w:szCs w:val="20"/>
        </w:rPr>
        <w:t xml:space="preserve"> </w:t>
      </w:r>
      <w:r w:rsidR="002F01AA">
        <w:t xml:space="preserve">that provides a platform for public service jobs, and private sites, the most notable of which appears to be </w:t>
      </w:r>
      <w:r w:rsidR="002F01AA" w:rsidRPr="002B46C1">
        <w:rPr>
          <w:i/>
          <w:color w:val="17365D" w:themeColor="text2" w:themeShade="BF"/>
          <w:sz w:val="20"/>
          <w:szCs w:val="20"/>
        </w:rPr>
        <w:t>jobs.ge</w:t>
      </w:r>
      <w:r w:rsidR="002F01AA">
        <w:t>. All three state supported sites (</w:t>
      </w:r>
      <w:r w:rsidR="008B79DD" w:rsidRPr="002B46C1">
        <w:rPr>
          <w:i/>
          <w:color w:val="17365D" w:themeColor="text2" w:themeShade="BF"/>
          <w:sz w:val="20"/>
          <w:szCs w:val="20"/>
        </w:rPr>
        <w:t>Worknet.ge</w:t>
      </w:r>
      <w:r w:rsidR="002F01AA">
        <w:t xml:space="preserve">; </w:t>
      </w:r>
      <w:r w:rsidR="008B79DD" w:rsidRPr="002B46C1">
        <w:rPr>
          <w:i/>
          <w:color w:val="17365D" w:themeColor="text2" w:themeShade="BF"/>
          <w:sz w:val="20"/>
          <w:szCs w:val="20"/>
        </w:rPr>
        <w:t>Myprofession.ge</w:t>
      </w:r>
      <w:r w:rsidR="002F01AA">
        <w:t xml:space="preserve">, and </w:t>
      </w:r>
      <w:r w:rsidR="008529A6" w:rsidRPr="002B46C1">
        <w:rPr>
          <w:i/>
          <w:color w:val="17365D" w:themeColor="text2" w:themeShade="BF"/>
          <w:sz w:val="20"/>
          <w:szCs w:val="20"/>
        </w:rPr>
        <w:t>HR</w:t>
      </w:r>
      <w:r w:rsidR="002F01AA" w:rsidRPr="002B46C1">
        <w:rPr>
          <w:i/>
          <w:color w:val="17365D" w:themeColor="text2" w:themeShade="BF"/>
          <w:sz w:val="20"/>
          <w:szCs w:val="20"/>
        </w:rPr>
        <w:t>.ge</w:t>
      </w:r>
      <w:r w:rsidR="002F01AA">
        <w:t>) have links in the LMIS.</w:t>
      </w:r>
    </w:p>
    <w:p w14:paraId="389F989C" w14:textId="77777777" w:rsidR="009601AE" w:rsidRPr="00AA4BC7" w:rsidRDefault="009601AE" w:rsidP="009E3730">
      <w:pPr>
        <w:widowControl w:val="0"/>
        <w:suppressAutoHyphens/>
      </w:pPr>
    </w:p>
    <w:p w14:paraId="5DAE6D31" w14:textId="77777777" w:rsidR="009601AE" w:rsidRDefault="009601AE" w:rsidP="009E3730">
      <w:pPr>
        <w:widowControl w:val="0"/>
        <w:suppressAutoHyphens/>
      </w:pPr>
      <w:r w:rsidRPr="00AA4BC7">
        <w:t>Activities to increas</w:t>
      </w:r>
      <w:r>
        <w:t>e</w:t>
      </w:r>
      <w:r w:rsidRPr="00AA4BC7">
        <w:t xml:space="preserve"> the capacity of ESS staff during </w:t>
      </w:r>
      <w:r>
        <w:t xml:space="preserve">2016 include </w:t>
      </w:r>
      <w:r w:rsidRPr="00AA4BC7">
        <w:t>the support offered by the EU Twinning project “Capacity building of the ESS in Georgia”. Th</w:t>
      </w:r>
      <w:r>
        <w:t>is includes</w:t>
      </w:r>
    </w:p>
    <w:p w14:paraId="079FC673" w14:textId="77777777" w:rsidR="009601AE" w:rsidRPr="00AA4BC7" w:rsidRDefault="009601AE" w:rsidP="009E3730">
      <w:pPr>
        <w:widowControl w:val="0"/>
        <w:suppressAutoHyphens/>
      </w:pPr>
    </w:p>
    <w:p w14:paraId="178CCE7F" w14:textId="77777777" w:rsidR="009601AE" w:rsidRPr="00AA4BC7" w:rsidRDefault="009601AE" w:rsidP="007C295F">
      <w:pPr>
        <w:widowControl w:val="0"/>
        <w:numPr>
          <w:ilvl w:val="0"/>
          <w:numId w:val="17"/>
        </w:numPr>
        <w:suppressAutoHyphens/>
        <w:autoSpaceDE w:val="0"/>
        <w:autoSpaceDN w:val="0"/>
      </w:pPr>
      <w:r>
        <w:t>a</w:t>
      </w:r>
      <w:r w:rsidRPr="00AA4BC7">
        <w:t xml:space="preserve"> training manual for the “new service model”, describ</w:t>
      </w:r>
      <w:r>
        <w:t>ing</w:t>
      </w:r>
      <w:r w:rsidRPr="00AA4BC7">
        <w:t xml:space="preserve"> how to work with employers</w:t>
      </w:r>
      <w:r>
        <w:t>,</w:t>
      </w:r>
      <w:r w:rsidRPr="00AA4BC7">
        <w:t xml:space="preserve"> the job profile of the job agents</w:t>
      </w:r>
      <w:r>
        <w:t>,</w:t>
      </w:r>
      <w:r w:rsidRPr="00AA4BC7">
        <w:t xml:space="preserve"> the role and tasks of employment counsellors</w:t>
      </w:r>
      <w:r>
        <w:t>,</w:t>
      </w:r>
      <w:r w:rsidRPr="00AA4BC7">
        <w:t xml:space="preserve"> and group vocational guidance</w:t>
      </w:r>
      <w:r>
        <w:t xml:space="preserve"> </w:t>
      </w:r>
      <w:r w:rsidRPr="00AA4BC7">
        <w:t>to develop jobseeking skills</w:t>
      </w:r>
      <w:r>
        <w:t>;</w:t>
      </w:r>
      <w:r w:rsidRPr="00AA4BC7">
        <w:t xml:space="preserve"> </w:t>
      </w:r>
    </w:p>
    <w:p w14:paraId="0FDA91C4" w14:textId="77777777" w:rsidR="009601AE" w:rsidRPr="00AA4BC7" w:rsidRDefault="009601AE" w:rsidP="007C295F">
      <w:pPr>
        <w:widowControl w:val="0"/>
        <w:numPr>
          <w:ilvl w:val="0"/>
          <w:numId w:val="17"/>
        </w:numPr>
        <w:suppressAutoHyphens/>
        <w:autoSpaceDE w:val="0"/>
        <w:autoSpaceDN w:val="0"/>
      </w:pPr>
      <w:r>
        <w:t>t</w:t>
      </w:r>
      <w:r w:rsidRPr="00AA4BC7">
        <w:t xml:space="preserve">he delivery of training </w:t>
      </w:r>
      <w:r>
        <w:t xml:space="preserve">on the matters covered by the manual </w:t>
      </w:r>
      <w:r w:rsidRPr="00AA4BC7">
        <w:t xml:space="preserve">to </w:t>
      </w:r>
      <w:r>
        <w:t>14 ESS internal trainers; and</w:t>
      </w:r>
    </w:p>
    <w:p w14:paraId="4F16C573" w14:textId="77777777" w:rsidR="009601AE" w:rsidRPr="00AA4BC7" w:rsidRDefault="009601AE" w:rsidP="007C295F">
      <w:pPr>
        <w:widowControl w:val="0"/>
        <w:numPr>
          <w:ilvl w:val="0"/>
          <w:numId w:val="17"/>
        </w:numPr>
        <w:suppressAutoHyphens/>
        <w:autoSpaceDE w:val="0"/>
        <w:autoSpaceDN w:val="0"/>
      </w:pPr>
      <w:r>
        <w:t>t</w:t>
      </w:r>
      <w:r w:rsidRPr="00AA4BC7">
        <w:t>he provision of continuous methodological support to t</w:t>
      </w:r>
      <w:r>
        <w:t xml:space="preserve">he ESS working with </w:t>
      </w:r>
      <w:r w:rsidRPr="00AA4BC7">
        <w:t>employers and jobseekers during the piloting phase of th</w:t>
      </w:r>
      <w:r>
        <w:t>e</w:t>
      </w:r>
      <w:r w:rsidRPr="00AA4BC7">
        <w:t xml:space="preserve"> new model </w:t>
      </w:r>
      <w:r>
        <w:t xml:space="preserve">over </w:t>
      </w:r>
      <w:r w:rsidRPr="00AA4BC7">
        <w:t>August</w:t>
      </w:r>
      <w:r>
        <w:t xml:space="preserve"> to </w:t>
      </w:r>
      <w:r w:rsidRPr="00AA4BC7">
        <w:t>October 2016.</w:t>
      </w:r>
    </w:p>
    <w:p w14:paraId="37A19DED" w14:textId="77777777" w:rsidR="009601AE" w:rsidRDefault="009601AE" w:rsidP="009E3730">
      <w:pPr>
        <w:widowControl w:val="0"/>
        <w:suppressAutoHyphens/>
      </w:pPr>
    </w:p>
    <w:p w14:paraId="4FA3BC2F" w14:textId="4A3C8178" w:rsidR="002F01AA" w:rsidRDefault="002F01AA" w:rsidP="009E3730">
      <w:pPr>
        <w:widowControl w:val="0"/>
        <w:suppressAutoHyphens/>
      </w:pPr>
      <w:r>
        <w:t>A major element of support through the Twinning Project has been the piloting of a 'New Service Model' (NSM) in two SSA districts in Tbilisi, Vake-Saburtalo and Didube-Chugureti, over June to December 2016. An evaluation of the pilot programme was produced on the 16th December 2016. Six job agents in the SSA/ESS office interacted with employers</w:t>
      </w:r>
      <w:r w:rsidR="008529A6">
        <w:t xml:space="preserve"> to gain and process vacancy information, while three employment counsellors were stationed in each district office to interact with jobseekers. Another six central office staff included coordination of the pilot among their other duties. The evaluation report points to the significant impact of the pilot relative to the continuance of normal activities elsewhere in Georgia: 155 of 179 employers newly registered with WorkNet over the period of the pilot were in the pilot districts; 1411 of 2434 new vacancies were in the pilot districts (although </w:t>
      </w:r>
      <w:r w:rsidR="00220CDC">
        <w:t xml:space="preserve">apart from the </w:t>
      </w:r>
      <w:r w:rsidR="008529A6">
        <w:t>pilot</w:t>
      </w:r>
      <w:r w:rsidR="00220CDC">
        <w:t>,</w:t>
      </w:r>
      <w:r w:rsidR="008529A6">
        <w:t xml:space="preserve"> </w:t>
      </w:r>
      <w:r w:rsidR="00220CDC">
        <w:t xml:space="preserve">500 other </w:t>
      </w:r>
      <w:r w:rsidR="008529A6">
        <w:t xml:space="preserve">vacancies </w:t>
      </w:r>
      <w:r w:rsidR="00220CDC">
        <w:t xml:space="preserve">were also registered </w:t>
      </w:r>
      <w:r w:rsidR="008529A6">
        <w:t>in Tbilisi</w:t>
      </w:r>
      <w:r w:rsidR="00220CDC">
        <w:t>); 49 of 114 placements made during the period were in the pilot districts</w:t>
      </w:r>
      <w:r w:rsidR="00DB36B7">
        <w:rPr>
          <w:rStyle w:val="FootnoteReference"/>
        </w:rPr>
        <w:footnoteReference w:id="40"/>
      </w:r>
      <w:r w:rsidR="00220CDC">
        <w:t>; and 1503 jobseekers requested assistance</w:t>
      </w:r>
      <w:r w:rsidR="00327B00">
        <w:t xml:space="preserve">; an additional 544 jobseekers registered in the pilot districts over the period, bringing the total to 5013, as against 5348 countrywide (of which 892 in </w:t>
      </w:r>
      <w:r w:rsidR="00DB36B7">
        <w:t xml:space="preserve">non-pilot </w:t>
      </w:r>
      <w:r w:rsidR="00327B00">
        <w:t xml:space="preserve">Tbilisi) bringing the total to 49182 (10512 in </w:t>
      </w:r>
      <w:r w:rsidR="00DB36B7">
        <w:t xml:space="preserve">non-pilot </w:t>
      </w:r>
      <w:r w:rsidR="00327B00">
        <w:t>Tbilisi).</w:t>
      </w:r>
      <w:r w:rsidR="00220CDC">
        <w:t xml:space="preserve"> </w:t>
      </w:r>
      <w:r w:rsidR="00327B00">
        <w:t xml:space="preserve">The focus of the pilot was on stimulating information about vacancies rather than generating jobseekers, since registration of vacancies by </w:t>
      </w:r>
      <w:r w:rsidR="008B79DD">
        <w:t>employers</w:t>
      </w:r>
      <w:r w:rsidR="00327B00">
        <w:t xml:space="preserve"> was identified during an earlier functional review to be th</w:t>
      </w:r>
      <w:r w:rsidR="00DB36B7">
        <w:t>e major weakness of the service</w:t>
      </w:r>
      <w:r w:rsidR="00327B00">
        <w:t xml:space="preserve">. </w:t>
      </w:r>
      <w:r w:rsidR="00254E7F">
        <w:t>The conclusion from the evaluation is that the NSM made a positive contribution and is worth extending to other districts. There were teething problems to address and roll-out would involve significant additional staff, and cost.</w:t>
      </w:r>
    </w:p>
    <w:p w14:paraId="577747D7" w14:textId="77777777" w:rsidR="002F01AA" w:rsidRPr="00AA4BC7" w:rsidRDefault="002F01AA" w:rsidP="009E3730">
      <w:pPr>
        <w:widowControl w:val="0"/>
        <w:suppressAutoHyphens/>
      </w:pPr>
    </w:p>
    <w:p w14:paraId="4E345C12" w14:textId="77777777" w:rsidR="009601AE" w:rsidRPr="00AA4BC7" w:rsidRDefault="009601AE" w:rsidP="009E3730">
      <w:pPr>
        <w:widowControl w:val="0"/>
        <w:suppressAutoHyphens/>
      </w:pPr>
      <w:r w:rsidRPr="00AA4BC7">
        <w:t xml:space="preserve">Significant </w:t>
      </w:r>
      <w:r>
        <w:t xml:space="preserve">for the development of employment services </w:t>
      </w:r>
      <w:r w:rsidRPr="00AA4BC7">
        <w:t xml:space="preserve">is the adoption of </w:t>
      </w:r>
      <w:r>
        <w:t>an</w:t>
      </w:r>
      <w:r w:rsidRPr="00AA4BC7">
        <w:t xml:space="preserve"> Employment Law that will </w:t>
      </w:r>
      <w:r>
        <w:t>provide</w:t>
      </w:r>
      <w:r w:rsidRPr="00AA4BC7">
        <w:t xml:space="preserve"> clear definition and regulation of ESS aims and consequently its effective operation. The </w:t>
      </w:r>
      <w:r>
        <w:t xml:space="preserve">fact that the </w:t>
      </w:r>
      <w:r w:rsidRPr="00AA4BC7">
        <w:t xml:space="preserve">law </w:t>
      </w:r>
      <w:r>
        <w:t xml:space="preserve">is </w:t>
      </w:r>
      <w:r w:rsidRPr="00AA4BC7">
        <w:t xml:space="preserve">still in its drafting phase </w:t>
      </w:r>
      <w:r>
        <w:t xml:space="preserve">raises </w:t>
      </w:r>
      <w:r w:rsidRPr="00AA4BC7">
        <w:t>doubt</w:t>
      </w:r>
      <w:r>
        <w:t>s over commitments to</w:t>
      </w:r>
      <w:r w:rsidRPr="00AA4BC7">
        <w:t xml:space="preserve"> the modernisation and sustainability of the ESS structure and the implementation of the agreed state employment policy and the implied ALMM. </w:t>
      </w:r>
      <w:r>
        <w:t>T</w:t>
      </w:r>
      <w:r w:rsidRPr="00AA4BC7">
        <w:t xml:space="preserve">he law </w:t>
      </w:r>
      <w:r>
        <w:t>is would be expected to</w:t>
      </w:r>
      <w:r w:rsidRPr="00AA4BC7">
        <w:t xml:space="preserve"> </w:t>
      </w:r>
      <w:r>
        <w:t>bring coherence to</w:t>
      </w:r>
      <w:r w:rsidRPr="00AA4BC7">
        <w:t xml:space="preserve"> </w:t>
      </w:r>
      <w:r>
        <w:t>labour market</w:t>
      </w:r>
      <w:r w:rsidRPr="00AA4BC7">
        <w:t xml:space="preserve"> </w:t>
      </w:r>
      <w:r>
        <w:t xml:space="preserve">issues </w:t>
      </w:r>
      <w:r w:rsidRPr="00AA4BC7">
        <w:t xml:space="preserve">and </w:t>
      </w:r>
      <w:r>
        <w:t xml:space="preserve">provide the basis for </w:t>
      </w:r>
      <w:r w:rsidRPr="00AA4BC7">
        <w:t>a handbook for practitioners in the labour market policies (</w:t>
      </w:r>
      <w:r>
        <w:t>including the</w:t>
      </w:r>
      <w:r w:rsidRPr="00AA4BC7">
        <w:t xml:space="preserve"> “new service model”, </w:t>
      </w:r>
      <w:r>
        <w:t xml:space="preserve">and </w:t>
      </w:r>
      <w:r w:rsidRPr="00AA4BC7">
        <w:t>career guidance for adults</w:t>
      </w:r>
      <w:r>
        <w:t>)</w:t>
      </w:r>
      <w:r w:rsidRPr="00AA4BC7">
        <w:t xml:space="preserve">. </w:t>
      </w:r>
    </w:p>
    <w:p w14:paraId="49BD099C" w14:textId="77777777" w:rsidR="009601AE" w:rsidRDefault="009601AE" w:rsidP="009E3730">
      <w:pPr>
        <w:widowControl w:val="0"/>
        <w:suppressAutoHyphens/>
      </w:pPr>
    </w:p>
    <w:p w14:paraId="2DA9EA4B" w14:textId="2A81B7AB" w:rsidR="00254E7F" w:rsidRDefault="000E7E3A" w:rsidP="009E3730">
      <w:pPr>
        <w:widowControl w:val="0"/>
        <w:suppressAutoHyphens/>
      </w:pPr>
      <w:r>
        <w:lastRenderedPageBreak/>
        <w:t>SSA pro</w:t>
      </w:r>
      <w:r w:rsidR="00E75D1F">
        <w:t>vided MoLHSA on February 17th with</w:t>
      </w:r>
      <w:r>
        <w:t xml:space="preserve"> a </w:t>
      </w:r>
      <w:r w:rsidR="00096606">
        <w:t xml:space="preserve">three-part </w:t>
      </w:r>
      <w:r w:rsidR="009E3730">
        <w:t>'</w:t>
      </w:r>
      <w:r w:rsidR="009E3730" w:rsidRPr="009E3730">
        <w:rPr>
          <w:i/>
        </w:rPr>
        <w:t>R</w:t>
      </w:r>
      <w:r w:rsidRPr="009E3730">
        <w:rPr>
          <w:i/>
        </w:rPr>
        <w:t xml:space="preserve">eport on the </w:t>
      </w:r>
      <w:r w:rsidR="009E3730" w:rsidRPr="009E3730">
        <w:rPr>
          <w:i/>
        </w:rPr>
        <w:t>Function</w:t>
      </w:r>
      <w:r w:rsidRPr="009E3730">
        <w:rPr>
          <w:i/>
        </w:rPr>
        <w:t>ing of E</w:t>
      </w:r>
      <w:r w:rsidR="009E3730" w:rsidRPr="009E3730">
        <w:rPr>
          <w:i/>
        </w:rPr>
        <w:t>mployment Support Services'</w:t>
      </w:r>
      <w:r w:rsidR="009E3730">
        <w:t xml:space="preserve"> </w:t>
      </w:r>
      <w:r w:rsidR="00096606">
        <w:t xml:space="preserve">covering </w:t>
      </w:r>
      <w:r w:rsidR="00B043FF">
        <w:t xml:space="preserve">ESS activities in connection with </w:t>
      </w:r>
      <w:r w:rsidR="00096606">
        <w:t>implementation</w:t>
      </w:r>
      <w:r w:rsidR="009E3730">
        <w:t xml:space="preserve"> of </w:t>
      </w:r>
      <w:r w:rsidR="00DB06D2">
        <w:t xml:space="preserve">the </w:t>
      </w:r>
      <w:r w:rsidR="009E3730">
        <w:t>'</w:t>
      </w:r>
      <w:r w:rsidR="009E3730" w:rsidRPr="009E3730">
        <w:rPr>
          <w:i/>
        </w:rPr>
        <w:t>Employment Support Services Development State Programme'</w:t>
      </w:r>
      <w:r w:rsidR="009E3730">
        <w:t xml:space="preserve">, approved by Government Resolution No.333 of </w:t>
      </w:r>
      <w:r w:rsidR="00DB06D2">
        <w:t xml:space="preserve">18th July 2016, </w:t>
      </w:r>
      <w:r w:rsidR="00096606">
        <w:t>implementation of</w:t>
      </w:r>
      <w:r w:rsidR="00DB06D2">
        <w:t xml:space="preserve"> the </w:t>
      </w:r>
      <w:r w:rsidR="00096606">
        <w:t>'</w:t>
      </w:r>
      <w:r w:rsidR="00DB06D2" w:rsidRPr="00096606">
        <w:rPr>
          <w:i/>
        </w:rPr>
        <w:t>Jobseekers' Vocational Training and Quality Enhancement State Programme</w:t>
      </w:r>
      <w:r w:rsidR="00DB06D2">
        <w:t>', approved by Government Resolution No.238 of 2nd June 2016</w:t>
      </w:r>
      <w:r w:rsidR="00096606">
        <w:t>, and '</w:t>
      </w:r>
      <w:r w:rsidR="00096606" w:rsidRPr="00096606">
        <w:rPr>
          <w:i/>
        </w:rPr>
        <w:t>Customer Feedback to Improve Employment Support Services</w:t>
      </w:r>
      <w:r w:rsidR="00096606">
        <w:t xml:space="preserve">'. </w:t>
      </w:r>
    </w:p>
    <w:p w14:paraId="6A8E19FB" w14:textId="0D812B18" w:rsidR="00254E7F" w:rsidRDefault="00254E7F" w:rsidP="009E3730">
      <w:pPr>
        <w:widowControl w:val="0"/>
        <w:suppressAutoHyphens/>
        <w:rPr>
          <w:lang w:eastAsia="en-GB"/>
        </w:rPr>
      </w:pPr>
    </w:p>
    <w:p w14:paraId="66E4A642" w14:textId="3C70C0B6" w:rsidR="00D767C7" w:rsidRDefault="00D767C7" w:rsidP="009E3730">
      <w:pPr>
        <w:widowControl w:val="0"/>
        <w:suppressAutoHyphens/>
      </w:pPr>
      <w:r>
        <w:rPr>
          <w:lang w:eastAsia="en-GB"/>
        </w:rPr>
        <w:t xml:space="preserve">On </w:t>
      </w:r>
      <w:r>
        <w:t>the '</w:t>
      </w:r>
      <w:r w:rsidRPr="009E3730">
        <w:rPr>
          <w:i/>
        </w:rPr>
        <w:t>Employment Support Services Development State Programme'</w:t>
      </w:r>
      <w:r>
        <w:t>, the report covers the development of the Labour Market Management System (</w:t>
      </w:r>
      <w:r w:rsidRPr="00D767C7">
        <w:rPr>
          <w:i/>
          <w:color w:val="17365D" w:themeColor="text2" w:themeShade="BF"/>
          <w:sz w:val="20"/>
          <w:szCs w:val="20"/>
        </w:rPr>
        <w:t>www.worknet.gov.ge</w:t>
      </w:r>
      <w:r>
        <w:t>),</w:t>
      </w:r>
      <w:r w:rsidR="00036E32">
        <w:t xml:space="preserve"> with the addition of modules in April 2016;</w:t>
      </w:r>
      <w:r>
        <w:t xml:space="preserve"> providing individual and group </w:t>
      </w:r>
      <w:r w:rsidR="008B79DD">
        <w:t>consultations</w:t>
      </w:r>
      <w:r>
        <w:t xml:space="preserve"> </w:t>
      </w:r>
      <w:r w:rsidR="00CB550D">
        <w:t xml:space="preserve">(covering 3072 and 1277 jobseekers respectively) </w:t>
      </w:r>
      <w:r>
        <w:t>at municipal level</w:t>
      </w:r>
      <w:r w:rsidR="00CB550D">
        <w:t>;</w:t>
      </w:r>
      <w:r>
        <w:t xml:space="preserve"> developing and providing mediation services</w:t>
      </w:r>
      <w:r w:rsidR="00CB550D">
        <w:t xml:space="preserve"> (related to 3980 job places from 597 employers, and referral of 2899 jobseekers);</w:t>
      </w:r>
      <w:r>
        <w:t xml:space="preserve"> creating and establishing employment and support mechanisms for marginalized and less competitive groups (including components related to </w:t>
      </w:r>
      <w:r w:rsidR="00B52B12">
        <w:t xml:space="preserve">payment of </w:t>
      </w:r>
      <w:r>
        <w:t xml:space="preserve">employment subsidies </w:t>
      </w:r>
      <w:r w:rsidR="00B52B12">
        <w:t>to 12 organizations providing jobs for 19 people with</w:t>
      </w:r>
      <w:r>
        <w:t xml:space="preserve"> disab</w:t>
      </w:r>
      <w:r w:rsidR="00B52B12">
        <w:t>ilities</w:t>
      </w:r>
      <w:r>
        <w:t xml:space="preserve"> and the establishment of </w:t>
      </w:r>
      <w:r w:rsidR="00B52B12">
        <w:t xml:space="preserve">a group of </w:t>
      </w:r>
      <w:r>
        <w:t xml:space="preserve">ten employment support </w:t>
      </w:r>
      <w:r w:rsidR="00B52B12">
        <w:t>consultants (three in Tbilisi, two in Gori, and one in each of Batumi, Kutaisi, Telavi and Lanchkhuti) providing consultations for 78 people with disabilities</w:t>
      </w:r>
      <w:r w:rsidR="00036E32">
        <w:t>);</w:t>
      </w:r>
      <w:r w:rsidR="00B52B12">
        <w:t xml:space="preserve"> organizing </w:t>
      </w:r>
      <w:r w:rsidR="00036E32">
        <w:t>6</w:t>
      </w:r>
      <w:r w:rsidR="00B52B12">
        <w:t xml:space="preserve"> </w:t>
      </w:r>
      <w:r w:rsidR="00036E32">
        <w:t xml:space="preserve">general </w:t>
      </w:r>
      <w:r w:rsidR="00B52B12">
        <w:t>employment fora</w:t>
      </w:r>
      <w:r w:rsidR="00036E32">
        <w:t xml:space="preserve"> (Tbilisi (4), Gori, Zugdidi)</w:t>
      </w:r>
      <w:r w:rsidR="00B52B12">
        <w:t xml:space="preserve"> </w:t>
      </w:r>
      <w:r w:rsidR="00036E32">
        <w:t>and</w:t>
      </w:r>
      <w:r w:rsidR="00B52B12">
        <w:t xml:space="preserve"> four to promote employment for the disabled</w:t>
      </w:r>
      <w:r w:rsidR="00036E32">
        <w:t xml:space="preserve"> (Tbilisi, Batumi, Kutaisi, Telavi)</w:t>
      </w:r>
      <w:r w:rsidR="00B52B12">
        <w:t xml:space="preserve">, </w:t>
      </w:r>
      <w:r w:rsidR="00036E32">
        <w:t>aa a result of which 249 jobseekers found employment, including 34 people with disabilities;</w:t>
      </w:r>
      <w:r w:rsidR="00CB550D">
        <w:t xml:space="preserve"> qualitative research by regional offices to identify professions and skills in demand; organizing two training workshops for media professionals to raise awareness of SSA employment services; and organizing a conference </w:t>
      </w:r>
      <w:r w:rsidR="005F2A71">
        <w:t>with social partners on employment programmes.</w:t>
      </w:r>
    </w:p>
    <w:p w14:paraId="46E427D4" w14:textId="77777777" w:rsidR="00D767C7" w:rsidRDefault="00D767C7" w:rsidP="009E3730">
      <w:pPr>
        <w:widowControl w:val="0"/>
        <w:suppressAutoHyphens/>
      </w:pPr>
    </w:p>
    <w:p w14:paraId="590DCB54" w14:textId="0B78B06E" w:rsidR="00D767C7" w:rsidRDefault="00D767C7" w:rsidP="009E3730">
      <w:pPr>
        <w:widowControl w:val="0"/>
        <w:suppressAutoHyphens/>
      </w:pPr>
      <w:r>
        <w:t>On the '</w:t>
      </w:r>
      <w:r w:rsidRPr="00096606">
        <w:rPr>
          <w:i/>
        </w:rPr>
        <w:t>Jobseekers' Vocational Training and Quality Enhancement State Programme</w:t>
      </w:r>
      <w:r>
        <w:t xml:space="preserve">', </w:t>
      </w:r>
      <w:r w:rsidR="005F2A71">
        <w:t>for the seven months from June to December 2016, the ESS was involved in obtaining MoLHSA Orders on the professions, institutions, and voucher funding for participation of jobseekers in skills upgrading courses, disseminating information on, and directing jobseekers towards, VET programmes and short-term training courses</w:t>
      </w:r>
      <w:r w:rsidR="00107454">
        <w:t xml:space="preserve"> (in 14 municipalities across Georgia), providing vouchers for 2125 (1254 in Tbilisi) training in 35 professions. 1804 graduated (1029 in Tbilisi from 20 educational institutions, 775 in the municipalities from 18 educational institutions). The majority of graduates were in their 20s (</w:t>
      </w:r>
      <w:r w:rsidR="008036F0">
        <w:t xml:space="preserve">45%), 30s (25%) and 40s (20%) but other age groups also benefitted, and </w:t>
      </w:r>
      <w:r w:rsidR="00107454">
        <w:t>70% of graduates were female.</w:t>
      </w:r>
      <w:r w:rsidR="008036F0">
        <w:t xml:space="preserve"> The graduates included people with disabilities, IDPs, the socially vulnerable, probationers and ex-prisoners.</w:t>
      </w:r>
    </w:p>
    <w:p w14:paraId="4AD0BA8A" w14:textId="77777777" w:rsidR="00D767C7" w:rsidRDefault="00D767C7" w:rsidP="009E3730">
      <w:pPr>
        <w:widowControl w:val="0"/>
        <w:suppressAutoHyphens/>
      </w:pPr>
    </w:p>
    <w:p w14:paraId="6887B11C" w14:textId="14C78951" w:rsidR="00254E7F" w:rsidRDefault="00D767C7" w:rsidP="009E3730">
      <w:pPr>
        <w:widowControl w:val="0"/>
        <w:suppressAutoHyphens/>
        <w:rPr>
          <w:lang w:eastAsia="en-GB"/>
        </w:rPr>
      </w:pPr>
      <w:r>
        <w:t>On '</w:t>
      </w:r>
      <w:r w:rsidRPr="00096606">
        <w:rPr>
          <w:i/>
        </w:rPr>
        <w:t>Customer Feedback to Improve Employment Support Services</w:t>
      </w:r>
      <w:r>
        <w:t>'</w:t>
      </w:r>
      <w:r w:rsidR="00506823">
        <w:t xml:space="preserve">, the report provided feedback gathered through questionnaires and interview of </w:t>
      </w:r>
      <w:r w:rsidR="0040762B">
        <w:t xml:space="preserve">39 </w:t>
      </w:r>
      <w:r w:rsidR="00506823">
        <w:t>jobseekers at an employment forum in Tbilisi</w:t>
      </w:r>
      <w:r>
        <w:t xml:space="preserve"> </w:t>
      </w:r>
      <w:r w:rsidR="0040762B">
        <w:t xml:space="preserve">randomly selected from 905 participants, </w:t>
      </w:r>
      <w:r w:rsidR="00506823">
        <w:t xml:space="preserve">and </w:t>
      </w:r>
      <w:r w:rsidR="0040762B">
        <w:t xml:space="preserve">1054 jobseekers participating in </w:t>
      </w:r>
      <w:r w:rsidR="00506823">
        <w:t>group con</w:t>
      </w:r>
      <w:r w:rsidR="0040762B">
        <w:t>s</w:t>
      </w:r>
      <w:r w:rsidR="00506823">
        <w:t>ultations in Tbilisi</w:t>
      </w:r>
      <w:r w:rsidR="0040762B">
        <w:t xml:space="preserve"> and seven regions:</w:t>
      </w:r>
      <w:r w:rsidR="00506823">
        <w:t xml:space="preserve"> Guria, </w:t>
      </w:r>
      <w:r w:rsidR="0040762B">
        <w:t>I</w:t>
      </w:r>
      <w:r w:rsidR="00506823">
        <w:t>mereti</w:t>
      </w:r>
      <w:r w:rsidR="0040762B">
        <w:t>, Mtskheta-Mtianeti, Samegrelo-Zemo Svaneti, Samtskhe-Javakheti, Kvemo Kartli, and Shida Kartli</w:t>
      </w:r>
      <w:r w:rsidR="009177E0">
        <w:t xml:space="preserve"> (analysis and responses are provided as annexures to the report for each case)</w:t>
      </w:r>
      <w:r w:rsidR="0040762B">
        <w:t xml:space="preserve">. During the NSM pilot, feedback was also obtained from employers by telephone interview. </w:t>
      </w:r>
      <w:r w:rsidR="00C842EE">
        <w:t xml:space="preserve">Generally speaking feedback was very positive, but, for instance, highlighting the need for prior information about employers attending fora, </w:t>
      </w:r>
      <w:r w:rsidR="009177E0">
        <w:t>and the relevance of issues discussed during consultations. Plans are for a more formal, integrated feedback process to be built into ESS activities in future.</w:t>
      </w:r>
    </w:p>
    <w:p w14:paraId="38A273D6" w14:textId="77777777" w:rsidR="00254E7F" w:rsidRDefault="00254E7F" w:rsidP="009E3730">
      <w:pPr>
        <w:widowControl w:val="0"/>
        <w:suppressAutoHyphens/>
        <w:rPr>
          <w:lang w:eastAsia="en-GB"/>
        </w:rPr>
      </w:pPr>
    </w:p>
    <w:p w14:paraId="14977E38" w14:textId="1F25F052" w:rsidR="00E75FBF" w:rsidRDefault="002D059F" w:rsidP="009E3730">
      <w:pPr>
        <w:widowControl w:val="0"/>
        <w:suppressAutoHyphens/>
      </w:pPr>
      <w:r>
        <w:t>MoLHSA shared the report with stakeholders through the working group (whose members include the social partners), and NVETC and EVET Council meetings in March 2017.</w:t>
      </w:r>
    </w:p>
    <w:p w14:paraId="12D1E158" w14:textId="77777777" w:rsidR="00E75FBF" w:rsidRDefault="00E75FBF" w:rsidP="009E3730">
      <w:pPr>
        <w:widowControl w:val="0"/>
        <w:suppressAutoHyphens/>
      </w:pPr>
    </w:p>
    <w:p w14:paraId="7426952A" w14:textId="77777777" w:rsidR="009601AE" w:rsidRDefault="009601AE" w:rsidP="009E3730">
      <w:pPr>
        <w:pStyle w:val="Heading2"/>
        <w:widowControl w:val="0"/>
        <w:suppressAutoHyphens/>
      </w:pPr>
      <w:bookmarkStart w:id="52" w:name="_Toc404511344"/>
      <w:bookmarkStart w:id="53" w:name="_Toc413019051"/>
      <w:bookmarkStart w:id="54" w:name="_Toc486837764"/>
      <w:r>
        <w:t>b)</w:t>
      </w:r>
      <w:r>
        <w:tab/>
        <w:t xml:space="preserve">Component 2: </w:t>
      </w:r>
      <w:r>
        <w:rPr>
          <w:lang w:eastAsia="en-GB"/>
        </w:rPr>
        <w:t>Enhanced Quality and Relevance of VET System</w:t>
      </w:r>
      <w:r>
        <w:t>.</w:t>
      </w:r>
      <w:bookmarkEnd w:id="52"/>
      <w:bookmarkEnd w:id="53"/>
      <w:bookmarkEnd w:id="54"/>
    </w:p>
    <w:p w14:paraId="073550E4" w14:textId="77777777" w:rsidR="009601AE" w:rsidRDefault="009601AE" w:rsidP="009E3730">
      <w:pPr>
        <w:widowControl w:val="0"/>
        <w:suppressAutoHyphens/>
      </w:pPr>
    </w:p>
    <w:p w14:paraId="236CEC35" w14:textId="77777777" w:rsidR="009601AE" w:rsidRDefault="009601AE" w:rsidP="009E3730">
      <w:pPr>
        <w:widowControl w:val="0"/>
        <w:suppressAutoHyphens/>
      </w:pPr>
      <w:r>
        <w:t>Specific Objective 2: To enhance the quality and relevance of the VET system in a lifelong learning perspective in order to ensure  better synergy between the skills and qualifications offered  and the needs of the labour market.</w:t>
      </w:r>
    </w:p>
    <w:p w14:paraId="24AE7BA2" w14:textId="77777777" w:rsidR="009601AE" w:rsidRDefault="009601AE" w:rsidP="009E3730">
      <w:pPr>
        <w:widowControl w:val="0"/>
        <w:suppressAutoHyphens/>
      </w:pPr>
    </w:p>
    <w:p w14:paraId="54C9A92D" w14:textId="77777777" w:rsidR="009601AE" w:rsidRDefault="009601AE" w:rsidP="009E3730">
      <w:pPr>
        <w:pStyle w:val="Heading3"/>
        <w:widowControl w:val="0"/>
        <w:suppressAutoHyphens/>
      </w:pPr>
      <w:bookmarkStart w:id="55" w:name="_Toc404511345"/>
      <w:bookmarkStart w:id="56" w:name="_Toc413019052"/>
      <w:bookmarkStart w:id="57" w:name="_Toc486837765"/>
      <w:r>
        <w:t>i)</w:t>
      </w:r>
      <w:r>
        <w:tab/>
      </w:r>
      <w:r w:rsidRPr="005F1696">
        <w:rPr>
          <w:u w:val="single"/>
        </w:rPr>
        <w:t>Specific Condition 2.1</w:t>
      </w:r>
      <w:r>
        <w:t>:</w:t>
      </w:r>
      <w:r>
        <w:rPr>
          <w:lang w:eastAsia="en-GB"/>
        </w:rPr>
        <w:t xml:space="preserve"> Enhanced matching of skills provided by the VET system with the needs of the labour market.</w:t>
      </w:r>
      <w:bookmarkEnd w:id="55"/>
      <w:bookmarkEnd w:id="56"/>
      <w:bookmarkEnd w:id="57"/>
    </w:p>
    <w:p w14:paraId="576C0D72" w14:textId="77777777" w:rsidR="009601AE" w:rsidRDefault="009601AE" w:rsidP="009E3730">
      <w:pPr>
        <w:widowControl w:val="0"/>
        <w:suppressAutoHyphens/>
      </w:pPr>
    </w:p>
    <w:p w14:paraId="674CB00B" w14:textId="77777777" w:rsidR="009601AE" w:rsidRPr="006B1542" w:rsidRDefault="009601AE" w:rsidP="009E3730">
      <w:pPr>
        <w:widowControl w:val="0"/>
        <w:suppressAutoHyphens/>
      </w:pPr>
      <w:r w:rsidRPr="006B1542">
        <w:rPr>
          <w:bCs/>
        </w:rPr>
        <w:t>Potential value: €1.0mn.</w:t>
      </w:r>
    </w:p>
    <w:p w14:paraId="040A89D7" w14:textId="77777777" w:rsidR="009601AE" w:rsidRDefault="009601AE" w:rsidP="009E3730">
      <w:pPr>
        <w:widowControl w:val="0"/>
        <w:suppressAutoHyphens/>
      </w:pPr>
    </w:p>
    <w:p w14:paraId="2356A98A" w14:textId="69CDB9D5" w:rsidR="009601AE" w:rsidRDefault="009601AE" w:rsidP="009E3730">
      <w:pPr>
        <w:widowControl w:val="0"/>
        <w:suppressAutoHyphens/>
        <w:ind w:right="578"/>
        <w:rPr>
          <w:b/>
          <w:bCs/>
        </w:rPr>
      </w:pPr>
      <w:r>
        <w:rPr>
          <w:b/>
          <w:bCs/>
          <w:u w:val="single"/>
        </w:rPr>
        <w:t>Review Assessment</w:t>
      </w:r>
      <w:r>
        <w:rPr>
          <w:b/>
          <w:bCs/>
        </w:rPr>
        <w:t>: compliance.</w:t>
      </w:r>
    </w:p>
    <w:p w14:paraId="4EB2E1F5" w14:textId="77777777" w:rsidR="009601AE" w:rsidRDefault="009601AE" w:rsidP="009E3730">
      <w:pPr>
        <w:widowControl w:val="0"/>
        <w:suppressAutoHyphens/>
      </w:pPr>
    </w:p>
    <w:p w14:paraId="15078AC8" w14:textId="32251DD2" w:rsidR="005F1696" w:rsidRDefault="005F1696" w:rsidP="009E3730">
      <w:pPr>
        <w:widowControl w:val="0"/>
        <w:suppressAutoHyphens/>
      </w:pPr>
      <w:r>
        <w:t>Score: 1.00. Recommended disbursement: €1.0mn.</w:t>
      </w:r>
    </w:p>
    <w:p w14:paraId="5D63CF54" w14:textId="77777777" w:rsidR="005F1696" w:rsidRDefault="005F1696" w:rsidP="009E3730">
      <w:pPr>
        <w:widowControl w:val="0"/>
        <w:suppressAutoHyphens/>
      </w:pPr>
    </w:p>
    <w:p w14:paraId="3F935124" w14:textId="77777777" w:rsidR="009601AE" w:rsidRDefault="009601AE" w:rsidP="009E3730">
      <w:pPr>
        <w:widowControl w:val="0"/>
        <w:suppressAutoHyphens/>
        <w:rPr>
          <w:b/>
          <w:bCs/>
          <w:i/>
          <w:iCs/>
          <w:lang w:eastAsia="en-GB"/>
        </w:rPr>
      </w:pPr>
      <w:r>
        <w:rPr>
          <w:b/>
          <w:bCs/>
          <w:u w:val="single"/>
        </w:rPr>
        <w:t>Indicator 2.1.1</w:t>
      </w:r>
      <w:r>
        <w:rPr>
          <w:b/>
          <w:bCs/>
        </w:rPr>
        <w:t>:</w:t>
      </w:r>
      <w:r>
        <w:rPr>
          <w:b/>
          <w:bCs/>
          <w:lang w:eastAsia="en-GB"/>
        </w:rPr>
        <w:t xml:space="preserve"> </w:t>
      </w:r>
      <w:r w:rsidRPr="00B4738D">
        <w:rPr>
          <w:b/>
          <w:bCs/>
          <w:i/>
          <w:lang w:eastAsia="en-GB"/>
        </w:rPr>
        <w:t>T</w:t>
      </w:r>
      <w:r>
        <w:rPr>
          <w:b/>
          <w:bCs/>
          <w:i/>
          <w:iCs/>
          <w:lang w:eastAsia="en-GB"/>
        </w:rPr>
        <w:t>wo new VET curricula designed for occupations in demand and in line with updated NQF/catalogue of occupational standards are approved and published.</w:t>
      </w:r>
    </w:p>
    <w:p w14:paraId="119CA374" w14:textId="77777777" w:rsidR="009601AE" w:rsidRDefault="009601AE" w:rsidP="009E3730">
      <w:pPr>
        <w:widowControl w:val="0"/>
        <w:suppressAutoHyphens/>
      </w:pPr>
    </w:p>
    <w:p w14:paraId="413756A8" w14:textId="77777777" w:rsidR="009601AE" w:rsidRDefault="009601AE" w:rsidP="009E3730">
      <w:pPr>
        <w:widowControl w:val="0"/>
        <w:suppressAutoHyphens/>
      </w:pPr>
      <w:r>
        <w:t xml:space="preserve">Source of Verification: </w:t>
      </w:r>
    </w:p>
    <w:p w14:paraId="030449BF" w14:textId="77777777" w:rsidR="009601AE" w:rsidRDefault="009601AE" w:rsidP="009E3730">
      <w:pPr>
        <w:widowControl w:val="0"/>
        <w:numPr>
          <w:ilvl w:val="0"/>
          <w:numId w:val="2"/>
        </w:numPr>
        <w:suppressAutoHyphens/>
        <w:autoSpaceDE w:val="0"/>
        <w:autoSpaceDN w:val="0"/>
        <w:ind w:left="714" w:hanging="357"/>
        <w:rPr>
          <w:lang w:eastAsia="en-GB"/>
        </w:rPr>
      </w:pPr>
      <w:r>
        <w:rPr>
          <w:lang w:eastAsia="en-GB"/>
        </w:rPr>
        <w:t>Agreement of National Centre for Educational Quality Enhancement or relevant body on VET curricula.</w:t>
      </w:r>
    </w:p>
    <w:p w14:paraId="568DC847" w14:textId="77777777" w:rsidR="009601AE" w:rsidRDefault="009601AE" w:rsidP="009E3730">
      <w:pPr>
        <w:widowControl w:val="0"/>
        <w:suppressAutoHyphens/>
      </w:pPr>
    </w:p>
    <w:p w14:paraId="184925DD" w14:textId="052206FC" w:rsidR="009601AE" w:rsidRDefault="009601AE" w:rsidP="009E3730">
      <w:pPr>
        <w:widowControl w:val="0"/>
        <w:suppressAutoHyphens/>
        <w:ind w:right="26"/>
        <w:rPr>
          <w:b/>
          <w:bCs/>
        </w:rPr>
      </w:pPr>
      <w:r>
        <w:rPr>
          <w:b/>
          <w:bCs/>
          <w:u w:val="single"/>
        </w:rPr>
        <w:t>Review Assessment</w:t>
      </w:r>
      <w:r>
        <w:rPr>
          <w:b/>
          <w:bCs/>
        </w:rPr>
        <w:t>: fulfilled.</w:t>
      </w:r>
    </w:p>
    <w:p w14:paraId="493E4023" w14:textId="77777777" w:rsidR="009601AE" w:rsidRDefault="009601AE" w:rsidP="009E3730">
      <w:pPr>
        <w:widowControl w:val="0"/>
        <w:suppressAutoHyphens/>
        <w:ind w:right="26"/>
      </w:pPr>
    </w:p>
    <w:p w14:paraId="4325B708" w14:textId="07FDF4D3" w:rsidR="005B274D" w:rsidRDefault="00EC3426" w:rsidP="009E3730">
      <w:pPr>
        <w:widowControl w:val="0"/>
        <w:suppressAutoHyphens/>
        <w:rPr>
          <w:rFonts w:eastAsia="Times New Roman" w:cs="Times New Roman"/>
        </w:rPr>
      </w:pPr>
      <w:r>
        <w:t xml:space="preserve">Occupational standards (OS) for 46 qualifications were validated by Sectoral Committees (SC) in 2016 (see Indicator 2.1.3). </w:t>
      </w:r>
      <w:r>
        <w:rPr>
          <w:rFonts w:eastAsia="Times New Roman" w:cs="Times New Roman"/>
        </w:rPr>
        <w:t>26 out of these were approved by National Centre for Educational Quality Enhancement (</w:t>
      </w:r>
      <w:r w:rsidRPr="00BC0359">
        <w:rPr>
          <w:rFonts w:eastAsia="Times New Roman" w:cs="Times New Roman"/>
        </w:rPr>
        <w:t>NCEQE</w:t>
      </w:r>
      <w:r>
        <w:rPr>
          <w:rFonts w:eastAsia="Times New Roman" w:cs="Times New Roman"/>
        </w:rPr>
        <w:t>)</w:t>
      </w:r>
      <w:r w:rsidR="005333FA">
        <w:rPr>
          <w:rFonts w:eastAsia="Times New Roman" w:cs="Times New Roman"/>
        </w:rPr>
        <w:t xml:space="preserve"> Order No.</w:t>
      </w:r>
      <w:r w:rsidRPr="00BC0359">
        <w:rPr>
          <w:rFonts w:eastAsia="Times New Roman" w:cs="Times New Roman"/>
        </w:rPr>
        <w:t xml:space="preserve">248 of </w:t>
      </w:r>
      <w:r>
        <w:rPr>
          <w:rFonts w:eastAsia="Times New Roman" w:cs="Times New Roman"/>
        </w:rPr>
        <w:t xml:space="preserve">6th April </w:t>
      </w:r>
      <w:r w:rsidRPr="00BC0359">
        <w:rPr>
          <w:rFonts w:eastAsia="Times New Roman" w:cs="Times New Roman"/>
        </w:rPr>
        <w:t>2016</w:t>
      </w:r>
      <w:r w:rsidR="005333FA">
        <w:rPr>
          <w:rFonts w:eastAsia="Times New Roman" w:cs="Times New Roman"/>
        </w:rPr>
        <w:t>. F</w:t>
      </w:r>
      <w:r w:rsidR="005333FA" w:rsidRPr="00BC0359">
        <w:rPr>
          <w:rFonts w:eastAsia="Times New Roman" w:cs="Times New Roman"/>
        </w:rPr>
        <w:t xml:space="preserve">ramework documents (framework curricula) </w:t>
      </w:r>
      <w:r w:rsidR="005333FA">
        <w:rPr>
          <w:rFonts w:eastAsia="Times New Roman" w:cs="Times New Roman"/>
        </w:rPr>
        <w:t>for</w:t>
      </w:r>
      <w:r w:rsidR="005333FA" w:rsidRPr="00BC0359">
        <w:rPr>
          <w:rFonts w:eastAsia="Times New Roman" w:cs="Times New Roman"/>
        </w:rPr>
        <w:t xml:space="preserve"> 26 vocational educational programmes (qualifications)</w:t>
      </w:r>
      <w:r w:rsidR="005333FA">
        <w:rPr>
          <w:rFonts w:eastAsia="Times New Roman" w:cs="Times New Roman"/>
        </w:rPr>
        <w:t xml:space="preserve"> based on these 26 OS were approved by NCEQE Order No.249 of 7th April 2016</w:t>
      </w:r>
      <w:r w:rsidR="005333FA" w:rsidRPr="00BC0359">
        <w:rPr>
          <w:rFonts w:eastAsia="Times New Roman" w:cs="Times New Roman"/>
        </w:rPr>
        <w:t xml:space="preserve">. Study </w:t>
      </w:r>
      <w:r w:rsidR="005333FA" w:rsidRPr="00126F29">
        <w:rPr>
          <w:rFonts w:eastAsia="Times New Roman" w:cs="Times New Roman"/>
        </w:rPr>
        <w:t>of th</w:t>
      </w:r>
      <w:r w:rsidR="005333FA">
        <w:rPr>
          <w:rFonts w:eastAsia="Times New Roman" w:cs="Times New Roman"/>
        </w:rPr>
        <w:t>ose</w:t>
      </w:r>
      <w:r w:rsidR="005333FA" w:rsidRPr="00126F29">
        <w:rPr>
          <w:rFonts w:eastAsia="Times New Roman" w:cs="Times New Roman"/>
        </w:rPr>
        <w:t xml:space="preserve"> occupational </w:t>
      </w:r>
      <w:r w:rsidR="005333FA" w:rsidRPr="009B0859">
        <w:rPr>
          <w:rFonts w:eastAsia="Times New Roman" w:cs="Times New Roman"/>
        </w:rPr>
        <w:t>standards’ and framework curricula</w:t>
      </w:r>
      <w:r w:rsidR="005333FA">
        <w:rPr>
          <w:rFonts w:eastAsia="Times New Roman" w:cs="Times New Roman"/>
        </w:rPr>
        <w:t xml:space="preserve"> provided to the Review </w:t>
      </w:r>
      <w:r w:rsidR="005333FA" w:rsidRPr="0042222F">
        <w:rPr>
          <w:rFonts w:eastAsia="Times New Roman" w:cs="Times New Roman"/>
        </w:rPr>
        <w:t>(Music Tutor, and 3D modelling and texturing artist</w:t>
      </w:r>
      <w:r w:rsidR="005333FA" w:rsidRPr="00BC0359">
        <w:rPr>
          <w:rFonts w:eastAsia="Times New Roman" w:cs="Times New Roman"/>
        </w:rPr>
        <w:t xml:space="preserve">) </w:t>
      </w:r>
      <w:r w:rsidR="005333FA">
        <w:rPr>
          <w:rFonts w:eastAsia="Times New Roman" w:cs="Times New Roman"/>
        </w:rPr>
        <w:t xml:space="preserve">confirmed the </w:t>
      </w:r>
      <w:r w:rsidR="005333FA" w:rsidRPr="00BC0359">
        <w:rPr>
          <w:rFonts w:eastAsia="Times New Roman" w:cs="Times New Roman"/>
        </w:rPr>
        <w:t>mutual comp</w:t>
      </w:r>
      <w:r w:rsidR="005333FA">
        <w:rPr>
          <w:rFonts w:eastAsia="Times New Roman" w:cs="Times New Roman"/>
        </w:rPr>
        <w:t>at</w:t>
      </w:r>
      <w:r w:rsidR="00532687">
        <w:rPr>
          <w:rFonts w:eastAsia="Times New Roman" w:cs="Times New Roman"/>
        </w:rPr>
        <w:t>i</w:t>
      </w:r>
      <w:r w:rsidR="005333FA">
        <w:rPr>
          <w:rFonts w:eastAsia="Times New Roman" w:cs="Times New Roman"/>
        </w:rPr>
        <w:t>bility</w:t>
      </w:r>
      <w:r w:rsidR="005333FA" w:rsidRPr="00BC0359">
        <w:rPr>
          <w:rFonts w:eastAsia="Times New Roman" w:cs="Times New Roman"/>
        </w:rPr>
        <w:t xml:space="preserve"> of th</w:t>
      </w:r>
      <w:r w:rsidR="005333FA">
        <w:rPr>
          <w:rFonts w:eastAsia="Times New Roman" w:cs="Times New Roman"/>
        </w:rPr>
        <w:t>e</w:t>
      </w:r>
      <w:r w:rsidR="005333FA" w:rsidRPr="00BC0359">
        <w:rPr>
          <w:rFonts w:eastAsia="Times New Roman" w:cs="Times New Roman"/>
        </w:rPr>
        <w:t xml:space="preserve">se </w:t>
      </w:r>
      <w:r w:rsidR="005333FA">
        <w:rPr>
          <w:rFonts w:eastAsia="Times New Roman" w:cs="Times New Roman"/>
        </w:rPr>
        <w:t xml:space="preserve">OS and curricula. </w:t>
      </w:r>
    </w:p>
    <w:p w14:paraId="3FE66070" w14:textId="77777777" w:rsidR="0078778D" w:rsidRDefault="0078778D" w:rsidP="009E3730">
      <w:pPr>
        <w:widowControl w:val="0"/>
        <w:suppressAutoHyphens/>
        <w:rPr>
          <w:rFonts w:eastAsia="Times New Roman" w:cs="Times New Roman"/>
        </w:rPr>
      </w:pPr>
    </w:p>
    <w:p w14:paraId="040E8215" w14:textId="5A278539" w:rsidR="0078778D" w:rsidRDefault="0004365E" w:rsidP="009E3730">
      <w:pPr>
        <w:widowControl w:val="0"/>
        <w:suppressAutoHyphens/>
        <w:rPr>
          <w:rFonts w:eastAsia="Times New Roman" w:cs="Times New Roman"/>
        </w:rPr>
      </w:pPr>
      <w:r>
        <w:rPr>
          <w:rFonts w:eastAsia="Times New Roman" w:cs="Times New Roman"/>
        </w:rPr>
        <w:t>C</w:t>
      </w:r>
      <w:r w:rsidRPr="009056E6">
        <w:rPr>
          <w:rFonts w:eastAsia="Times New Roman" w:cs="Times New Roman"/>
        </w:rPr>
        <w:t xml:space="preserve">urricula and corresponding </w:t>
      </w:r>
      <w:r>
        <w:rPr>
          <w:rFonts w:eastAsia="Times New Roman" w:cs="Times New Roman"/>
        </w:rPr>
        <w:t>OS</w:t>
      </w:r>
      <w:r w:rsidRPr="009056E6">
        <w:rPr>
          <w:rFonts w:eastAsia="Times New Roman" w:cs="Times New Roman"/>
        </w:rPr>
        <w:t xml:space="preserve"> are published at </w:t>
      </w:r>
      <w:hyperlink r:id="rId24" w:history="1">
        <w:r w:rsidRPr="00BC0359">
          <w:rPr>
            <w:rStyle w:val="Hyperlink"/>
            <w:rFonts w:cstheme="minorHAnsi"/>
            <w:bCs/>
          </w:rPr>
          <w:t>www.vet.ge/jump_profession/direction2/</w:t>
        </w:r>
      </w:hyperlink>
      <w:r w:rsidRPr="00BC0359">
        <w:rPr>
          <w:rStyle w:val="Hyperlink"/>
          <w:rFonts w:cstheme="minorHAnsi"/>
          <w:bCs/>
        </w:rPr>
        <w:t xml:space="preserve"> </w:t>
      </w:r>
      <w:r w:rsidRPr="009056E6">
        <w:rPr>
          <w:rFonts w:eastAsia="Times New Roman" w:cs="Times New Roman"/>
        </w:rPr>
        <w:t>.</w:t>
      </w:r>
      <w:r>
        <w:rPr>
          <w:rFonts w:eastAsia="Times New Roman" w:cs="Times New Roman"/>
        </w:rPr>
        <w:t xml:space="preserve"> </w:t>
      </w:r>
      <w:r w:rsidR="0078778D">
        <w:rPr>
          <w:rFonts w:eastAsia="Times New Roman" w:cs="Times New Roman"/>
        </w:rPr>
        <w:t xml:space="preserve">Curricula for the other 20 OS approved later in 2016 through various NCEQE Orders (see 2.1.3) were subsequently approved in 2017. </w:t>
      </w:r>
    </w:p>
    <w:p w14:paraId="519DCAF2" w14:textId="77777777" w:rsidR="0078778D" w:rsidRDefault="0078778D" w:rsidP="009E3730">
      <w:pPr>
        <w:widowControl w:val="0"/>
        <w:suppressAutoHyphens/>
        <w:rPr>
          <w:rFonts w:eastAsia="Times New Roman" w:cs="Times New Roman"/>
        </w:rPr>
      </w:pPr>
    </w:p>
    <w:p w14:paraId="129D22D4" w14:textId="34A5EC2A" w:rsidR="0078778D" w:rsidRPr="00553DD8" w:rsidRDefault="0078778D" w:rsidP="009E3730">
      <w:pPr>
        <w:widowControl w:val="0"/>
        <w:suppressAutoHyphens/>
        <w:rPr>
          <w:rFonts w:eastAsia="Times New Roman" w:cs="Times New Roman"/>
        </w:rPr>
      </w:pPr>
      <w:r w:rsidRPr="0078778D">
        <w:rPr>
          <w:rFonts w:eastAsia="Times New Roman" w:cs="Times New Roman"/>
        </w:rPr>
        <w:t>None of the</w:t>
      </w:r>
      <w:r>
        <w:rPr>
          <w:rFonts w:eastAsia="Times New Roman" w:cs="Times New Roman"/>
        </w:rPr>
        <w:t>se</w:t>
      </w:r>
      <w:r w:rsidRPr="0078778D">
        <w:rPr>
          <w:rFonts w:eastAsia="Times New Roman" w:cs="Times New Roman"/>
        </w:rPr>
        <w:t xml:space="preserve"> 26 new curricula </w:t>
      </w:r>
      <w:r>
        <w:rPr>
          <w:rFonts w:eastAsia="Times New Roman" w:cs="Times New Roman"/>
        </w:rPr>
        <w:t>had been</w:t>
      </w:r>
      <w:r w:rsidRPr="0078778D">
        <w:rPr>
          <w:rFonts w:eastAsia="Times New Roman" w:cs="Times New Roman"/>
        </w:rPr>
        <w:t xml:space="preserve"> introduced in the colleges or universities visited by the FRM.</w:t>
      </w:r>
      <w:r>
        <w:rPr>
          <w:rFonts w:eastAsia="Times New Roman" w:cs="Times New Roman"/>
        </w:rPr>
        <w:t xml:space="preserve"> T</w:t>
      </w:r>
      <w:r w:rsidRPr="009056E6">
        <w:rPr>
          <w:rFonts w:eastAsia="Times New Roman" w:cs="Times New Roman"/>
        </w:rPr>
        <w:t xml:space="preserve">he transfer to full modular training </w:t>
      </w:r>
      <w:r>
        <w:rPr>
          <w:rFonts w:eastAsia="Times New Roman" w:cs="Times New Roman"/>
        </w:rPr>
        <w:t xml:space="preserve">was originally </w:t>
      </w:r>
      <w:r w:rsidRPr="009056E6">
        <w:rPr>
          <w:rFonts w:eastAsia="Times New Roman" w:cs="Times New Roman"/>
        </w:rPr>
        <w:t>programmed to be completed by the 2017 autumn course enrolment</w:t>
      </w:r>
      <w:r>
        <w:rPr>
          <w:rFonts w:eastAsia="Times New Roman" w:cs="Times New Roman"/>
        </w:rPr>
        <w:t>, but has now postponed to autumn 2019</w:t>
      </w:r>
      <w:r w:rsidRPr="009056E6">
        <w:rPr>
          <w:rFonts w:eastAsia="Times New Roman" w:cs="Times New Roman"/>
        </w:rPr>
        <w:t xml:space="preserve">. </w:t>
      </w:r>
      <w:r w:rsidR="0004365E">
        <w:rPr>
          <w:rFonts w:eastAsia="Times New Roman" w:cs="Times New Roman"/>
        </w:rPr>
        <w:t>Besides the complexities of curricula development, and changes to the design of OS (see 2.1.3), delivery of m</w:t>
      </w:r>
      <w:r>
        <w:rPr>
          <w:rFonts w:eastAsia="Times New Roman" w:cs="Times New Roman"/>
        </w:rPr>
        <w:t>odular courses require</w:t>
      </w:r>
      <w:r w:rsidR="0004365E">
        <w:rPr>
          <w:rFonts w:eastAsia="Times New Roman" w:cs="Times New Roman"/>
        </w:rPr>
        <w:t>s</w:t>
      </w:r>
      <w:r>
        <w:rPr>
          <w:rFonts w:eastAsia="Times New Roman" w:cs="Times New Roman"/>
        </w:rPr>
        <w:t xml:space="preserve"> additional teachers, materials, and facilities</w:t>
      </w:r>
      <w:r w:rsidR="0004365E">
        <w:rPr>
          <w:rFonts w:eastAsia="Times New Roman" w:cs="Times New Roman"/>
        </w:rPr>
        <w:t>. Recognizing these constraints, several colleges have had to phase in their introduction.</w:t>
      </w:r>
    </w:p>
    <w:p w14:paraId="2D7F914A" w14:textId="77777777" w:rsidR="0078778D" w:rsidRDefault="0078778D" w:rsidP="009E3730">
      <w:pPr>
        <w:widowControl w:val="0"/>
        <w:suppressAutoHyphens/>
      </w:pPr>
    </w:p>
    <w:p w14:paraId="5FAC6ADD" w14:textId="6FB40C9F" w:rsidR="00F36F62" w:rsidRDefault="00F36F62" w:rsidP="009E3730">
      <w:pPr>
        <w:widowControl w:val="0"/>
        <w:suppressAutoHyphens/>
        <w:rPr>
          <w:rFonts w:eastAsia="Times New Roman" w:cs="Times New Roman"/>
        </w:rPr>
      </w:pPr>
      <w:r w:rsidRPr="00553DD8">
        <w:rPr>
          <w:rFonts w:eastAsia="Times New Roman" w:cs="Times New Roman"/>
        </w:rPr>
        <w:t xml:space="preserve">Evaluation of the compliance of these new curricula with an updated </w:t>
      </w:r>
      <w:r>
        <w:rPr>
          <w:rFonts w:eastAsia="Times New Roman" w:cs="Times New Roman"/>
        </w:rPr>
        <w:t>National Qualifications Framework (</w:t>
      </w:r>
      <w:r w:rsidRPr="00553DD8">
        <w:rPr>
          <w:rFonts w:eastAsia="Times New Roman" w:cs="Times New Roman"/>
        </w:rPr>
        <w:t>NQF</w:t>
      </w:r>
      <w:r>
        <w:rPr>
          <w:rFonts w:eastAsia="Times New Roman" w:cs="Times New Roman"/>
        </w:rPr>
        <w:t>)</w:t>
      </w:r>
      <w:r w:rsidRPr="00553DD8">
        <w:rPr>
          <w:rFonts w:eastAsia="Times New Roman" w:cs="Times New Roman"/>
        </w:rPr>
        <w:t xml:space="preserve"> was considered </w:t>
      </w:r>
      <w:r w:rsidR="00461767">
        <w:rPr>
          <w:rFonts w:eastAsia="Times New Roman" w:cs="Times New Roman"/>
        </w:rPr>
        <w:t>premature</w:t>
      </w:r>
      <w:r w:rsidRPr="00BC0359">
        <w:rPr>
          <w:rFonts w:eastAsia="Times New Roman" w:cs="Times New Roman"/>
        </w:rPr>
        <w:t xml:space="preserve"> </w:t>
      </w:r>
      <w:r w:rsidRPr="00553DD8">
        <w:rPr>
          <w:rFonts w:eastAsia="Times New Roman" w:cs="Times New Roman"/>
        </w:rPr>
        <w:t xml:space="preserve">as, at the time of the </w:t>
      </w:r>
      <w:r w:rsidR="00461767">
        <w:rPr>
          <w:rFonts w:eastAsia="Times New Roman" w:cs="Times New Roman"/>
        </w:rPr>
        <w:t>Review</w:t>
      </w:r>
      <w:r w:rsidRPr="00553DD8">
        <w:rPr>
          <w:rFonts w:eastAsia="Times New Roman" w:cs="Times New Roman"/>
        </w:rPr>
        <w:t xml:space="preserve">, the new NQF had not been officially adopted. </w:t>
      </w:r>
      <w:r w:rsidR="00BE3C4B">
        <w:rPr>
          <w:rFonts w:eastAsia="Times New Roman" w:cs="Times New Roman"/>
        </w:rPr>
        <w:t>MoES reported that a</w:t>
      </w:r>
      <w:r w:rsidRPr="00553DD8">
        <w:rPr>
          <w:rFonts w:eastAsia="Times New Roman" w:cs="Times New Roman"/>
        </w:rPr>
        <w:t xml:space="preserve">pproval of the new NQF has to be preceded by adoption of the new VET Law, submission to Parliament of which </w:t>
      </w:r>
      <w:r>
        <w:rPr>
          <w:rFonts w:eastAsia="Times New Roman" w:cs="Times New Roman"/>
        </w:rPr>
        <w:t>was</w:t>
      </w:r>
      <w:r w:rsidRPr="00553DD8">
        <w:rPr>
          <w:rFonts w:eastAsia="Times New Roman" w:cs="Times New Roman"/>
        </w:rPr>
        <w:t xml:space="preserve"> planned for</w:t>
      </w:r>
      <w:r w:rsidRPr="00B66676">
        <w:rPr>
          <w:rFonts w:eastAsia="Times New Roman" w:cs="Times New Roman"/>
        </w:rPr>
        <w:t xml:space="preserve"> </w:t>
      </w:r>
      <w:r w:rsidRPr="009B0859">
        <w:rPr>
          <w:rFonts w:eastAsia="Times New Roman" w:cs="Times New Roman"/>
        </w:rPr>
        <w:t>end of April</w:t>
      </w:r>
      <w:r>
        <w:rPr>
          <w:rFonts w:eastAsia="Times New Roman" w:cs="Times New Roman"/>
        </w:rPr>
        <w:t xml:space="preserve"> 2017</w:t>
      </w:r>
      <w:r w:rsidRPr="00553DD8">
        <w:rPr>
          <w:rFonts w:eastAsia="Times New Roman" w:cs="Times New Roman"/>
        </w:rPr>
        <w:t>, following a meeting to discuss the draft and other related issues with the Parliamentary Standing Committee for Education</w:t>
      </w:r>
      <w:r w:rsidR="004C200E">
        <w:rPr>
          <w:rStyle w:val="FootnoteReference"/>
        </w:rPr>
        <w:footnoteReference w:id="41"/>
      </w:r>
      <w:r w:rsidRPr="00553DD8">
        <w:rPr>
          <w:rFonts w:eastAsia="Times New Roman" w:cs="Times New Roman"/>
        </w:rPr>
        <w:t xml:space="preserve">. </w:t>
      </w:r>
      <w:r w:rsidR="00461767">
        <w:rPr>
          <w:rFonts w:eastAsia="Times New Roman" w:cs="Times New Roman"/>
        </w:rPr>
        <w:t>Several m</w:t>
      </w:r>
      <w:r w:rsidRPr="00BC0359">
        <w:rPr>
          <w:rFonts w:eastAsia="Times New Roman" w:cs="Times New Roman"/>
        </w:rPr>
        <w:t>eeting</w:t>
      </w:r>
      <w:r w:rsidR="00461767">
        <w:rPr>
          <w:rFonts w:eastAsia="Times New Roman" w:cs="Times New Roman"/>
        </w:rPr>
        <w:t>s</w:t>
      </w:r>
      <w:r w:rsidRPr="00BC0359">
        <w:rPr>
          <w:rFonts w:eastAsia="Times New Roman" w:cs="Times New Roman"/>
        </w:rPr>
        <w:t xml:space="preserve"> </w:t>
      </w:r>
      <w:r w:rsidR="00461767">
        <w:rPr>
          <w:rFonts w:eastAsia="Times New Roman" w:cs="Times New Roman"/>
        </w:rPr>
        <w:t xml:space="preserve">have been held </w:t>
      </w:r>
      <w:r w:rsidRPr="00BC0359">
        <w:rPr>
          <w:rFonts w:eastAsia="Times New Roman" w:cs="Times New Roman"/>
        </w:rPr>
        <w:t xml:space="preserve">with </w:t>
      </w:r>
      <w:r w:rsidR="00461767">
        <w:rPr>
          <w:rFonts w:eastAsia="Times New Roman" w:cs="Times New Roman"/>
        </w:rPr>
        <w:t xml:space="preserve">stakeholders and </w:t>
      </w:r>
      <w:r w:rsidRPr="00BC0359">
        <w:rPr>
          <w:rFonts w:eastAsia="Times New Roman" w:cs="Times New Roman"/>
        </w:rPr>
        <w:t xml:space="preserve">donors </w:t>
      </w:r>
      <w:r>
        <w:rPr>
          <w:rFonts w:eastAsia="Times New Roman" w:cs="Times New Roman"/>
        </w:rPr>
        <w:t>to discuss the draft VET</w:t>
      </w:r>
      <w:r w:rsidRPr="00BC0359">
        <w:rPr>
          <w:rFonts w:eastAsia="Times New Roman" w:cs="Times New Roman"/>
        </w:rPr>
        <w:t xml:space="preserve"> </w:t>
      </w:r>
      <w:r>
        <w:rPr>
          <w:rFonts w:eastAsia="Times New Roman" w:cs="Times New Roman"/>
        </w:rPr>
        <w:t>Law</w:t>
      </w:r>
      <w:r w:rsidR="00461767">
        <w:rPr>
          <w:rFonts w:eastAsia="Times New Roman" w:cs="Times New Roman"/>
        </w:rPr>
        <w:t xml:space="preserve">, </w:t>
      </w:r>
      <w:r w:rsidR="00BE3C4B">
        <w:rPr>
          <w:rFonts w:eastAsia="Times New Roman" w:cs="Times New Roman"/>
        </w:rPr>
        <w:t xml:space="preserve">and its relationship to a new VET strategy, </w:t>
      </w:r>
      <w:r w:rsidR="00461767">
        <w:rPr>
          <w:rFonts w:eastAsia="Times New Roman" w:cs="Times New Roman"/>
        </w:rPr>
        <w:t xml:space="preserve">including </w:t>
      </w:r>
      <w:r w:rsidR="00BE3C4B">
        <w:rPr>
          <w:rFonts w:eastAsia="Times New Roman" w:cs="Times New Roman"/>
        </w:rPr>
        <w:t>at a retreat on 17th</w:t>
      </w:r>
      <w:r w:rsidR="00461767">
        <w:rPr>
          <w:rFonts w:eastAsia="Times New Roman" w:cs="Times New Roman"/>
        </w:rPr>
        <w:t xml:space="preserve"> December 2016 </w:t>
      </w:r>
      <w:r w:rsidR="00BE3C4B">
        <w:rPr>
          <w:rFonts w:eastAsia="Times New Roman" w:cs="Times New Roman"/>
        </w:rPr>
        <w:t xml:space="preserve">in Borjomi, the NVETC meeting on </w:t>
      </w:r>
      <w:r w:rsidR="00BE3C4B">
        <w:rPr>
          <w:rFonts w:eastAsia="Times New Roman" w:cs="Times New Roman"/>
        </w:rPr>
        <w:lastRenderedPageBreak/>
        <w:t xml:space="preserve">28th December, </w:t>
      </w:r>
      <w:r w:rsidR="00461767">
        <w:rPr>
          <w:rFonts w:eastAsia="Times New Roman" w:cs="Times New Roman"/>
        </w:rPr>
        <w:t>and most recently</w:t>
      </w:r>
      <w:r w:rsidRPr="00BC0359">
        <w:rPr>
          <w:rFonts w:eastAsia="Times New Roman" w:cs="Times New Roman"/>
        </w:rPr>
        <w:t xml:space="preserve"> </w:t>
      </w:r>
      <w:r w:rsidR="00BE3C4B">
        <w:rPr>
          <w:rFonts w:eastAsia="Times New Roman" w:cs="Times New Roman"/>
        </w:rPr>
        <w:t xml:space="preserve">on </w:t>
      </w:r>
      <w:r w:rsidRPr="00BC0359">
        <w:rPr>
          <w:rFonts w:eastAsia="Times New Roman" w:cs="Times New Roman"/>
        </w:rPr>
        <w:t>29</w:t>
      </w:r>
      <w:r>
        <w:rPr>
          <w:rFonts w:eastAsia="Times New Roman" w:cs="Times New Roman"/>
        </w:rPr>
        <w:t>th</w:t>
      </w:r>
      <w:r w:rsidRPr="00BC0359">
        <w:rPr>
          <w:rFonts w:eastAsia="Times New Roman" w:cs="Times New Roman"/>
        </w:rPr>
        <w:t xml:space="preserve"> March 2017</w:t>
      </w:r>
      <w:r>
        <w:rPr>
          <w:rFonts w:eastAsia="Times New Roman" w:cs="Times New Roman"/>
        </w:rPr>
        <w:t xml:space="preserve">. </w:t>
      </w:r>
      <w:r w:rsidRPr="00BC0359">
        <w:rPr>
          <w:rFonts w:eastAsia="Times New Roman" w:cs="Times New Roman"/>
        </w:rPr>
        <w:t>However, the above 26 programmes are in line with the updated catalogue of qualifications</w:t>
      </w:r>
      <w:r w:rsidR="00461767">
        <w:rPr>
          <w:rFonts w:eastAsia="Times New Roman" w:cs="Times New Roman"/>
        </w:rPr>
        <w:t>, and this the Review considers is sufficient to meet the requirements of the Indicator</w:t>
      </w:r>
      <w:r>
        <w:rPr>
          <w:rFonts w:eastAsia="Times New Roman" w:cs="Times New Roman"/>
        </w:rPr>
        <w:t xml:space="preserve">. The catalogue </w:t>
      </w:r>
      <w:r w:rsidR="00461767">
        <w:rPr>
          <w:rFonts w:eastAsia="Times New Roman" w:cs="Times New Roman"/>
        </w:rPr>
        <w:t xml:space="preserve">of qualifications </w:t>
      </w:r>
      <w:r w:rsidRPr="00BC0359">
        <w:rPr>
          <w:rFonts w:eastAsia="Times New Roman" w:cs="Times New Roman"/>
        </w:rPr>
        <w:t>can be found at</w:t>
      </w:r>
    </w:p>
    <w:p w14:paraId="0CC92FF6" w14:textId="77777777" w:rsidR="00461767" w:rsidRPr="00BC0359" w:rsidRDefault="00461767" w:rsidP="009E3730">
      <w:pPr>
        <w:widowControl w:val="0"/>
        <w:suppressAutoHyphens/>
        <w:rPr>
          <w:rFonts w:eastAsia="Times New Roman" w:cs="Times New Roman"/>
        </w:rPr>
      </w:pPr>
    </w:p>
    <w:p w14:paraId="748C8968" w14:textId="77777777" w:rsidR="00F36F62" w:rsidRPr="00126F29" w:rsidRDefault="006D7B13" w:rsidP="007C295F">
      <w:pPr>
        <w:pStyle w:val="ListParagraph"/>
        <w:widowControl w:val="0"/>
        <w:numPr>
          <w:ilvl w:val="0"/>
          <w:numId w:val="31"/>
        </w:numPr>
        <w:suppressAutoHyphens/>
        <w:adjustRightInd w:val="0"/>
        <w:ind w:left="426" w:hanging="284"/>
      </w:pPr>
      <w:hyperlink r:id="rId25" w:history="1">
        <w:r w:rsidR="00F36F62" w:rsidRPr="00400B81">
          <w:rPr>
            <w:rStyle w:val="Hyperlink"/>
            <w:bCs/>
          </w:rPr>
          <w:t>http://eqe.gov.ge/res/docs/120N_2.03.2017.pdf</w:t>
        </w:r>
      </w:hyperlink>
      <w:r w:rsidR="00F36F62" w:rsidRPr="00126F29">
        <w:t>;</w:t>
      </w:r>
    </w:p>
    <w:p w14:paraId="4E8054EA" w14:textId="77777777" w:rsidR="00F36F62" w:rsidRPr="00BC0359" w:rsidRDefault="006D7B13" w:rsidP="007C295F">
      <w:pPr>
        <w:pStyle w:val="ListParagraph"/>
        <w:widowControl w:val="0"/>
        <w:numPr>
          <w:ilvl w:val="0"/>
          <w:numId w:val="31"/>
        </w:numPr>
        <w:suppressAutoHyphens/>
        <w:adjustRightInd w:val="0"/>
        <w:ind w:left="426" w:hanging="284"/>
      </w:pPr>
      <w:hyperlink r:id="rId26" w:history="1">
        <w:r w:rsidR="00F36F62" w:rsidRPr="00400B81">
          <w:rPr>
            <w:rStyle w:val="Hyperlink"/>
          </w:rPr>
          <w:t>https://matsne.gov.ge/en/document/view/1131547</w:t>
        </w:r>
      </w:hyperlink>
      <w:r w:rsidR="00F36F62" w:rsidRPr="00400B81">
        <w:rPr>
          <w:rStyle w:val="Hyperlink"/>
        </w:rPr>
        <w:t xml:space="preserve"> </w:t>
      </w:r>
      <w:r w:rsidR="00F36F62" w:rsidRPr="00461767">
        <w:rPr>
          <w:rStyle w:val="Hyperlink"/>
          <w:sz w:val="22"/>
          <w:szCs w:val="22"/>
        </w:rPr>
        <w:t>(</w:t>
      </w:r>
      <w:r w:rsidR="00F36F62" w:rsidRPr="00461767">
        <w:rPr>
          <w:rFonts w:ascii="Arial" w:hAnsi="Arial" w:cs="Arial"/>
        </w:rPr>
        <w:t>Legislative Herald of Georgia);</w:t>
      </w:r>
    </w:p>
    <w:p w14:paraId="2C4671D8" w14:textId="77777777" w:rsidR="00F36F62" w:rsidRDefault="006D7B13" w:rsidP="007C295F">
      <w:pPr>
        <w:pStyle w:val="ListParagraph"/>
        <w:widowControl w:val="0"/>
        <w:numPr>
          <w:ilvl w:val="0"/>
          <w:numId w:val="31"/>
        </w:numPr>
        <w:suppressAutoHyphens/>
        <w:ind w:left="426" w:hanging="284"/>
        <w:rPr>
          <w:rFonts w:ascii="Arial" w:hAnsi="Arial" w:cs="Arial"/>
        </w:rPr>
      </w:pPr>
      <w:hyperlink r:id="rId27" w:history="1">
        <w:r w:rsidR="00F36F62" w:rsidRPr="00907B90">
          <w:rPr>
            <w:rStyle w:val="Hyperlink"/>
            <w:bCs/>
          </w:rPr>
          <w:t>http://www.newspress.ge/sazogadoeba/94559-ganckhadeba-moduluridualuri-profesiulisaganmanathleblo-programebis-da-mathi-ganmakhorcielebeli-datsesebulebebis-shesakheb.html</w:t>
        </w:r>
      </w:hyperlink>
      <w:r w:rsidR="00F36F62" w:rsidRPr="00907B90">
        <w:rPr>
          <w:rStyle w:val="Hyperlink"/>
          <w:bCs/>
        </w:rPr>
        <w:t xml:space="preserve"> (</w:t>
      </w:r>
      <w:r w:rsidR="00F36F62" w:rsidRPr="00907B90">
        <w:rPr>
          <w:rFonts w:ascii="Arial" w:hAnsi="Arial" w:cs="Arial"/>
        </w:rPr>
        <w:t>Newspress).</w:t>
      </w:r>
    </w:p>
    <w:p w14:paraId="42CA177A" w14:textId="77777777" w:rsidR="00921EEA" w:rsidRPr="00F303FB" w:rsidRDefault="00921EEA" w:rsidP="009E3730">
      <w:pPr>
        <w:widowControl w:val="0"/>
        <w:suppressAutoHyphens/>
      </w:pPr>
    </w:p>
    <w:p w14:paraId="3F22A597" w14:textId="77777777" w:rsidR="009601AE" w:rsidRDefault="009601AE" w:rsidP="009E3730">
      <w:pPr>
        <w:widowControl w:val="0"/>
        <w:suppressAutoHyphens/>
      </w:pPr>
      <w:r>
        <w:t>D</w:t>
      </w:r>
      <w:r w:rsidRPr="00F303FB">
        <w:t xml:space="preserve">evelopment of modular curricula as well as </w:t>
      </w:r>
      <w:r>
        <w:t xml:space="preserve">the </w:t>
      </w:r>
      <w:r w:rsidRPr="00F303FB">
        <w:t xml:space="preserve">“modularisation” of traditional subject-based curricula </w:t>
      </w:r>
      <w:r>
        <w:t xml:space="preserve">has so far been undertaken by </w:t>
      </w:r>
      <w:r w:rsidRPr="00F303FB">
        <w:t xml:space="preserve">a project acting within NCEQE. </w:t>
      </w:r>
      <w:r>
        <w:t>From</w:t>
      </w:r>
      <w:r w:rsidRPr="00F303FB">
        <w:t xml:space="preserve"> 2017, it is </w:t>
      </w:r>
      <w:r>
        <w:t xml:space="preserve">planned to make </w:t>
      </w:r>
      <w:r w:rsidRPr="00F303FB">
        <w:t>development of modular curricula a regular function of NCEQE</w:t>
      </w:r>
      <w:r>
        <w:t>,</w:t>
      </w:r>
      <w:r w:rsidRPr="00F303FB">
        <w:t xml:space="preserve"> </w:t>
      </w:r>
      <w:r>
        <w:t xml:space="preserve">building upon </w:t>
      </w:r>
      <w:r w:rsidRPr="00F303FB">
        <w:t xml:space="preserve">the expertise </w:t>
      </w:r>
      <w:r>
        <w:t>generated by the project</w:t>
      </w:r>
      <w:r w:rsidRPr="00F303FB">
        <w:t>.</w:t>
      </w:r>
    </w:p>
    <w:p w14:paraId="2F37584A" w14:textId="77777777" w:rsidR="009601AE" w:rsidRPr="00F303FB" w:rsidRDefault="009601AE" w:rsidP="009E3730">
      <w:pPr>
        <w:widowControl w:val="0"/>
        <w:suppressAutoHyphens/>
      </w:pPr>
    </w:p>
    <w:p w14:paraId="7942DED4" w14:textId="77777777" w:rsidR="009601AE" w:rsidRDefault="009601AE" w:rsidP="009E3730">
      <w:pPr>
        <w:widowControl w:val="0"/>
        <w:suppressAutoHyphens/>
      </w:pPr>
      <w:r w:rsidRPr="00F303FB">
        <w:t xml:space="preserve">The </w:t>
      </w:r>
      <w:r>
        <w:t xml:space="preserve">SDC financed, </w:t>
      </w:r>
      <w:r w:rsidRPr="00F303FB">
        <w:t xml:space="preserve">UNDP </w:t>
      </w:r>
      <w:r>
        <w:t xml:space="preserve">implemented, </w:t>
      </w:r>
      <w:r w:rsidRPr="00F303FB">
        <w:t xml:space="preserve">project “Modernization of Vocational Education and Training and Extension Systems Related to Agriculture in Georgia” launched an initiative </w:t>
      </w:r>
      <w:r>
        <w:t>to improve</w:t>
      </w:r>
      <w:r w:rsidRPr="00F303FB">
        <w:t xml:space="preserve"> agricultural qualifications</w:t>
      </w:r>
      <w:r>
        <w:t>, better harmonizing</w:t>
      </w:r>
      <w:r w:rsidRPr="00F303FB">
        <w:t xml:space="preserve"> them with ISCO 08 and ISCED</w:t>
      </w:r>
      <w:r>
        <w:t xml:space="preserve"> (</w:t>
      </w:r>
      <w:r w:rsidRPr="00F303FB">
        <w:t>th</w:t>
      </w:r>
      <w:r>
        <w:t>ereby</w:t>
      </w:r>
      <w:r w:rsidRPr="00F303FB">
        <w:t xml:space="preserve"> making them more internationally compatible</w:t>
      </w:r>
      <w:r>
        <w:t>)</w:t>
      </w:r>
      <w:r w:rsidRPr="00F303FB">
        <w:t xml:space="preserve">, </w:t>
      </w:r>
      <w:r>
        <w:t xml:space="preserve">to make them more </w:t>
      </w:r>
      <w:r w:rsidRPr="00F303FB">
        <w:t>relevan</w:t>
      </w:r>
      <w:r>
        <w:t>t to</w:t>
      </w:r>
      <w:r w:rsidRPr="00F303FB">
        <w:t xml:space="preserve"> the needs of the local economy and </w:t>
      </w:r>
      <w:r>
        <w:t>the labour market</w:t>
      </w:r>
      <w:r w:rsidRPr="00F303FB">
        <w:t xml:space="preserve">. In 2017 a number of curricula are expected to be revised </w:t>
      </w:r>
      <w:r>
        <w:t xml:space="preserve">in line with the </w:t>
      </w:r>
      <w:r w:rsidRPr="00F303FB">
        <w:t>new structure of the</w:t>
      </w:r>
      <w:r>
        <w:t>se</w:t>
      </w:r>
      <w:r w:rsidRPr="00F303FB">
        <w:t xml:space="preserve"> agr</w:t>
      </w:r>
      <w:r>
        <w:t xml:space="preserve">icultural </w:t>
      </w:r>
      <w:r w:rsidRPr="00F303FB">
        <w:t>qualifications.</w:t>
      </w:r>
      <w:r>
        <w:t xml:space="preserve"> </w:t>
      </w:r>
    </w:p>
    <w:p w14:paraId="156B63F4" w14:textId="77777777" w:rsidR="009601AE" w:rsidRDefault="009601AE" w:rsidP="009E3730">
      <w:pPr>
        <w:widowControl w:val="0"/>
        <w:suppressAutoHyphens/>
      </w:pPr>
    </w:p>
    <w:p w14:paraId="53E641B6" w14:textId="77777777" w:rsidR="00612513" w:rsidRDefault="00F076FA" w:rsidP="009E3730">
      <w:pPr>
        <w:widowControl w:val="0"/>
        <w:suppressAutoHyphens/>
      </w:pPr>
      <w:r>
        <w:t xml:space="preserve">In 2016 </w:t>
      </w:r>
      <w:r w:rsidR="00612513">
        <w:t xml:space="preserve">MCA-G provided 10 grants (worth over US$12mn) to public and private VET providers </w:t>
      </w:r>
      <w:r w:rsidR="00742FAC">
        <w:t xml:space="preserve">(colleges and universities, with Georgian and international educational and business partners) </w:t>
      </w:r>
      <w:r w:rsidR="00612513">
        <w:t>to support development of VET programmes in fields of agriculture (agribusiness, veterinary services, viticulture), maritime skills (fishing, ship welding, port management and operation), aviation (piloting, aircraft maintenance), health and safety, adventure tourism (trekking, mountaineering, skiing), electrical and other technical skills, fish breeding and processing, railway transportation skills, basic engineering skills, and IT systems.</w:t>
      </w:r>
      <w:r>
        <w:t xml:space="preserve"> Execution of these programmes is scheduled for 2017.</w:t>
      </w:r>
    </w:p>
    <w:p w14:paraId="6C8996EE" w14:textId="77777777" w:rsidR="009601AE" w:rsidRDefault="009601AE" w:rsidP="009E3730">
      <w:pPr>
        <w:widowControl w:val="0"/>
        <w:suppressAutoHyphens/>
      </w:pPr>
    </w:p>
    <w:p w14:paraId="7570170D" w14:textId="77777777" w:rsidR="009601AE" w:rsidRDefault="009601AE" w:rsidP="009E3730">
      <w:pPr>
        <w:widowControl w:val="0"/>
        <w:suppressAutoHyphens/>
        <w:rPr>
          <w:b/>
          <w:bCs/>
          <w:i/>
          <w:iCs/>
          <w:lang w:eastAsia="en-GB"/>
        </w:rPr>
      </w:pPr>
      <w:r>
        <w:rPr>
          <w:b/>
          <w:bCs/>
          <w:u w:val="single"/>
        </w:rPr>
        <w:t>Indicator 2.1.2</w:t>
      </w:r>
      <w:r>
        <w:rPr>
          <w:b/>
          <w:bCs/>
        </w:rPr>
        <w:t>:</w:t>
      </w:r>
      <w:r>
        <w:rPr>
          <w:b/>
          <w:bCs/>
          <w:lang w:eastAsia="en-GB"/>
        </w:rPr>
        <w:t xml:space="preserve"> </w:t>
      </w:r>
      <w:r>
        <w:rPr>
          <w:b/>
          <w:bCs/>
          <w:i/>
          <w:lang w:eastAsia="en-GB"/>
        </w:rPr>
        <w:t>An improved entrepreneurial learning component introduced as a transversal competence in all state financed VET programmes</w:t>
      </w:r>
      <w:r>
        <w:rPr>
          <w:b/>
          <w:bCs/>
          <w:i/>
          <w:iCs/>
          <w:lang w:eastAsia="en-GB"/>
        </w:rPr>
        <w:t>.</w:t>
      </w:r>
    </w:p>
    <w:p w14:paraId="683151D2" w14:textId="77777777" w:rsidR="009601AE" w:rsidRDefault="009601AE" w:rsidP="009E3730">
      <w:pPr>
        <w:widowControl w:val="0"/>
        <w:suppressAutoHyphens/>
      </w:pPr>
    </w:p>
    <w:p w14:paraId="471CC81F" w14:textId="77777777" w:rsidR="009601AE" w:rsidRDefault="009601AE" w:rsidP="009E3730">
      <w:pPr>
        <w:widowControl w:val="0"/>
        <w:suppressAutoHyphens/>
      </w:pPr>
      <w:r>
        <w:t xml:space="preserve">Source of Verification: </w:t>
      </w:r>
    </w:p>
    <w:p w14:paraId="36361724" w14:textId="77777777" w:rsidR="009601AE" w:rsidRDefault="009601AE" w:rsidP="009E3730">
      <w:pPr>
        <w:widowControl w:val="0"/>
        <w:numPr>
          <w:ilvl w:val="0"/>
          <w:numId w:val="2"/>
        </w:numPr>
        <w:suppressAutoHyphens/>
        <w:autoSpaceDE w:val="0"/>
        <w:autoSpaceDN w:val="0"/>
        <w:ind w:left="714" w:hanging="357"/>
        <w:rPr>
          <w:lang w:eastAsia="en-GB"/>
        </w:rPr>
      </w:pPr>
      <w:r>
        <w:rPr>
          <w:lang w:eastAsia="en-GB"/>
        </w:rPr>
        <w:t>Entrepreneurial Learning component reflected in state funded VET programmes.</w:t>
      </w:r>
    </w:p>
    <w:p w14:paraId="54229DAA" w14:textId="77777777" w:rsidR="009601AE" w:rsidRDefault="009601AE" w:rsidP="009E3730">
      <w:pPr>
        <w:widowControl w:val="0"/>
        <w:suppressAutoHyphens/>
      </w:pPr>
    </w:p>
    <w:p w14:paraId="4F075793" w14:textId="26152A61" w:rsidR="009601AE" w:rsidRDefault="009601AE" w:rsidP="009E3730">
      <w:pPr>
        <w:widowControl w:val="0"/>
        <w:suppressAutoHyphens/>
        <w:ind w:right="26"/>
        <w:rPr>
          <w:b/>
          <w:bCs/>
        </w:rPr>
      </w:pPr>
      <w:r>
        <w:rPr>
          <w:b/>
          <w:bCs/>
          <w:u w:val="single"/>
        </w:rPr>
        <w:t>Review Assessment</w:t>
      </w:r>
      <w:r>
        <w:rPr>
          <w:b/>
          <w:bCs/>
        </w:rPr>
        <w:t>: fulfilled.</w:t>
      </w:r>
    </w:p>
    <w:p w14:paraId="08B27F55" w14:textId="10581CC5" w:rsidR="009601AE" w:rsidRDefault="009601AE" w:rsidP="009E3730">
      <w:pPr>
        <w:widowControl w:val="0"/>
        <w:suppressAutoHyphens/>
      </w:pPr>
    </w:p>
    <w:p w14:paraId="42CB9501" w14:textId="6C6570EA" w:rsidR="009601AE" w:rsidRDefault="004E4A92" w:rsidP="009E3730">
      <w:pPr>
        <w:widowControl w:val="0"/>
        <w:suppressAutoHyphens/>
        <w:rPr>
          <w:rFonts w:eastAsia="Times New Roman" w:cs="Times New Roman"/>
        </w:rPr>
      </w:pPr>
      <w:r w:rsidRPr="00553DD8">
        <w:rPr>
          <w:rFonts w:eastAsia="Times New Roman" w:cs="Times New Roman"/>
        </w:rPr>
        <w:t>Entrepreneurial learning (as one of the 8 key competences</w:t>
      </w:r>
      <w:r w:rsidRPr="00553DD8">
        <w:rPr>
          <w:rFonts w:eastAsia="Times New Roman"/>
          <w:sz w:val="20"/>
          <w:szCs w:val="20"/>
          <w:vertAlign w:val="superscript"/>
        </w:rPr>
        <w:footnoteReference w:id="42"/>
      </w:r>
      <w:r w:rsidRPr="00553DD8">
        <w:rPr>
          <w:rFonts w:eastAsia="Times New Roman" w:cs="Times New Roman"/>
        </w:rPr>
        <w:t xml:space="preserve">) was introduced into state VET courses as a separate mandatory module with EU TA support in 2013. </w:t>
      </w:r>
      <w:r w:rsidR="00FD3C17">
        <w:rPr>
          <w:rFonts w:eastAsia="Times New Roman" w:cs="Times New Roman"/>
        </w:rPr>
        <w:t>R</w:t>
      </w:r>
      <w:r w:rsidRPr="00553DD8">
        <w:rPr>
          <w:rFonts w:eastAsia="Times New Roman" w:cs="Times New Roman"/>
        </w:rPr>
        <w:t>evised version</w:t>
      </w:r>
      <w:r w:rsidR="00FD3C17">
        <w:rPr>
          <w:rFonts w:eastAsia="Times New Roman" w:cs="Times New Roman"/>
        </w:rPr>
        <w:t>s (for third and fourth/fifth VET levels)</w:t>
      </w:r>
      <w:r w:rsidRPr="00553DD8">
        <w:rPr>
          <w:rFonts w:eastAsia="Times New Roman" w:cs="Times New Roman"/>
        </w:rPr>
        <w:t xml:space="preserve">, developed by NCEQE with the support of the SDC/UNDP project, </w:t>
      </w:r>
      <w:r w:rsidR="00FD3C17">
        <w:rPr>
          <w:rFonts w:eastAsia="Times New Roman" w:cs="Times New Roman"/>
        </w:rPr>
        <w:t>and</w:t>
      </w:r>
      <w:r>
        <w:rPr>
          <w:rFonts w:eastAsia="Times New Roman" w:cs="Times New Roman"/>
        </w:rPr>
        <w:t xml:space="preserve"> introduced </w:t>
      </w:r>
      <w:r w:rsidRPr="00BC0359">
        <w:rPr>
          <w:rFonts w:eastAsia="Times New Roman" w:cs="Times New Roman"/>
        </w:rPr>
        <w:t xml:space="preserve">(along with </w:t>
      </w:r>
      <w:r w:rsidR="00FD3C17">
        <w:rPr>
          <w:rFonts w:eastAsia="Times New Roman" w:cs="Times New Roman"/>
        </w:rPr>
        <w:t>an</w:t>
      </w:r>
      <w:r w:rsidRPr="00BC0359">
        <w:rPr>
          <w:rFonts w:eastAsia="Times New Roman" w:cs="Times New Roman"/>
        </w:rPr>
        <w:t xml:space="preserve">other </w:t>
      </w:r>
      <w:r w:rsidR="00FD3C17">
        <w:rPr>
          <w:rFonts w:eastAsia="Times New Roman" w:cs="Times New Roman"/>
        </w:rPr>
        <w:t>9</w:t>
      </w:r>
      <w:r w:rsidRPr="00BC0359">
        <w:rPr>
          <w:rFonts w:eastAsia="Times New Roman" w:cs="Times New Roman"/>
        </w:rPr>
        <w:t xml:space="preserve"> man</w:t>
      </w:r>
      <w:r w:rsidR="00DF3FD8">
        <w:rPr>
          <w:rFonts w:eastAsia="Times New Roman" w:cs="Times New Roman"/>
        </w:rPr>
        <w:t>datory modules) by NCEQE Order No.</w:t>
      </w:r>
      <w:r w:rsidRPr="00BC0359">
        <w:rPr>
          <w:rFonts w:eastAsia="Times New Roman" w:cs="Times New Roman"/>
        </w:rPr>
        <w:t>536 of 28</w:t>
      </w:r>
      <w:r w:rsidR="00DF3FD8">
        <w:rPr>
          <w:rFonts w:eastAsia="Times New Roman" w:cs="Times New Roman"/>
        </w:rPr>
        <w:t xml:space="preserve">th July </w:t>
      </w:r>
      <w:r w:rsidRPr="00BC0359">
        <w:rPr>
          <w:rFonts w:eastAsia="Times New Roman" w:cs="Times New Roman"/>
        </w:rPr>
        <w:t>2015</w:t>
      </w:r>
      <w:r w:rsidR="00FD3C17">
        <w:rPr>
          <w:rFonts w:eastAsia="Times New Roman" w:cs="Times New Roman"/>
        </w:rPr>
        <w:t>, have</w:t>
      </w:r>
      <w:r w:rsidRPr="00553DD8">
        <w:rPr>
          <w:rFonts w:eastAsia="Times New Roman" w:cs="Times New Roman"/>
        </w:rPr>
        <w:t xml:space="preserve"> been taught since </w:t>
      </w:r>
      <w:r w:rsidR="00FD3C17">
        <w:rPr>
          <w:rFonts w:eastAsia="Times New Roman" w:cs="Times New Roman"/>
        </w:rPr>
        <w:t xml:space="preserve">autumn </w:t>
      </w:r>
      <w:r w:rsidRPr="00553DD8">
        <w:rPr>
          <w:rFonts w:eastAsia="Times New Roman" w:cs="Times New Roman"/>
        </w:rPr>
        <w:t>2015. NCEQE has monitored the delivery of this module during 2015 and 2016 by visits to colleges and attendance at classes.</w:t>
      </w:r>
    </w:p>
    <w:p w14:paraId="0DBA0B1B" w14:textId="77777777" w:rsidR="00DF3FD8" w:rsidRDefault="00DF3FD8" w:rsidP="009E3730">
      <w:pPr>
        <w:widowControl w:val="0"/>
        <w:suppressAutoHyphens/>
        <w:rPr>
          <w:rFonts w:eastAsia="Times New Roman" w:cs="Times New Roman"/>
        </w:rPr>
      </w:pPr>
    </w:p>
    <w:p w14:paraId="3548B6B8" w14:textId="77777777" w:rsidR="00DF3FD8" w:rsidRPr="00553DD8" w:rsidRDefault="00DF3FD8" w:rsidP="009E3730">
      <w:pPr>
        <w:widowControl w:val="0"/>
        <w:suppressAutoHyphens/>
        <w:rPr>
          <w:rFonts w:eastAsia="Times New Roman" w:cs="Times New Roman"/>
        </w:rPr>
      </w:pPr>
      <w:r w:rsidRPr="00553DD8">
        <w:rPr>
          <w:rFonts w:eastAsia="Times New Roman" w:cs="Times New Roman"/>
        </w:rPr>
        <w:t>The entrepreneurship module includes a number of learning outcomes:</w:t>
      </w:r>
    </w:p>
    <w:p w14:paraId="41967541" w14:textId="77777777" w:rsidR="00DF3FD8" w:rsidRPr="00553DD8" w:rsidRDefault="00DF3FD8" w:rsidP="009E3730">
      <w:pPr>
        <w:widowControl w:val="0"/>
        <w:suppressAutoHyphens/>
        <w:rPr>
          <w:rFonts w:eastAsia="Times New Roman" w:cs="Times New Roman"/>
        </w:rPr>
      </w:pPr>
    </w:p>
    <w:p w14:paraId="441D123C" w14:textId="77777777" w:rsidR="00DF3FD8" w:rsidRPr="00553DD8" w:rsidRDefault="00DF3FD8" w:rsidP="007C295F">
      <w:pPr>
        <w:widowControl w:val="0"/>
        <w:numPr>
          <w:ilvl w:val="0"/>
          <w:numId w:val="14"/>
        </w:numPr>
        <w:suppressAutoHyphens/>
        <w:rPr>
          <w:rFonts w:eastAsia="Times New Roman" w:cs="Times New Roman"/>
        </w:rPr>
      </w:pPr>
      <w:r w:rsidRPr="00553DD8">
        <w:rPr>
          <w:rFonts w:eastAsia="Times New Roman" w:cs="Times New Roman"/>
        </w:rPr>
        <w:t xml:space="preserve">Business </w:t>
      </w:r>
      <w:r>
        <w:rPr>
          <w:rFonts w:eastAsia="Times New Roman" w:cs="Times New Roman"/>
        </w:rPr>
        <w:t>P</w:t>
      </w:r>
      <w:r w:rsidRPr="00553DD8">
        <w:rPr>
          <w:rFonts w:eastAsia="Times New Roman" w:cs="Times New Roman"/>
        </w:rPr>
        <w:t>lanning: general skills, general marketing;</w:t>
      </w:r>
    </w:p>
    <w:p w14:paraId="2A51568C" w14:textId="77777777" w:rsidR="00DF3FD8" w:rsidRPr="00553DD8" w:rsidRDefault="00DF3FD8" w:rsidP="007C295F">
      <w:pPr>
        <w:widowControl w:val="0"/>
        <w:numPr>
          <w:ilvl w:val="0"/>
          <w:numId w:val="14"/>
        </w:numPr>
        <w:suppressAutoHyphens/>
        <w:rPr>
          <w:rFonts w:eastAsia="Times New Roman" w:cs="Times New Roman"/>
        </w:rPr>
      </w:pPr>
      <w:r>
        <w:rPr>
          <w:rFonts w:eastAsia="Times New Roman" w:cs="Times New Roman"/>
        </w:rPr>
        <w:t xml:space="preserve">Business </w:t>
      </w:r>
      <w:r w:rsidRPr="00553DD8">
        <w:rPr>
          <w:rFonts w:eastAsia="Times New Roman" w:cs="Times New Roman"/>
        </w:rPr>
        <w:t>Regist</w:t>
      </w:r>
      <w:r>
        <w:rPr>
          <w:rFonts w:eastAsia="Times New Roman" w:cs="Times New Roman"/>
        </w:rPr>
        <w:t>ration</w:t>
      </w:r>
      <w:r w:rsidRPr="00553DD8">
        <w:rPr>
          <w:rFonts w:eastAsia="Times New Roman" w:cs="Times New Roman"/>
        </w:rPr>
        <w:t>: legislation, procedures;</w:t>
      </w:r>
    </w:p>
    <w:p w14:paraId="0D720F08" w14:textId="77777777" w:rsidR="00DF3FD8" w:rsidRPr="00553DD8" w:rsidRDefault="00DF3FD8" w:rsidP="007C295F">
      <w:pPr>
        <w:widowControl w:val="0"/>
        <w:numPr>
          <w:ilvl w:val="0"/>
          <w:numId w:val="14"/>
        </w:numPr>
        <w:suppressAutoHyphens/>
        <w:rPr>
          <w:rFonts w:eastAsia="Times New Roman" w:cs="Times New Roman"/>
        </w:rPr>
      </w:pPr>
      <w:r>
        <w:rPr>
          <w:rFonts w:eastAsia="Times New Roman" w:cs="Times New Roman"/>
        </w:rPr>
        <w:t>B</w:t>
      </w:r>
      <w:r w:rsidRPr="00553DD8">
        <w:rPr>
          <w:rFonts w:eastAsia="Times New Roman" w:cs="Times New Roman"/>
        </w:rPr>
        <w:t>usiness</w:t>
      </w:r>
      <w:r>
        <w:rPr>
          <w:rFonts w:eastAsia="Times New Roman" w:cs="Times New Roman"/>
        </w:rPr>
        <w:t xml:space="preserve"> Administration</w:t>
      </w:r>
      <w:r w:rsidRPr="00553DD8">
        <w:rPr>
          <w:rFonts w:eastAsia="Times New Roman" w:cs="Times New Roman"/>
        </w:rPr>
        <w:t>: resources, finances;</w:t>
      </w:r>
    </w:p>
    <w:p w14:paraId="6BB75509" w14:textId="31E19ACC" w:rsidR="00DF3FD8" w:rsidRPr="00553DD8" w:rsidRDefault="00DF3FD8" w:rsidP="007C295F">
      <w:pPr>
        <w:widowControl w:val="0"/>
        <w:numPr>
          <w:ilvl w:val="0"/>
          <w:numId w:val="14"/>
        </w:numPr>
        <w:suppressAutoHyphens/>
        <w:rPr>
          <w:rFonts w:eastAsia="Times New Roman" w:cs="Times New Roman"/>
        </w:rPr>
      </w:pPr>
      <w:r w:rsidRPr="00553DD8">
        <w:rPr>
          <w:rFonts w:eastAsia="Times New Roman" w:cs="Times New Roman"/>
        </w:rPr>
        <w:t>Human Resource management (</w:t>
      </w:r>
      <w:r>
        <w:rPr>
          <w:rFonts w:eastAsia="Times New Roman" w:cs="Times New Roman"/>
        </w:rPr>
        <w:t>for 4</w:t>
      </w:r>
      <w:r w:rsidR="00A75637">
        <w:rPr>
          <w:rFonts w:eastAsia="Times New Roman" w:cs="Times New Roman"/>
        </w:rPr>
        <w:t>th and 5th</w:t>
      </w:r>
      <w:r>
        <w:rPr>
          <w:rFonts w:eastAsia="Times New Roman" w:cs="Times New Roman"/>
        </w:rPr>
        <w:t xml:space="preserve"> </w:t>
      </w:r>
      <w:r w:rsidR="00A75637">
        <w:rPr>
          <w:rFonts w:eastAsia="Times New Roman" w:cs="Times New Roman"/>
        </w:rPr>
        <w:t>level VET</w:t>
      </w:r>
      <w:r w:rsidRPr="00553DD8">
        <w:rPr>
          <w:rFonts w:eastAsia="Times New Roman" w:cs="Times New Roman"/>
        </w:rPr>
        <w:t>): rights, obligations;</w:t>
      </w:r>
    </w:p>
    <w:p w14:paraId="73461DC6" w14:textId="77777777" w:rsidR="00DF3FD8" w:rsidRPr="00553DD8" w:rsidRDefault="00DF3FD8" w:rsidP="007C295F">
      <w:pPr>
        <w:widowControl w:val="0"/>
        <w:numPr>
          <w:ilvl w:val="0"/>
          <w:numId w:val="14"/>
        </w:numPr>
        <w:suppressAutoHyphens/>
        <w:rPr>
          <w:rFonts w:eastAsia="Times New Roman" w:cs="Times New Roman"/>
        </w:rPr>
      </w:pPr>
      <w:r>
        <w:rPr>
          <w:rFonts w:eastAsia="Times New Roman" w:cs="Times New Roman"/>
        </w:rPr>
        <w:t xml:space="preserve">Product/services </w:t>
      </w:r>
      <w:r w:rsidRPr="00553DD8">
        <w:rPr>
          <w:rFonts w:eastAsia="Times New Roman" w:cs="Times New Roman"/>
        </w:rPr>
        <w:t>Sales: wholesale, retail, marketing; and</w:t>
      </w:r>
    </w:p>
    <w:p w14:paraId="63F11729" w14:textId="77777777" w:rsidR="00DF3FD8" w:rsidRPr="00F409A1" w:rsidRDefault="00DF3FD8" w:rsidP="007C295F">
      <w:pPr>
        <w:widowControl w:val="0"/>
        <w:numPr>
          <w:ilvl w:val="0"/>
          <w:numId w:val="14"/>
        </w:numPr>
        <w:suppressAutoHyphens/>
        <w:rPr>
          <w:rFonts w:eastAsia="Times New Roman"/>
        </w:rPr>
      </w:pPr>
      <w:r w:rsidRPr="00F409A1">
        <w:rPr>
          <w:lang w:val="ka-GE"/>
        </w:rPr>
        <w:t>Simplified financial accounting and reporting</w:t>
      </w:r>
      <w:r w:rsidRPr="00F409A1">
        <w:rPr>
          <w:rFonts w:eastAsia="Times New Roman"/>
        </w:rPr>
        <w:t>.</w:t>
      </w:r>
    </w:p>
    <w:p w14:paraId="33125ED4" w14:textId="77777777" w:rsidR="00DF3FD8" w:rsidRDefault="00DF3FD8" w:rsidP="009E3730">
      <w:pPr>
        <w:widowControl w:val="0"/>
        <w:suppressAutoHyphens/>
        <w:rPr>
          <w:rFonts w:eastAsia="Times New Roman" w:cs="Times New Roman"/>
        </w:rPr>
      </w:pPr>
    </w:p>
    <w:p w14:paraId="52EAFB4B" w14:textId="7A6A8782" w:rsidR="00A75637" w:rsidRDefault="00DF3FD8" w:rsidP="009E3730">
      <w:pPr>
        <w:widowControl w:val="0"/>
        <w:suppressAutoHyphens/>
        <w:rPr>
          <w:rFonts w:eastAsia="Times New Roman" w:cs="Times New Roman"/>
        </w:rPr>
      </w:pPr>
      <w:r w:rsidRPr="00553DD8">
        <w:rPr>
          <w:rFonts w:eastAsia="Times New Roman" w:cs="Times New Roman"/>
        </w:rPr>
        <w:t xml:space="preserve">The module provides 4 credits for the third and </w:t>
      </w:r>
      <w:r>
        <w:rPr>
          <w:rFonts w:eastAsia="Times New Roman" w:cs="Times New Roman"/>
        </w:rPr>
        <w:t xml:space="preserve">5 credits for the </w:t>
      </w:r>
      <w:r w:rsidRPr="00553DD8">
        <w:rPr>
          <w:rFonts w:eastAsia="Times New Roman" w:cs="Times New Roman"/>
        </w:rPr>
        <w:t xml:space="preserve">fourth </w:t>
      </w:r>
      <w:r w:rsidR="00A75637">
        <w:rPr>
          <w:rFonts w:eastAsia="Times New Roman" w:cs="Times New Roman"/>
        </w:rPr>
        <w:t xml:space="preserve">and fifth </w:t>
      </w:r>
      <w:r w:rsidRPr="00553DD8">
        <w:rPr>
          <w:rFonts w:eastAsia="Times New Roman" w:cs="Times New Roman"/>
        </w:rPr>
        <w:t>level of VET</w:t>
      </w:r>
      <w:r>
        <w:rPr>
          <w:rFonts w:eastAsia="Times New Roman" w:cs="Times New Roman"/>
        </w:rPr>
        <w:t xml:space="preserve">. Although </w:t>
      </w:r>
      <w:r w:rsidR="00A75637">
        <w:rPr>
          <w:rFonts w:eastAsia="Times New Roman" w:cs="Times New Roman"/>
        </w:rPr>
        <w:t>the draft module (registered under No.</w:t>
      </w:r>
      <w:r w:rsidR="00A75637" w:rsidRPr="004F6280">
        <w:rPr>
          <w:rFonts w:eastAsia="Times New Roman" w:cs="Times New Roman"/>
        </w:rPr>
        <w:t>0410002</w:t>
      </w:r>
      <w:r w:rsidR="00A75637">
        <w:rPr>
          <w:rFonts w:eastAsia="Times New Roman" w:cs="Times New Roman"/>
        </w:rPr>
        <w:t xml:space="preserve">) presented for </w:t>
      </w:r>
      <w:r>
        <w:rPr>
          <w:rFonts w:eastAsia="Times New Roman" w:cs="Times New Roman"/>
        </w:rPr>
        <w:t xml:space="preserve">the </w:t>
      </w:r>
      <w:r w:rsidR="00A75637">
        <w:rPr>
          <w:rFonts w:eastAsia="Times New Roman" w:cs="Times New Roman"/>
        </w:rPr>
        <w:t>fourth</w:t>
      </w:r>
      <w:r>
        <w:rPr>
          <w:rFonts w:eastAsia="Times New Roman" w:cs="Times New Roman"/>
        </w:rPr>
        <w:t xml:space="preserve"> level of VET, </w:t>
      </w:r>
      <w:r w:rsidR="00A75637">
        <w:rPr>
          <w:rFonts w:eastAsia="Times New Roman" w:cs="Times New Roman"/>
        </w:rPr>
        <w:t>updated in February 2016, does not mention the fifth level,</w:t>
      </w:r>
      <w:r>
        <w:rPr>
          <w:rFonts w:eastAsia="Times New Roman" w:cs="Times New Roman"/>
        </w:rPr>
        <w:t xml:space="preserve"> MoES </w:t>
      </w:r>
      <w:r w:rsidR="00A75637">
        <w:rPr>
          <w:rFonts w:eastAsia="Times New Roman" w:cs="Times New Roman"/>
        </w:rPr>
        <w:t>NCEQE Order No.</w:t>
      </w:r>
      <w:r w:rsidR="00A75637" w:rsidRPr="00BC0359">
        <w:rPr>
          <w:rFonts w:eastAsia="Times New Roman" w:cs="Times New Roman"/>
        </w:rPr>
        <w:t xml:space="preserve">536 </w:t>
      </w:r>
      <w:r w:rsidR="00A75637">
        <w:rPr>
          <w:rFonts w:eastAsia="Times New Roman" w:cs="Times New Roman"/>
        </w:rPr>
        <w:t xml:space="preserve">indicates that </w:t>
      </w:r>
      <w:r>
        <w:rPr>
          <w:rFonts w:eastAsia="Times New Roman" w:cs="Times New Roman"/>
        </w:rPr>
        <w:t xml:space="preserve">the same module is approved for both the </w:t>
      </w:r>
      <w:r w:rsidR="00564182">
        <w:rPr>
          <w:rFonts w:eastAsia="Times New Roman" w:cs="Times New Roman"/>
        </w:rPr>
        <w:t>fourth</w:t>
      </w:r>
      <w:r>
        <w:rPr>
          <w:rFonts w:eastAsia="Times New Roman" w:cs="Times New Roman"/>
        </w:rPr>
        <w:t xml:space="preserve"> and </w:t>
      </w:r>
      <w:r w:rsidR="00564182">
        <w:rPr>
          <w:rFonts w:eastAsia="Times New Roman" w:cs="Times New Roman"/>
        </w:rPr>
        <w:t>fifth</w:t>
      </w:r>
      <w:r>
        <w:rPr>
          <w:rFonts w:eastAsia="Times New Roman" w:cs="Times New Roman"/>
        </w:rPr>
        <w:t xml:space="preserve"> level of VET</w:t>
      </w:r>
      <w:r w:rsidR="00A75637">
        <w:rPr>
          <w:rFonts w:eastAsia="Times New Roman" w:cs="Times New Roman"/>
        </w:rPr>
        <w:t xml:space="preserve">. This is confirmed by the MoES self-assessment report and by discussions held by the Review with </w:t>
      </w:r>
      <w:r>
        <w:rPr>
          <w:rFonts w:eastAsia="Times New Roman" w:cs="Times New Roman"/>
        </w:rPr>
        <w:t xml:space="preserve">institutions providing </w:t>
      </w:r>
      <w:r w:rsidR="00564182">
        <w:rPr>
          <w:rFonts w:eastAsia="Times New Roman" w:cs="Times New Roman"/>
        </w:rPr>
        <w:t>courses at VET fifth level</w:t>
      </w:r>
      <w:r>
        <w:rPr>
          <w:rFonts w:eastAsia="Times New Roman" w:cs="Times New Roman"/>
        </w:rPr>
        <w:t>.</w:t>
      </w:r>
      <w:r w:rsidRPr="00553DD8">
        <w:rPr>
          <w:rFonts w:eastAsia="Times New Roman" w:cs="Times New Roman"/>
        </w:rPr>
        <w:t xml:space="preserve"> </w:t>
      </w:r>
    </w:p>
    <w:p w14:paraId="6019F665" w14:textId="77777777" w:rsidR="00A75637" w:rsidRDefault="00A75637" w:rsidP="009E3730">
      <w:pPr>
        <w:widowControl w:val="0"/>
        <w:suppressAutoHyphens/>
        <w:rPr>
          <w:rFonts w:eastAsia="Times New Roman" w:cs="Times New Roman"/>
        </w:rPr>
      </w:pPr>
    </w:p>
    <w:p w14:paraId="6574EE0C" w14:textId="67AA77CF" w:rsidR="00DF3FD8" w:rsidRDefault="00DF3FD8" w:rsidP="009E3730">
      <w:pPr>
        <w:widowControl w:val="0"/>
        <w:suppressAutoHyphens/>
        <w:rPr>
          <w:rFonts w:eastAsia="Times New Roman" w:cs="Times New Roman"/>
        </w:rPr>
      </w:pPr>
      <w:r w:rsidRPr="00553DD8">
        <w:rPr>
          <w:rFonts w:eastAsia="Times New Roman" w:cs="Times New Roman"/>
        </w:rPr>
        <w:t xml:space="preserve">The module is not delivered at the first and second levels of VET, which currently </w:t>
      </w:r>
      <w:r w:rsidR="00A75637">
        <w:rPr>
          <w:rFonts w:eastAsia="Times New Roman" w:cs="Times New Roman"/>
        </w:rPr>
        <w:t>are</w:t>
      </w:r>
      <w:r w:rsidRPr="00553DD8">
        <w:rPr>
          <w:rFonts w:eastAsia="Times New Roman" w:cs="Times New Roman"/>
        </w:rPr>
        <w:t xml:space="preserve"> not offered as separate qualifications</w:t>
      </w:r>
      <w:r>
        <w:rPr>
          <w:rFonts w:eastAsia="Times New Roman" w:cs="Times New Roman"/>
        </w:rPr>
        <w:t xml:space="preserve"> </w:t>
      </w:r>
      <w:r w:rsidR="00865BA7">
        <w:rPr>
          <w:rFonts w:eastAsia="Times New Roman" w:cs="Times New Roman"/>
        </w:rPr>
        <w:t xml:space="preserve">in VET and HE institutions </w:t>
      </w:r>
      <w:r>
        <w:rPr>
          <w:rFonts w:eastAsia="Times New Roman" w:cs="Times New Roman"/>
        </w:rPr>
        <w:t xml:space="preserve">(they are being provided in parallel with general education in secondary schools only; </w:t>
      </w:r>
      <w:r w:rsidR="00865BA7">
        <w:rPr>
          <w:rFonts w:eastAsia="Times New Roman" w:cs="Times New Roman"/>
        </w:rPr>
        <w:t xml:space="preserve">where an </w:t>
      </w:r>
      <w:r>
        <w:rPr>
          <w:rFonts w:eastAsia="Times New Roman" w:cs="Times New Roman"/>
        </w:rPr>
        <w:t>entrepreneurial course is imbedded in the curricula and covers some of the learning outcomes of the levels 3-5 modules)</w:t>
      </w:r>
      <w:r w:rsidR="00865BA7">
        <w:rPr>
          <w:rFonts w:eastAsia="Times New Roman" w:cs="Times New Roman"/>
        </w:rPr>
        <w:t>. In the future</w:t>
      </w:r>
      <w:r w:rsidRPr="00553DD8">
        <w:rPr>
          <w:rFonts w:eastAsia="Times New Roman" w:cs="Times New Roman"/>
        </w:rPr>
        <w:t xml:space="preserve">, however, </w:t>
      </w:r>
      <w:r w:rsidR="00865BA7">
        <w:rPr>
          <w:rFonts w:eastAsia="Times New Roman" w:cs="Times New Roman"/>
        </w:rPr>
        <w:t xml:space="preserve">it is </w:t>
      </w:r>
      <w:r w:rsidRPr="00553DD8">
        <w:rPr>
          <w:rFonts w:eastAsia="Times New Roman" w:cs="Times New Roman"/>
        </w:rPr>
        <w:t xml:space="preserve">planned to reintroduce separate first and second level qualifications </w:t>
      </w:r>
      <w:r w:rsidR="00865BA7">
        <w:rPr>
          <w:rFonts w:eastAsia="Times New Roman" w:cs="Times New Roman"/>
        </w:rPr>
        <w:t xml:space="preserve">at VET institutions </w:t>
      </w:r>
      <w:r w:rsidRPr="00553DD8">
        <w:rPr>
          <w:rFonts w:eastAsia="Times New Roman" w:cs="Times New Roman"/>
        </w:rPr>
        <w:t>in the context of retraining/reskilling (to be covered by the new VET law</w:t>
      </w:r>
      <w:r w:rsidR="00865BA7">
        <w:rPr>
          <w:rFonts w:eastAsia="Times New Roman" w:cs="Times New Roman"/>
        </w:rPr>
        <w:t>)</w:t>
      </w:r>
      <w:r w:rsidRPr="00553DD8">
        <w:rPr>
          <w:rFonts w:eastAsia="Times New Roman" w:cs="Times New Roman"/>
        </w:rPr>
        <w:t>. It would appear to be logical to build key competences at all levels of VET which lead to a qualification, but whether this should also apply to these new lower level qualifications is debatable. This issue still has to be analysed in the context of the new NQF, which has yet to be adopted (see 2.1.1).</w:t>
      </w:r>
    </w:p>
    <w:p w14:paraId="5C0FE291" w14:textId="77777777" w:rsidR="009601AE" w:rsidRPr="008145EC" w:rsidRDefault="009601AE" w:rsidP="009E3730">
      <w:pPr>
        <w:widowControl w:val="0"/>
        <w:suppressAutoHyphens/>
      </w:pPr>
    </w:p>
    <w:p w14:paraId="1394B704" w14:textId="054F0AD0" w:rsidR="00865BA7" w:rsidRPr="00553DD8" w:rsidRDefault="00865BA7" w:rsidP="009E3730">
      <w:pPr>
        <w:widowControl w:val="0"/>
        <w:suppressAutoHyphens/>
        <w:rPr>
          <w:rFonts w:eastAsia="Times New Roman" w:cs="Times New Roman"/>
        </w:rPr>
      </w:pPr>
      <w:r w:rsidRPr="00F47B1A">
        <w:rPr>
          <w:rFonts w:eastAsia="Times New Roman" w:cs="Times New Roman"/>
        </w:rPr>
        <w:t>The Final Review also examined whether the entrepreneurship module is delivered with '</w:t>
      </w:r>
      <w:r w:rsidRPr="00F47B1A">
        <w:rPr>
          <w:rFonts w:eastAsia="Times New Roman" w:cs="Times New Roman"/>
          <w:i/>
        </w:rPr>
        <w:t>all state funded VET programmes'</w:t>
      </w:r>
      <w:r w:rsidRPr="00F47B1A">
        <w:rPr>
          <w:rFonts w:eastAsia="Times New Roman" w:cs="Times New Roman"/>
        </w:rPr>
        <w:t>, as required by the Indicator - i.e. with all VET programmes delivered by all 37 state VET providers (23 VET colleges and 14 higher education institutions</w:t>
      </w:r>
      <w:r w:rsidRPr="00F47B1A">
        <w:rPr>
          <w:rFonts w:eastAsia="Times New Roman"/>
          <w:sz w:val="20"/>
          <w:szCs w:val="20"/>
          <w:vertAlign w:val="superscript"/>
        </w:rPr>
        <w:footnoteReference w:id="43"/>
      </w:r>
      <w:r w:rsidRPr="00F47B1A">
        <w:rPr>
          <w:rFonts w:eastAsia="Times New Roman" w:cs="Times New Roman"/>
        </w:rPr>
        <w:t xml:space="preserve">), and any private VET providers (of which there are 90) that receive state funding (such as HE institutions and secondary schools), especially given that training of teachers in delivery of the module has been limited in numbers (see below). At those VET institutions visited by the Review (Rustavi college Modusi, Akhaltsikhe college Opizari, Gori college Gantiadi, Samtskhe-Javakheti State University, Gori State Teaching University), the entrepreneurship module was taught only as part of those programmes delivered under the modular approach. For other programmes still offered in traditional “subject-based” form, a subject “Basics of entrepreneurship” was being taught according to a relatively old content. However, </w:t>
      </w:r>
      <w:r w:rsidR="00FD3C17" w:rsidRPr="00F47B1A">
        <w:rPr>
          <w:rFonts w:eastAsia="Times New Roman" w:cs="Times New Roman"/>
        </w:rPr>
        <w:t xml:space="preserve">given that the module will be progressively introduced into all programmes as they are developed in modular form, and even now </w:t>
      </w:r>
      <w:r w:rsidRPr="00F47B1A">
        <w:rPr>
          <w:rFonts w:eastAsia="Times New Roman" w:cs="Times New Roman"/>
        </w:rPr>
        <w:t>the source of verification (</w:t>
      </w:r>
      <w:r w:rsidR="00F47B1A" w:rsidRPr="00F47B1A">
        <w:rPr>
          <w:rFonts w:eastAsia="Times New Roman" w:cs="Times New Roman"/>
        </w:rPr>
        <w:t xml:space="preserve">that an </w:t>
      </w:r>
      <w:r w:rsidRPr="00F47B1A">
        <w:rPr>
          <w:rFonts w:eastAsia="Times New Roman" w:cs="Times New Roman"/>
        </w:rPr>
        <w:t>“</w:t>
      </w:r>
      <w:r w:rsidRPr="00F47B1A">
        <w:rPr>
          <w:rFonts w:eastAsia="Times New Roman" w:cs="Times New Roman"/>
          <w:i/>
        </w:rPr>
        <w:t xml:space="preserve">Entrepreneurial Learning component </w:t>
      </w:r>
      <w:r w:rsidR="00F47B1A" w:rsidRPr="00F47B1A">
        <w:rPr>
          <w:rFonts w:eastAsia="Times New Roman" w:cs="Times New Roman"/>
        </w:rPr>
        <w:t>(is)</w:t>
      </w:r>
      <w:r w:rsidR="00F47B1A" w:rsidRPr="00F47B1A">
        <w:rPr>
          <w:rFonts w:eastAsia="Times New Roman" w:cs="Times New Roman"/>
          <w:i/>
        </w:rPr>
        <w:t xml:space="preserve"> </w:t>
      </w:r>
      <w:r w:rsidRPr="00F47B1A">
        <w:rPr>
          <w:rFonts w:eastAsia="Times New Roman" w:cs="Times New Roman"/>
          <w:i/>
        </w:rPr>
        <w:t>reflected in state funded VET programmes</w:t>
      </w:r>
      <w:r w:rsidRPr="00F47B1A">
        <w:rPr>
          <w:rFonts w:eastAsia="Times New Roman" w:cs="Times New Roman"/>
        </w:rPr>
        <w:t xml:space="preserve">”), </w:t>
      </w:r>
      <w:r w:rsidR="00F47B1A" w:rsidRPr="00F47B1A">
        <w:rPr>
          <w:rFonts w:eastAsia="Times New Roman" w:cs="Times New Roman"/>
        </w:rPr>
        <w:t xml:space="preserve">is essentially met, the Review has determined that the current situation is sufficient for the Indicator to be considered fulfilled, given that an </w:t>
      </w:r>
      <w:r w:rsidRPr="00F47B1A">
        <w:rPr>
          <w:rFonts w:eastAsia="Times New Roman" w:cs="Times New Roman"/>
        </w:rPr>
        <w:t xml:space="preserve">entrepreneurial learning component is </w:t>
      </w:r>
      <w:r w:rsidR="00F47B1A" w:rsidRPr="00F47B1A">
        <w:rPr>
          <w:rFonts w:eastAsia="Times New Roman" w:cs="Times New Roman"/>
        </w:rPr>
        <w:t>indeed</w:t>
      </w:r>
      <w:r w:rsidRPr="00F47B1A">
        <w:rPr>
          <w:rFonts w:eastAsia="Times New Roman" w:cs="Times New Roman"/>
        </w:rPr>
        <w:t xml:space="preserve"> reflected in all programmes</w:t>
      </w:r>
      <w:r w:rsidR="00F47B1A" w:rsidRPr="00F47B1A">
        <w:rPr>
          <w:rFonts w:eastAsia="Times New Roman" w:cs="Times New Roman"/>
        </w:rPr>
        <w:t>, even if</w:t>
      </w:r>
      <w:r w:rsidRPr="00F47B1A">
        <w:rPr>
          <w:rFonts w:eastAsia="Times New Roman" w:cs="Times New Roman"/>
        </w:rPr>
        <w:t xml:space="preserve"> in different forms.</w:t>
      </w:r>
    </w:p>
    <w:p w14:paraId="2E4579B6" w14:textId="77777777" w:rsidR="009601AE" w:rsidRDefault="009601AE" w:rsidP="009E3730">
      <w:pPr>
        <w:widowControl w:val="0"/>
        <w:suppressAutoHyphens/>
      </w:pPr>
    </w:p>
    <w:p w14:paraId="3A5AFDE1" w14:textId="77777777" w:rsidR="009601AE" w:rsidRDefault="009601AE" w:rsidP="009E3730">
      <w:pPr>
        <w:widowControl w:val="0"/>
        <w:suppressAutoHyphens/>
      </w:pPr>
      <w:r w:rsidRPr="008145EC">
        <w:t xml:space="preserve">MoES and NCEQE </w:t>
      </w:r>
      <w:r>
        <w:t>developed Guidebooks on Entrepreneurial L</w:t>
      </w:r>
      <w:r w:rsidRPr="008145EC">
        <w:t xml:space="preserve">earning for teachers and for students with </w:t>
      </w:r>
      <w:r>
        <w:t xml:space="preserve">donor </w:t>
      </w:r>
      <w:r w:rsidRPr="008145EC">
        <w:t>support in 2015</w:t>
      </w:r>
      <w:r>
        <w:t xml:space="preserve"> and conducted training in the delivery of the entrepreneurship module for about 40 teachers through a 4-day (24 hours) training course. A forum on Face</w:t>
      </w:r>
      <w:r w:rsidRPr="008145EC">
        <w:t xml:space="preserve">book </w:t>
      </w:r>
      <w:r>
        <w:t xml:space="preserve">has been set up </w:t>
      </w:r>
      <w:r w:rsidRPr="008145EC">
        <w:t>for teachers of th</w:t>
      </w:r>
      <w:r>
        <w:t>e entrepreneurship</w:t>
      </w:r>
      <w:r w:rsidRPr="008145EC">
        <w:t xml:space="preserve"> module to exchange opinions</w:t>
      </w:r>
      <w:r>
        <w:t xml:space="preserve"> and experience</w:t>
      </w:r>
      <w:r w:rsidRPr="008145EC">
        <w:t xml:space="preserve">. </w:t>
      </w:r>
    </w:p>
    <w:p w14:paraId="23FCF9C2" w14:textId="77777777" w:rsidR="00F47B1A" w:rsidRPr="00553DD8" w:rsidRDefault="00F47B1A" w:rsidP="009E3730">
      <w:pPr>
        <w:widowControl w:val="0"/>
        <w:suppressAutoHyphens/>
        <w:rPr>
          <w:rFonts w:eastAsia="Times New Roman" w:cs="Times New Roman"/>
        </w:rPr>
      </w:pPr>
    </w:p>
    <w:p w14:paraId="662E4E23" w14:textId="3449DF62" w:rsidR="00F47B1A" w:rsidRPr="00553DD8" w:rsidRDefault="00F47B1A" w:rsidP="009E3730">
      <w:pPr>
        <w:widowControl w:val="0"/>
        <w:suppressAutoHyphens/>
        <w:rPr>
          <w:rFonts w:eastAsia="Times New Roman" w:cs="Times New Roman"/>
        </w:rPr>
      </w:pPr>
      <w:r w:rsidRPr="00553DD8">
        <w:rPr>
          <w:rFonts w:eastAsia="Times New Roman" w:cs="Times New Roman"/>
        </w:rPr>
        <w:t xml:space="preserve">In 2016, the Georgian Chamber of Commerce and Industry in cooperation with the Chamber of Commerce and Industry for Munich and Upper Bavaria (Germany) made an assessment of </w:t>
      </w:r>
      <w:r w:rsidRPr="00553DD8">
        <w:rPr>
          <w:rFonts w:eastAsia="Times New Roman" w:cs="Times New Roman"/>
        </w:rPr>
        <w:lastRenderedPageBreak/>
        <w:t>the module and its delivery, based in part on research undertaken by the International School of Economics at Tbilisi State University (ISET), and came up with recommendations for improvements to the entrepreneurship occupational standard/module, the teacher training module and the Guidebooks. Both modules were revised and a revised 5-day (30 hours) training of 17 state VET college teachers</w:t>
      </w:r>
      <w:r w:rsidRPr="00553DD8">
        <w:rPr>
          <w:rFonts w:eastAsia="Times New Roman"/>
          <w:sz w:val="20"/>
          <w:szCs w:val="20"/>
          <w:vertAlign w:val="superscript"/>
        </w:rPr>
        <w:footnoteReference w:id="44"/>
      </w:r>
      <w:r w:rsidRPr="00553DD8">
        <w:rPr>
          <w:rFonts w:eastAsia="Times New Roman" w:cs="Times New Roman"/>
        </w:rPr>
        <w:t xml:space="preserve"> conducted from the 12th of December 2016. Adoption of the revised versions of the Guidebooks</w:t>
      </w:r>
      <w:r w:rsidR="00035138">
        <w:rPr>
          <w:rFonts w:eastAsia="Times New Roman" w:cs="Times New Roman"/>
        </w:rPr>
        <w:t xml:space="preserve"> </w:t>
      </w:r>
      <w:r w:rsidRPr="00553DD8">
        <w:rPr>
          <w:rFonts w:eastAsia="Times New Roman" w:cs="Times New Roman"/>
        </w:rPr>
        <w:t xml:space="preserve">is anticipated </w:t>
      </w:r>
      <w:r w:rsidR="00035138">
        <w:rPr>
          <w:rFonts w:eastAsia="Times New Roman" w:cs="Times New Roman"/>
        </w:rPr>
        <w:t xml:space="preserve">later </w:t>
      </w:r>
      <w:r w:rsidRPr="00553DD8">
        <w:rPr>
          <w:rFonts w:eastAsia="Times New Roman" w:cs="Times New Roman"/>
        </w:rPr>
        <w:t xml:space="preserve">in 2017. </w:t>
      </w:r>
    </w:p>
    <w:p w14:paraId="4FCA7482" w14:textId="77777777" w:rsidR="009601AE" w:rsidRDefault="009601AE" w:rsidP="009E3730">
      <w:pPr>
        <w:widowControl w:val="0"/>
        <w:suppressAutoHyphens/>
      </w:pPr>
    </w:p>
    <w:p w14:paraId="15916CE3" w14:textId="32F1D9BD" w:rsidR="00035138" w:rsidRPr="00553DD8" w:rsidRDefault="00035138" w:rsidP="009E3730">
      <w:pPr>
        <w:widowControl w:val="0"/>
        <w:suppressAutoHyphens/>
        <w:rPr>
          <w:rFonts w:eastAsia="Times New Roman" w:cs="Times New Roman"/>
        </w:rPr>
      </w:pPr>
      <w:r w:rsidRPr="00553DD8">
        <w:rPr>
          <w:rFonts w:eastAsia="Times New Roman" w:cs="Times New Roman"/>
        </w:rPr>
        <w:t>To support training on entrepreneurship, the SDC/UNDP project is developing a number of entrepreneurship videos on both technical and more general aspects of agricultural employment, as well as promotional videos on work-based learning (WBL) and VET (see Specific Condition 3.3</w:t>
      </w:r>
      <w:r>
        <w:rPr>
          <w:rFonts w:eastAsia="Times New Roman" w:cs="Times New Roman"/>
        </w:rPr>
        <w:t>, Indicator 3.3.2). The videos we</w:t>
      </w:r>
      <w:r w:rsidRPr="00553DD8">
        <w:rPr>
          <w:rFonts w:eastAsia="Times New Roman" w:cs="Times New Roman"/>
        </w:rPr>
        <w:t>re expected to be available from March 2017 for use in VET institutions providing courses linked to agricultural occupations (and those involved in the WBL pilots - see Indicator 3.3.2).</w:t>
      </w:r>
    </w:p>
    <w:p w14:paraId="070B0AB9" w14:textId="77777777" w:rsidR="00035138" w:rsidRPr="00553DD8" w:rsidRDefault="00035138" w:rsidP="009E3730">
      <w:pPr>
        <w:widowControl w:val="0"/>
        <w:suppressAutoHyphens/>
        <w:rPr>
          <w:rFonts w:eastAsia="Times New Roman" w:cs="Times New Roman"/>
        </w:rPr>
      </w:pPr>
    </w:p>
    <w:p w14:paraId="4DA70EE8" w14:textId="06B11C7F" w:rsidR="00035138" w:rsidRDefault="00035138" w:rsidP="009E3730">
      <w:pPr>
        <w:widowControl w:val="0"/>
        <w:suppressAutoHyphens/>
        <w:rPr>
          <w:rFonts w:eastAsia="Times New Roman" w:cs="Times New Roman"/>
        </w:rPr>
      </w:pPr>
      <w:r w:rsidRPr="00553DD8">
        <w:rPr>
          <w:rFonts w:eastAsia="Times New Roman" w:cs="Times New Roman"/>
        </w:rPr>
        <w:t>To make the teaching of the entrepreneurship module more practical and bring it closer to the real work environment, amendments to the VET Law are proposed which will allow VET colleges to sell goods and services produced within the learning process. As a pilot initiative, Entrepreneurship Clubs have been established at 3 VET colleges with the support of the inclusive education project funded by the Norwegian Government</w:t>
      </w:r>
      <w:r w:rsidR="00205463">
        <w:rPr>
          <w:rStyle w:val="FootnoteReference"/>
          <w:rFonts w:eastAsia="Times New Roman"/>
        </w:rPr>
        <w:footnoteReference w:id="45"/>
      </w:r>
      <w:r w:rsidRPr="00553DD8">
        <w:rPr>
          <w:rFonts w:eastAsia="Times New Roman" w:cs="Times New Roman"/>
        </w:rPr>
        <w:t>.</w:t>
      </w:r>
      <w:r>
        <w:rPr>
          <w:rFonts w:eastAsia="Times New Roman" w:cs="Times New Roman"/>
        </w:rPr>
        <w:t xml:space="preserve"> Furthermore, I</w:t>
      </w:r>
      <w:r w:rsidRPr="00BC0359">
        <w:rPr>
          <w:rFonts w:eastAsia="Times New Roman" w:cs="Times New Roman"/>
        </w:rPr>
        <w:t>mproved version</w:t>
      </w:r>
      <w:r>
        <w:rPr>
          <w:rFonts w:eastAsia="Times New Roman" w:cs="Times New Roman"/>
        </w:rPr>
        <w:t>s</w:t>
      </w:r>
      <w:r w:rsidRPr="00BC0359">
        <w:rPr>
          <w:rFonts w:eastAsia="Times New Roman" w:cs="Times New Roman"/>
        </w:rPr>
        <w:t xml:space="preserve"> of th</w:t>
      </w:r>
      <w:r>
        <w:rPr>
          <w:rFonts w:eastAsia="Times New Roman" w:cs="Times New Roman"/>
        </w:rPr>
        <w:t xml:space="preserve">e entrepreneurship modules for the third to fifth levels of VET have been </w:t>
      </w:r>
      <w:r w:rsidRPr="00BC0359">
        <w:rPr>
          <w:rFonts w:eastAsia="Times New Roman" w:cs="Times New Roman"/>
        </w:rPr>
        <w:t xml:space="preserve">drafted and are expected to be introduced </w:t>
      </w:r>
      <w:r>
        <w:rPr>
          <w:rFonts w:eastAsia="Times New Roman" w:cs="Times New Roman"/>
        </w:rPr>
        <w:t xml:space="preserve">in the autumn for </w:t>
      </w:r>
      <w:r w:rsidRPr="00BC0359">
        <w:rPr>
          <w:rFonts w:eastAsia="Times New Roman" w:cs="Times New Roman"/>
        </w:rPr>
        <w:t>academic year 2017</w:t>
      </w:r>
      <w:r>
        <w:rPr>
          <w:rFonts w:eastAsia="Times New Roman" w:cs="Times New Roman"/>
        </w:rPr>
        <w:t>/18.</w:t>
      </w:r>
    </w:p>
    <w:p w14:paraId="46F65FB3" w14:textId="77777777" w:rsidR="009601AE" w:rsidRDefault="009601AE" w:rsidP="009E3730">
      <w:pPr>
        <w:widowControl w:val="0"/>
        <w:suppressAutoHyphens/>
      </w:pPr>
    </w:p>
    <w:p w14:paraId="74C22E97" w14:textId="77777777" w:rsidR="009601AE" w:rsidRDefault="009601AE" w:rsidP="009E3730">
      <w:pPr>
        <w:widowControl w:val="0"/>
        <w:suppressAutoHyphens/>
        <w:rPr>
          <w:b/>
          <w:bCs/>
          <w:i/>
          <w:iCs/>
          <w:lang w:eastAsia="en-GB"/>
        </w:rPr>
      </w:pPr>
      <w:r>
        <w:rPr>
          <w:b/>
          <w:bCs/>
          <w:u w:val="single"/>
        </w:rPr>
        <w:t>Indicator 2.1.3</w:t>
      </w:r>
      <w:r>
        <w:rPr>
          <w:b/>
          <w:bCs/>
        </w:rPr>
        <w:t>:</w:t>
      </w:r>
      <w:r>
        <w:rPr>
          <w:b/>
          <w:bCs/>
          <w:lang w:eastAsia="en-GB"/>
        </w:rPr>
        <w:t xml:space="preserve"> </w:t>
      </w:r>
      <w:r>
        <w:rPr>
          <w:b/>
          <w:bCs/>
          <w:i/>
          <w:lang w:eastAsia="en-GB"/>
        </w:rPr>
        <w:t>Occupational standards are regularly updated to meet labour market demand and designed with participation of employers organizations and sector committees</w:t>
      </w:r>
      <w:r>
        <w:rPr>
          <w:b/>
          <w:bCs/>
          <w:i/>
          <w:iCs/>
          <w:lang w:eastAsia="en-GB"/>
        </w:rPr>
        <w:t>.</w:t>
      </w:r>
    </w:p>
    <w:p w14:paraId="58824B85" w14:textId="77777777" w:rsidR="009601AE" w:rsidRDefault="009601AE" w:rsidP="009E3730">
      <w:pPr>
        <w:widowControl w:val="0"/>
        <w:suppressAutoHyphens/>
      </w:pPr>
    </w:p>
    <w:p w14:paraId="1998001D" w14:textId="77777777" w:rsidR="009601AE" w:rsidRDefault="009601AE" w:rsidP="009E3730">
      <w:pPr>
        <w:widowControl w:val="0"/>
        <w:suppressAutoHyphens/>
      </w:pPr>
      <w:r>
        <w:t xml:space="preserve">Source of Verification: </w:t>
      </w:r>
    </w:p>
    <w:p w14:paraId="7749275B" w14:textId="77777777" w:rsidR="009601AE" w:rsidRDefault="009601AE" w:rsidP="009E3730">
      <w:pPr>
        <w:widowControl w:val="0"/>
        <w:numPr>
          <w:ilvl w:val="0"/>
          <w:numId w:val="2"/>
        </w:numPr>
        <w:suppressAutoHyphens/>
        <w:autoSpaceDE w:val="0"/>
        <w:autoSpaceDN w:val="0"/>
        <w:ind w:left="714" w:hanging="357"/>
        <w:rPr>
          <w:lang w:eastAsia="en-GB"/>
        </w:rPr>
      </w:pPr>
      <w:r>
        <w:rPr>
          <w:lang w:eastAsia="en-GB"/>
        </w:rPr>
        <w:t>List of occupational standards.</w:t>
      </w:r>
    </w:p>
    <w:p w14:paraId="4C77D18F" w14:textId="77777777" w:rsidR="009601AE" w:rsidRDefault="009601AE" w:rsidP="009E3730">
      <w:pPr>
        <w:widowControl w:val="0"/>
        <w:suppressAutoHyphens/>
      </w:pPr>
    </w:p>
    <w:p w14:paraId="2BAF2C66" w14:textId="53B09E69" w:rsidR="009601AE" w:rsidRDefault="009601AE" w:rsidP="009E3730">
      <w:pPr>
        <w:widowControl w:val="0"/>
        <w:suppressAutoHyphens/>
        <w:ind w:right="26"/>
        <w:rPr>
          <w:b/>
          <w:bCs/>
        </w:rPr>
      </w:pPr>
      <w:r>
        <w:rPr>
          <w:b/>
          <w:bCs/>
          <w:u w:val="single"/>
        </w:rPr>
        <w:t>Review Assessment</w:t>
      </w:r>
      <w:r>
        <w:rPr>
          <w:b/>
          <w:bCs/>
        </w:rPr>
        <w:t>: fulfilled.</w:t>
      </w:r>
    </w:p>
    <w:p w14:paraId="7A470989" w14:textId="77777777" w:rsidR="009601AE" w:rsidRDefault="009601AE" w:rsidP="009E3730">
      <w:pPr>
        <w:widowControl w:val="0"/>
        <w:suppressAutoHyphens/>
        <w:ind w:right="26"/>
      </w:pPr>
    </w:p>
    <w:p w14:paraId="35EA4E99" w14:textId="7B4771DC" w:rsidR="00BB094C" w:rsidRDefault="00BB094C" w:rsidP="009E3730">
      <w:pPr>
        <w:widowControl w:val="0"/>
        <w:suppressAutoHyphens/>
        <w:rPr>
          <w:rFonts w:eastAsia="Times New Roman" w:cs="Times New Roman"/>
        </w:rPr>
      </w:pPr>
      <w:r>
        <w:rPr>
          <w:rFonts w:eastAsia="Times New Roman" w:cs="Times New Roman"/>
        </w:rPr>
        <w:t>46 new occupational standards (OS) were approved by NCEQE in 2016: 26 b</w:t>
      </w:r>
      <w:r w:rsidRPr="00BC0359">
        <w:rPr>
          <w:rFonts w:eastAsia="Times New Roman" w:cs="Times New Roman"/>
        </w:rPr>
        <w:t>y NCEQE</w:t>
      </w:r>
      <w:r>
        <w:rPr>
          <w:rFonts w:eastAsia="Times New Roman" w:cs="Times New Roman"/>
        </w:rPr>
        <w:t xml:space="preserve"> Orders No.</w:t>
      </w:r>
      <w:r w:rsidRPr="00BC0359">
        <w:rPr>
          <w:rFonts w:eastAsia="Times New Roman" w:cs="Times New Roman"/>
        </w:rPr>
        <w:t xml:space="preserve">248 of </w:t>
      </w:r>
      <w:r>
        <w:rPr>
          <w:rFonts w:eastAsia="Times New Roman" w:cs="Times New Roman"/>
        </w:rPr>
        <w:t>6th April;</w:t>
      </w:r>
      <w:r w:rsidRPr="00BC0359">
        <w:rPr>
          <w:rFonts w:eastAsia="Times New Roman" w:cs="Times New Roman"/>
        </w:rPr>
        <w:t xml:space="preserve"> </w:t>
      </w:r>
      <w:r>
        <w:rPr>
          <w:rFonts w:eastAsia="Times New Roman" w:cs="Times New Roman"/>
        </w:rPr>
        <w:t>nine by NCEQE Order No.</w:t>
      </w:r>
      <w:r w:rsidRPr="00BC0359">
        <w:rPr>
          <w:rFonts w:eastAsia="Times New Roman" w:cs="Times New Roman"/>
        </w:rPr>
        <w:t>675 of 21</w:t>
      </w:r>
      <w:r>
        <w:rPr>
          <w:rFonts w:eastAsia="Times New Roman" w:cs="Times New Roman"/>
        </w:rPr>
        <w:t>st July;</w:t>
      </w:r>
      <w:r w:rsidRPr="00BC0359">
        <w:rPr>
          <w:rFonts w:eastAsia="Times New Roman" w:cs="Times New Roman"/>
        </w:rPr>
        <w:t xml:space="preserve"> </w:t>
      </w:r>
      <w:r>
        <w:rPr>
          <w:rFonts w:eastAsia="Times New Roman" w:cs="Times New Roman"/>
        </w:rPr>
        <w:t>four by NCEQE Order No.</w:t>
      </w:r>
      <w:r w:rsidRPr="00BC0359">
        <w:rPr>
          <w:rFonts w:eastAsia="Times New Roman" w:cs="Times New Roman"/>
        </w:rPr>
        <w:t>787 of 15</w:t>
      </w:r>
      <w:r>
        <w:rPr>
          <w:rFonts w:eastAsia="Times New Roman" w:cs="Times New Roman"/>
        </w:rPr>
        <w:t>th August; four by NCEQE Order</w:t>
      </w:r>
      <w:r w:rsidRPr="00BC0359">
        <w:rPr>
          <w:rFonts w:eastAsia="Times New Roman" w:cs="Times New Roman"/>
        </w:rPr>
        <w:t xml:space="preserve"> </w:t>
      </w:r>
      <w:r>
        <w:rPr>
          <w:rFonts w:eastAsia="Times New Roman" w:cs="Times New Roman"/>
        </w:rPr>
        <w:t>No.</w:t>
      </w:r>
      <w:r w:rsidRPr="00BC0359">
        <w:rPr>
          <w:rFonts w:eastAsia="Times New Roman" w:cs="Times New Roman"/>
        </w:rPr>
        <w:t>850 of 25</w:t>
      </w:r>
      <w:r>
        <w:rPr>
          <w:rFonts w:eastAsia="Times New Roman" w:cs="Times New Roman"/>
        </w:rPr>
        <w:t xml:space="preserve">th August; </w:t>
      </w:r>
      <w:r w:rsidRPr="00BC0359">
        <w:rPr>
          <w:rFonts w:eastAsia="Times New Roman" w:cs="Times New Roman"/>
        </w:rPr>
        <w:t xml:space="preserve">and </w:t>
      </w:r>
      <w:r>
        <w:rPr>
          <w:rFonts w:eastAsia="Times New Roman" w:cs="Times New Roman"/>
        </w:rPr>
        <w:t>three by NCEQE Order No.</w:t>
      </w:r>
      <w:r w:rsidRPr="00BC0359">
        <w:rPr>
          <w:rFonts w:eastAsia="Times New Roman" w:cs="Times New Roman"/>
        </w:rPr>
        <w:t>1234 of 21</w:t>
      </w:r>
      <w:r>
        <w:rPr>
          <w:rFonts w:eastAsia="Times New Roman" w:cs="Times New Roman"/>
        </w:rPr>
        <w:t>st December</w:t>
      </w:r>
      <w:r w:rsidRPr="00BC0359">
        <w:rPr>
          <w:rFonts w:eastAsia="Times New Roman" w:cs="Times New Roman"/>
        </w:rPr>
        <w:t xml:space="preserve">. </w:t>
      </w:r>
      <w:r w:rsidR="00A57FFC">
        <w:rPr>
          <w:rFonts w:eastAsia="Times New Roman" w:cs="Times New Roman"/>
        </w:rPr>
        <w:t>Although approved in 2016, a</w:t>
      </w:r>
      <w:r>
        <w:rPr>
          <w:rFonts w:eastAsia="Times New Roman" w:cs="Times New Roman"/>
        </w:rPr>
        <w:t xml:space="preserve">ll of these new OS were </w:t>
      </w:r>
      <w:r w:rsidR="00564182">
        <w:rPr>
          <w:rFonts w:eastAsia="Times New Roman" w:cs="Times New Roman"/>
        </w:rPr>
        <w:t xml:space="preserve">apparently </w:t>
      </w:r>
      <w:r>
        <w:rPr>
          <w:rFonts w:eastAsia="Times New Roman" w:cs="Times New Roman"/>
        </w:rPr>
        <w:t>developed in either 2014 or 2015.</w:t>
      </w:r>
    </w:p>
    <w:p w14:paraId="1631F037" w14:textId="77777777" w:rsidR="00A57FFC" w:rsidRDefault="00A57FFC" w:rsidP="009E3730">
      <w:pPr>
        <w:widowControl w:val="0"/>
        <w:suppressAutoHyphens/>
        <w:rPr>
          <w:rFonts w:eastAsia="Times New Roman" w:cs="Times New Roman"/>
        </w:rPr>
      </w:pPr>
    </w:p>
    <w:p w14:paraId="14D93BD5" w14:textId="18BCCE9A" w:rsidR="00A57FFC" w:rsidRDefault="00D60656" w:rsidP="009E3730">
      <w:pPr>
        <w:widowControl w:val="0"/>
        <w:suppressAutoHyphens/>
        <w:rPr>
          <w:rFonts w:eastAsia="Times New Roman" w:cs="Times New Roman"/>
        </w:rPr>
      </w:pPr>
      <w:r>
        <w:t>A</w:t>
      </w:r>
      <w:r w:rsidR="00A57FFC">
        <w:t xml:space="preserve"> list of </w:t>
      </w:r>
      <w:r>
        <w:t xml:space="preserve">these 46 </w:t>
      </w:r>
      <w:r w:rsidR="00A57FFC">
        <w:t>OS was provided to the Review,</w:t>
      </w:r>
      <w:r>
        <w:t xml:space="preserve"> together with a number of examples of full OS descriptions. The overall list of OS, and the OS themselves are reportedly</w:t>
      </w:r>
      <w:r w:rsidR="00A57FFC">
        <w:t xml:space="preserve"> readily available on the NCEQE and VET websites</w:t>
      </w:r>
      <w:r w:rsidR="00A57FFC" w:rsidRPr="00F303FB">
        <w:t xml:space="preserve"> </w:t>
      </w:r>
      <w:r w:rsidR="00A57FFC">
        <w:t>(</w:t>
      </w:r>
      <w:hyperlink r:id="rId28" w:history="1">
        <w:r w:rsidR="00A57FFC" w:rsidRPr="00F303FB">
          <w:rPr>
            <w:rStyle w:val="Hyperlink"/>
          </w:rPr>
          <w:t>www.vet.ge</w:t>
        </w:r>
      </w:hyperlink>
      <w:r w:rsidR="00A57FFC" w:rsidRPr="00F303FB">
        <w:t xml:space="preserve"> </w:t>
      </w:r>
      <w:hyperlink r:id="rId29" w:history="1">
        <w:r w:rsidR="00A57FFC" w:rsidRPr="00F303FB">
          <w:rPr>
            <w:rStyle w:val="Hyperlink"/>
          </w:rPr>
          <w:t>www.eqe.ge</w:t>
        </w:r>
      </w:hyperlink>
      <w:r w:rsidR="00A57FFC">
        <w:t>). The list is periodically updated.</w:t>
      </w:r>
    </w:p>
    <w:p w14:paraId="47AC9B7F" w14:textId="77777777" w:rsidR="00BB094C" w:rsidRDefault="00BB094C" w:rsidP="009E3730">
      <w:pPr>
        <w:widowControl w:val="0"/>
        <w:suppressAutoHyphens/>
        <w:rPr>
          <w:rFonts w:eastAsia="Times New Roman" w:cs="Times New Roman"/>
        </w:rPr>
      </w:pPr>
    </w:p>
    <w:p w14:paraId="7EBEF63F" w14:textId="3AA96587" w:rsidR="006C64F9" w:rsidRDefault="00BB094C" w:rsidP="009E3730">
      <w:pPr>
        <w:widowControl w:val="0"/>
        <w:suppressAutoHyphens/>
        <w:rPr>
          <w:rFonts w:eastAsia="Times New Roman" w:cs="Times New Roman"/>
        </w:rPr>
      </w:pPr>
      <w:r>
        <w:rPr>
          <w:rFonts w:eastAsia="Times New Roman" w:cs="Times New Roman"/>
        </w:rPr>
        <w:t>S</w:t>
      </w:r>
      <w:r w:rsidRPr="00553DD8">
        <w:rPr>
          <w:rFonts w:eastAsia="Times New Roman" w:cs="Times New Roman"/>
        </w:rPr>
        <w:t>election of occupations w</w:t>
      </w:r>
      <w:r>
        <w:rPr>
          <w:rFonts w:eastAsia="Times New Roman" w:cs="Times New Roman"/>
        </w:rPr>
        <w:t>as</w:t>
      </w:r>
      <w:r w:rsidRPr="00553DD8">
        <w:rPr>
          <w:rFonts w:eastAsia="Times New Roman" w:cs="Times New Roman"/>
        </w:rPr>
        <w:t xml:space="preserve"> </w:t>
      </w:r>
      <w:r w:rsidR="006C64F9">
        <w:rPr>
          <w:rFonts w:eastAsia="Times New Roman" w:cs="Times New Roman"/>
        </w:rPr>
        <w:t xml:space="preserve">reportedly </w:t>
      </w:r>
      <w:r w:rsidR="006C64F9" w:rsidRPr="00553DD8">
        <w:rPr>
          <w:rFonts w:eastAsia="Times New Roman" w:cs="Times New Roman"/>
        </w:rPr>
        <w:t xml:space="preserve">based on the labour market demand identified during the qualitative and quantitative surveys conducted in 2015 under the auspices of MoLHSA </w:t>
      </w:r>
      <w:r w:rsidR="006C64F9" w:rsidRPr="00553DD8">
        <w:rPr>
          <w:rFonts w:eastAsia="Times New Roman" w:cs="Times New Roman"/>
        </w:rPr>
        <w:lastRenderedPageBreak/>
        <w:t>(see the Third Instalment Aide Memoire on Indicator 1.1.1)</w:t>
      </w:r>
      <w:r w:rsidR="006C64F9">
        <w:rPr>
          <w:rFonts w:eastAsia="Times New Roman" w:cs="Times New Roman"/>
        </w:rPr>
        <w:t xml:space="preserve">, and the </w:t>
      </w:r>
      <w:r w:rsidR="006C64F9" w:rsidRPr="00553DD8">
        <w:rPr>
          <w:rFonts w:eastAsia="Times New Roman" w:cs="Times New Roman"/>
        </w:rPr>
        <w:t>demand of VET applicants with r</w:t>
      </w:r>
      <w:r w:rsidR="006C64F9">
        <w:rPr>
          <w:rFonts w:eastAsia="Times New Roman" w:cs="Times New Roman"/>
        </w:rPr>
        <w:t>espect to different occupations.</w:t>
      </w:r>
      <w:r w:rsidR="006C64F9" w:rsidRPr="00553DD8">
        <w:rPr>
          <w:rFonts w:eastAsia="Times New Roman" w:cs="Times New Roman"/>
        </w:rPr>
        <w:t xml:space="preserve"> The selection was </w:t>
      </w:r>
      <w:r w:rsidRPr="00553DD8">
        <w:rPr>
          <w:rFonts w:eastAsia="Times New Roman" w:cs="Times New Roman"/>
        </w:rPr>
        <w:t xml:space="preserve">discussed </w:t>
      </w:r>
      <w:r w:rsidR="006C64F9">
        <w:rPr>
          <w:rFonts w:eastAsia="Times New Roman" w:cs="Times New Roman"/>
        </w:rPr>
        <w:t xml:space="preserve">with </w:t>
      </w:r>
      <w:r w:rsidRPr="00553DD8">
        <w:rPr>
          <w:rFonts w:eastAsia="Times New Roman" w:cs="Times New Roman"/>
        </w:rPr>
        <w:t>and agreed with the Sectoral Committees</w:t>
      </w:r>
      <w:r w:rsidRPr="00553DD8">
        <w:rPr>
          <w:rFonts w:eastAsia="Times New Roman"/>
          <w:sz w:val="20"/>
          <w:szCs w:val="20"/>
          <w:vertAlign w:val="superscript"/>
        </w:rPr>
        <w:footnoteReference w:id="46"/>
      </w:r>
      <w:r w:rsidR="003B3F4D">
        <w:rPr>
          <w:rStyle w:val="FootnoteReference"/>
          <w:rFonts w:eastAsia="Times New Roman"/>
        </w:rPr>
        <w:footnoteReference w:id="47"/>
      </w:r>
      <w:r w:rsidR="003B3F4D">
        <w:rPr>
          <w:rFonts w:eastAsia="Times New Roman" w:cs="Times New Roman"/>
        </w:rPr>
        <w:t>.</w:t>
      </w:r>
      <w:r w:rsidRPr="00553DD8">
        <w:rPr>
          <w:rFonts w:eastAsia="Times New Roman" w:cs="Times New Roman"/>
        </w:rPr>
        <w:t xml:space="preserve"> </w:t>
      </w:r>
    </w:p>
    <w:p w14:paraId="4D8DD981" w14:textId="77777777" w:rsidR="006C64F9" w:rsidRDefault="006C64F9" w:rsidP="009E3730">
      <w:pPr>
        <w:widowControl w:val="0"/>
        <w:suppressAutoHyphens/>
        <w:rPr>
          <w:rFonts w:eastAsia="Times New Roman" w:cs="Times New Roman"/>
        </w:rPr>
      </w:pPr>
    </w:p>
    <w:p w14:paraId="15F0A22F" w14:textId="5144DF8F" w:rsidR="00167D2A" w:rsidRPr="00553DD8" w:rsidRDefault="00E02CDA" w:rsidP="009E3730">
      <w:pPr>
        <w:widowControl w:val="0"/>
        <w:suppressAutoHyphens/>
        <w:rPr>
          <w:rFonts w:eastAsia="Times New Roman" w:cs="Times New Roman"/>
        </w:rPr>
      </w:pPr>
      <w:r>
        <w:rPr>
          <w:rFonts w:eastAsia="Times New Roman" w:cs="Times New Roman"/>
        </w:rPr>
        <w:t>Initial rapid preparation of OS some five years ago was criticised as being dominated by academics and administrators and having limited employer participation. As a result it was recognized that the body of OS did not particularly reflect the skills and qualifications required for carrying out the tasks of an occupation effectively</w:t>
      </w:r>
      <w:r w:rsidR="004605FB">
        <w:rPr>
          <w:rFonts w:eastAsia="Times New Roman" w:cs="Times New Roman"/>
        </w:rPr>
        <w:t>, nor necessarily reflect the occupational demand for labour</w:t>
      </w:r>
      <w:r>
        <w:rPr>
          <w:rFonts w:eastAsia="Times New Roman" w:cs="Times New Roman"/>
        </w:rPr>
        <w:t xml:space="preserve">. </w:t>
      </w:r>
      <w:r w:rsidR="00532687">
        <w:rPr>
          <w:rFonts w:eastAsia="Times New Roman" w:cs="Times New Roman"/>
        </w:rPr>
        <w:t>I</w:t>
      </w:r>
      <w:r>
        <w:rPr>
          <w:rFonts w:eastAsia="Times New Roman" w:cs="Times New Roman"/>
        </w:rPr>
        <w:t>t was</w:t>
      </w:r>
      <w:r w:rsidR="00532687">
        <w:rPr>
          <w:rFonts w:eastAsia="Times New Roman" w:cs="Times New Roman"/>
        </w:rPr>
        <w:t>, therefore,</w:t>
      </w:r>
      <w:r>
        <w:rPr>
          <w:rFonts w:eastAsia="Times New Roman" w:cs="Times New Roman"/>
        </w:rPr>
        <w:t xml:space="preserve"> determined to amend OS with full employer participation, and this is the basis for the explicit inclusion of employers </w:t>
      </w:r>
      <w:r w:rsidR="004605FB">
        <w:rPr>
          <w:rFonts w:eastAsia="Times New Roman" w:cs="Times New Roman"/>
        </w:rPr>
        <w:t xml:space="preserve">and the labour market </w:t>
      </w:r>
      <w:r w:rsidR="009C3592">
        <w:rPr>
          <w:rFonts w:eastAsia="Times New Roman" w:cs="Times New Roman"/>
        </w:rPr>
        <w:t xml:space="preserve">in the </w:t>
      </w:r>
      <w:r>
        <w:rPr>
          <w:rFonts w:eastAsia="Times New Roman" w:cs="Times New Roman"/>
        </w:rPr>
        <w:t xml:space="preserve">wording of this Indicator. </w:t>
      </w:r>
      <w:r w:rsidR="00BB094C" w:rsidRPr="00873BB8">
        <w:rPr>
          <w:rFonts w:eastAsia="Times New Roman" w:cs="Times New Roman"/>
        </w:rPr>
        <w:t xml:space="preserve">The OS </w:t>
      </w:r>
      <w:r w:rsidR="009C3592">
        <w:rPr>
          <w:rFonts w:eastAsia="Times New Roman" w:cs="Times New Roman"/>
        </w:rPr>
        <w:t xml:space="preserve">approved in 2016 </w:t>
      </w:r>
      <w:r w:rsidR="00DD372E" w:rsidRPr="00873BB8">
        <w:rPr>
          <w:rFonts w:eastAsia="Times New Roman" w:cs="Times New Roman"/>
        </w:rPr>
        <w:t xml:space="preserve">reportedly </w:t>
      </w:r>
      <w:r w:rsidR="009C3592">
        <w:rPr>
          <w:rFonts w:eastAsia="Times New Roman" w:cs="Times New Roman"/>
        </w:rPr>
        <w:t xml:space="preserve">involved </w:t>
      </w:r>
      <w:r w:rsidR="00BB094C" w:rsidRPr="00873BB8">
        <w:rPr>
          <w:rFonts w:eastAsia="Times New Roman" w:cs="Times New Roman"/>
        </w:rPr>
        <w:t>the participation of employers</w:t>
      </w:r>
      <w:r w:rsidR="009C3592">
        <w:rPr>
          <w:rFonts w:eastAsia="Times New Roman" w:cs="Times New Roman"/>
        </w:rPr>
        <w:t>,</w:t>
      </w:r>
      <w:r w:rsidR="00BB094C" w:rsidRPr="00873BB8">
        <w:rPr>
          <w:rFonts w:eastAsia="Times New Roman" w:cs="Times New Roman"/>
        </w:rPr>
        <w:t xml:space="preserve"> nominated by employers’ organisations</w:t>
      </w:r>
      <w:r w:rsidR="009C3592">
        <w:rPr>
          <w:rFonts w:eastAsia="Times New Roman" w:cs="Times New Roman"/>
        </w:rPr>
        <w:t xml:space="preserve">, in their </w:t>
      </w:r>
      <w:r w:rsidR="009C3592" w:rsidRPr="00873BB8">
        <w:rPr>
          <w:rFonts w:eastAsia="Times New Roman" w:cs="Times New Roman"/>
        </w:rPr>
        <w:t>develop</w:t>
      </w:r>
      <w:r w:rsidR="00532687">
        <w:rPr>
          <w:rFonts w:eastAsia="Times New Roman" w:cs="Times New Roman"/>
        </w:rPr>
        <w:t>ment</w:t>
      </w:r>
      <w:r w:rsidR="009C3592" w:rsidRPr="00873BB8">
        <w:rPr>
          <w:rFonts w:eastAsia="Times New Roman" w:cs="Times New Roman"/>
        </w:rPr>
        <w:t xml:space="preserve"> </w:t>
      </w:r>
      <w:r w:rsidR="00BB094C" w:rsidRPr="00873BB8">
        <w:rPr>
          <w:rFonts w:eastAsia="Times New Roman" w:cs="Times New Roman"/>
        </w:rPr>
        <w:t xml:space="preserve">and </w:t>
      </w:r>
      <w:r w:rsidR="009C3592">
        <w:rPr>
          <w:rFonts w:eastAsia="Times New Roman" w:cs="Times New Roman"/>
        </w:rPr>
        <w:t xml:space="preserve">their </w:t>
      </w:r>
      <w:r w:rsidR="00BB094C" w:rsidRPr="00873BB8">
        <w:rPr>
          <w:rFonts w:eastAsia="Times New Roman" w:cs="Times New Roman"/>
        </w:rPr>
        <w:t>validat</w:t>
      </w:r>
      <w:r w:rsidR="009C3592">
        <w:rPr>
          <w:rFonts w:eastAsia="Times New Roman" w:cs="Times New Roman"/>
        </w:rPr>
        <w:t>ion</w:t>
      </w:r>
      <w:r w:rsidR="00BB094C" w:rsidRPr="00873BB8">
        <w:rPr>
          <w:rFonts w:eastAsia="Times New Roman" w:cs="Times New Roman"/>
        </w:rPr>
        <w:t xml:space="preserve"> by the appropriate Sectoral Committee</w:t>
      </w:r>
      <w:r w:rsidR="009C3592">
        <w:rPr>
          <w:rFonts w:eastAsia="Times New Roman" w:cs="Times New Roman"/>
        </w:rPr>
        <w:t>, also reconstituted a couple of years ago to ensure greater employer participation. Despite this</w:t>
      </w:r>
      <w:r w:rsidR="00AE048B" w:rsidRPr="00873BB8">
        <w:rPr>
          <w:rFonts w:eastAsia="Times New Roman" w:cs="Times New Roman"/>
        </w:rPr>
        <w:t xml:space="preserve">, </w:t>
      </w:r>
      <w:r w:rsidR="009C3592">
        <w:rPr>
          <w:rFonts w:eastAsia="Times New Roman" w:cs="Times New Roman"/>
        </w:rPr>
        <w:t xml:space="preserve">the Review was informed </w:t>
      </w:r>
      <w:r w:rsidR="00AE048B" w:rsidRPr="00873BB8">
        <w:rPr>
          <w:rFonts w:eastAsia="Times New Roman" w:cs="Times New Roman"/>
        </w:rPr>
        <w:t xml:space="preserve">during several </w:t>
      </w:r>
      <w:r w:rsidR="009C3592">
        <w:rPr>
          <w:rFonts w:eastAsia="Times New Roman" w:cs="Times New Roman"/>
        </w:rPr>
        <w:t>meetings</w:t>
      </w:r>
      <w:r w:rsidR="00AE048B" w:rsidRPr="00873BB8">
        <w:rPr>
          <w:rFonts w:eastAsia="Times New Roman" w:cs="Times New Roman"/>
        </w:rPr>
        <w:t xml:space="preserve"> that employers were </w:t>
      </w:r>
      <w:r w:rsidR="009C3592">
        <w:rPr>
          <w:rFonts w:eastAsia="Times New Roman" w:cs="Times New Roman"/>
        </w:rPr>
        <w:t xml:space="preserve">often </w:t>
      </w:r>
      <w:r w:rsidR="00985F18">
        <w:rPr>
          <w:rFonts w:eastAsia="Times New Roman" w:cs="Times New Roman"/>
        </w:rPr>
        <w:t xml:space="preserve">still </w:t>
      </w:r>
      <w:r w:rsidR="00AE048B" w:rsidRPr="00873BB8">
        <w:rPr>
          <w:rFonts w:eastAsia="Times New Roman" w:cs="Times New Roman"/>
        </w:rPr>
        <w:t xml:space="preserve">not </w:t>
      </w:r>
      <w:r w:rsidR="009C3592">
        <w:rPr>
          <w:rFonts w:eastAsia="Times New Roman" w:cs="Times New Roman"/>
        </w:rPr>
        <w:t xml:space="preserve">fully </w:t>
      </w:r>
      <w:r w:rsidR="00AE048B" w:rsidRPr="00873BB8">
        <w:rPr>
          <w:rFonts w:eastAsia="Times New Roman" w:cs="Times New Roman"/>
        </w:rPr>
        <w:t xml:space="preserve">involved </w:t>
      </w:r>
      <w:r w:rsidR="009C3592">
        <w:rPr>
          <w:rFonts w:eastAsia="Times New Roman" w:cs="Times New Roman"/>
        </w:rPr>
        <w:t xml:space="preserve">in </w:t>
      </w:r>
      <w:r w:rsidR="00AE048B" w:rsidRPr="00873BB8">
        <w:rPr>
          <w:rFonts w:eastAsia="Times New Roman" w:cs="Times New Roman"/>
        </w:rPr>
        <w:t>the development of OS</w:t>
      </w:r>
      <w:r w:rsidR="009C3592">
        <w:rPr>
          <w:rFonts w:eastAsia="Times New Roman" w:cs="Times New Roman"/>
        </w:rPr>
        <w:t xml:space="preserve">, even though they did, </w:t>
      </w:r>
      <w:r w:rsidR="00AE048B" w:rsidRPr="00873BB8">
        <w:rPr>
          <w:rFonts w:eastAsia="Times New Roman" w:cs="Times New Roman"/>
        </w:rPr>
        <w:t>in most cases</w:t>
      </w:r>
      <w:r w:rsidR="009C3592">
        <w:rPr>
          <w:rFonts w:eastAsia="Times New Roman" w:cs="Times New Roman"/>
        </w:rPr>
        <w:t>,</w:t>
      </w:r>
      <w:r w:rsidR="00AE048B" w:rsidRPr="00873BB8">
        <w:rPr>
          <w:rFonts w:eastAsia="Times New Roman" w:cs="Times New Roman"/>
        </w:rPr>
        <w:t xml:space="preserve"> participate in SC meetings, where draft OS were discussed and validated</w:t>
      </w:r>
      <w:r w:rsidR="00BB094C" w:rsidRPr="00873BB8">
        <w:rPr>
          <w:rFonts w:eastAsia="Times New Roman" w:cs="Times New Roman"/>
        </w:rPr>
        <w:t>.</w:t>
      </w:r>
      <w:r w:rsidR="006C64F9" w:rsidRPr="00873BB8">
        <w:rPr>
          <w:rFonts w:eastAsia="Times New Roman" w:cs="Times New Roman"/>
        </w:rPr>
        <w:t xml:space="preserve"> </w:t>
      </w:r>
      <w:r w:rsidR="00AE048B" w:rsidRPr="00873BB8">
        <w:rPr>
          <w:rFonts w:eastAsia="Times New Roman" w:cs="Times New Roman"/>
        </w:rPr>
        <w:t xml:space="preserve">Examples of employer participation in development of OS approved in 2016 provided by NCEQE included </w:t>
      </w:r>
      <w:r w:rsidR="006C64F9" w:rsidRPr="00873BB8">
        <w:rPr>
          <w:rFonts w:eastAsia="Times New Roman" w:cs="Times New Roman"/>
        </w:rPr>
        <w:t>representatives of 9 organisations</w:t>
      </w:r>
      <w:r w:rsidR="006C64F9" w:rsidRPr="00873BB8">
        <w:rPr>
          <w:rStyle w:val="FootnoteReference"/>
          <w:rFonts w:eastAsia="Times New Roman"/>
        </w:rPr>
        <w:footnoteReference w:id="48"/>
      </w:r>
      <w:r w:rsidR="006C64F9" w:rsidRPr="00873BB8">
        <w:rPr>
          <w:rFonts w:eastAsia="Times New Roman" w:cs="Times New Roman"/>
        </w:rPr>
        <w:t xml:space="preserve"> in the development of the OS for Hydro-technical Construction Technician, and representatives of 11 companies</w:t>
      </w:r>
      <w:r w:rsidR="006C64F9" w:rsidRPr="00873BB8">
        <w:rPr>
          <w:rStyle w:val="FootnoteReference"/>
          <w:rFonts w:eastAsia="Times New Roman"/>
        </w:rPr>
        <w:footnoteReference w:id="49"/>
      </w:r>
      <w:r w:rsidR="006C64F9" w:rsidRPr="00873BB8">
        <w:rPr>
          <w:rFonts w:eastAsia="Times New Roman" w:cs="Times New Roman"/>
        </w:rPr>
        <w:t xml:space="preserve"> in the development of the</w:t>
      </w:r>
      <w:r w:rsidR="00873BB8" w:rsidRPr="00873BB8">
        <w:rPr>
          <w:rFonts w:eastAsia="Times New Roman" w:cs="Times New Roman"/>
        </w:rPr>
        <w:t xml:space="preserve"> </w:t>
      </w:r>
      <w:r w:rsidR="006C64F9" w:rsidRPr="00873BB8">
        <w:rPr>
          <w:rFonts w:eastAsia="Times New Roman" w:cs="Times New Roman"/>
        </w:rPr>
        <w:t>OS for Insurance Agent.</w:t>
      </w:r>
      <w:r w:rsidR="00167D2A" w:rsidRPr="00873BB8">
        <w:rPr>
          <w:rFonts w:eastAsia="Times New Roman" w:cs="Times New Roman"/>
        </w:rPr>
        <w:t xml:space="preserve"> Examples of employers’ participation in the OS development in 2016 (expected to be approved in 2017) include 11 employers for the OS for occupations in the “Confectionary” sector, and 9 for OS related to the “Telecommunications” sector.</w:t>
      </w:r>
    </w:p>
    <w:p w14:paraId="464F620C" w14:textId="77777777" w:rsidR="00984599" w:rsidRPr="00047E78" w:rsidRDefault="00984599" w:rsidP="009E3730">
      <w:pPr>
        <w:widowControl w:val="0"/>
        <w:suppressAutoHyphens/>
      </w:pPr>
    </w:p>
    <w:p w14:paraId="50805428" w14:textId="7AD10557" w:rsidR="009601AE" w:rsidRDefault="009601AE" w:rsidP="009E3730">
      <w:pPr>
        <w:widowControl w:val="0"/>
        <w:suppressAutoHyphens/>
      </w:pPr>
      <w:r w:rsidRPr="00047E78">
        <w:t>According to the Rules on Development of Vocational Standard</w:t>
      </w:r>
      <w:r w:rsidR="00984599">
        <w:t>s</w:t>
      </w:r>
      <w:r w:rsidRPr="00047E78">
        <w:t xml:space="preserve">, Education Programme Framework Document and module </w:t>
      </w:r>
      <w:r>
        <w:t xml:space="preserve">introduced by </w:t>
      </w:r>
      <w:r w:rsidRPr="00047E78">
        <w:t xml:space="preserve">NCEQE Order </w:t>
      </w:r>
      <w:r>
        <w:t xml:space="preserve">in </w:t>
      </w:r>
      <w:r w:rsidRPr="00047E78">
        <w:t>2015, any ‘</w:t>
      </w:r>
      <w:r w:rsidRPr="00047E78">
        <w:rPr>
          <w:i/>
        </w:rPr>
        <w:t xml:space="preserve">interested party, any physical person or a legal entity’ </w:t>
      </w:r>
      <w:r w:rsidRPr="00047E78">
        <w:t>is entitled to</w:t>
      </w:r>
      <w:r w:rsidRPr="00047E78">
        <w:rPr>
          <w:i/>
        </w:rPr>
        <w:t xml:space="preserve"> </w:t>
      </w:r>
      <w:r w:rsidRPr="00906792">
        <w:t>express</w:t>
      </w:r>
      <w:r w:rsidRPr="00047E78">
        <w:rPr>
          <w:i/>
        </w:rPr>
        <w:t xml:space="preserve"> </w:t>
      </w:r>
      <w:r>
        <w:rPr>
          <w:i/>
        </w:rPr>
        <w:t>'</w:t>
      </w:r>
      <w:r w:rsidRPr="00047E78">
        <w:rPr>
          <w:i/>
        </w:rPr>
        <w:t>a readiness to develop a draft of a vocational standard, education program</w:t>
      </w:r>
      <w:r>
        <w:rPr>
          <w:i/>
        </w:rPr>
        <w:t>me</w:t>
      </w:r>
      <w:r w:rsidRPr="00047E78">
        <w:rPr>
          <w:i/>
        </w:rPr>
        <w:t xml:space="preserve"> framework document and/or module or to initiate changes or abolition of the current vocational standard, education program</w:t>
      </w:r>
      <w:r>
        <w:rPr>
          <w:i/>
        </w:rPr>
        <w:t>me</w:t>
      </w:r>
      <w:r w:rsidRPr="00047E78">
        <w:rPr>
          <w:i/>
        </w:rPr>
        <w:t xml:space="preserve"> framework and module’. </w:t>
      </w:r>
      <w:r w:rsidRPr="00047E78">
        <w:t>During 2016, NCEQE reported receiv</w:t>
      </w:r>
      <w:r>
        <w:t>ing and considering</w:t>
      </w:r>
      <w:r w:rsidRPr="00047E78">
        <w:t xml:space="preserve"> around 30 letters from different businesses with proposals about occupational standards</w:t>
      </w:r>
      <w:r w:rsidR="00221DC6">
        <w:t>, including both for their development and amendment</w:t>
      </w:r>
      <w:r w:rsidRPr="00047E78">
        <w:t>.</w:t>
      </w:r>
    </w:p>
    <w:p w14:paraId="66295061" w14:textId="77777777" w:rsidR="009601AE" w:rsidRDefault="009601AE" w:rsidP="009E3730">
      <w:pPr>
        <w:widowControl w:val="0"/>
        <w:suppressAutoHyphens/>
      </w:pPr>
    </w:p>
    <w:p w14:paraId="0A6474E4" w14:textId="2DC1425C" w:rsidR="009601AE" w:rsidRDefault="00102F00" w:rsidP="009E3730">
      <w:pPr>
        <w:widowControl w:val="0"/>
        <w:suppressAutoHyphens/>
      </w:pPr>
      <w:r>
        <w:rPr>
          <w:rFonts w:eastAsia="Times New Roman" w:cs="Times New Roman"/>
        </w:rPr>
        <w:t xml:space="preserve">Amendments to these Rules were introduced during 2016 by NCEQE Order No.733 of 4th August and </w:t>
      </w:r>
      <w:r w:rsidR="00984599" w:rsidRPr="00BC0359">
        <w:rPr>
          <w:rFonts w:eastAsia="Times New Roman" w:cs="Times New Roman"/>
        </w:rPr>
        <w:t xml:space="preserve">NCEQE Order </w:t>
      </w:r>
      <w:r w:rsidR="00984599">
        <w:rPr>
          <w:rFonts w:eastAsia="Times New Roman" w:cs="Times New Roman"/>
        </w:rPr>
        <w:t>No.</w:t>
      </w:r>
      <w:r w:rsidR="00984599" w:rsidRPr="00BC0359">
        <w:rPr>
          <w:rFonts w:eastAsia="Times New Roman" w:cs="Times New Roman"/>
        </w:rPr>
        <w:t xml:space="preserve">1095 of </w:t>
      </w:r>
      <w:r w:rsidR="00984599">
        <w:rPr>
          <w:rFonts w:eastAsia="Times New Roman" w:cs="Times New Roman"/>
        </w:rPr>
        <w:t xml:space="preserve">2nd November </w:t>
      </w:r>
      <w:r w:rsidR="00984599" w:rsidRPr="00BC0359">
        <w:rPr>
          <w:rFonts w:eastAsia="Times New Roman" w:cs="Times New Roman"/>
        </w:rPr>
        <w:t>2016</w:t>
      </w:r>
      <w:r w:rsidR="009D7AE6">
        <w:rPr>
          <w:rFonts w:eastAsia="Times New Roman" w:cs="Times New Roman"/>
        </w:rPr>
        <w:t>, the latter</w:t>
      </w:r>
      <w:r w:rsidR="00984599">
        <w:rPr>
          <w:rFonts w:eastAsia="Times New Roman" w:cs="Times New Roman"/>
        </w:rPr>
        <w:t xml:space="preserve"> </w:t>
      </w:r>
      <w:r>
        <w:rPr>
          <w:rFonts w:eastAsia="Times New Roman" w:cs="Times New Roman"/>
        </w:rPr>
        <w:t xml:space="preserve">affecting </w:t>
      </w:r>
      <w:r w:rsidR="00984599" w:rsidRPr="00BC0359">
        <w:rPr>
          <w:rFonts w:eastAsia="Times New Roman" w:cs="Times New Roman"/>
        </w:rPr>
        <w:t>the structure of occupational standard</w:t>
      </w:r>
      <w:r w:rsidR="00984599">
        <w:rPr>
          <w:rFonts w:eastAsia="Times New Roman" w:cs="Times New Roman"/>
        </w:rPr>
        <w:t>s</w:t>
      </w:r>
      <w:r w:rsidR="00984599" w:rsidRPr="00BC0359">
        <w:rPr>
          <w:rFonts w:eastAsia="Times New Roman" w:cs="Times New Roman"/>
        </w:rPr>
        <w:t xml:space="preserve">, </w:t>
      </w:r>
      <w:r w:rsidR="00984599">
        <w:rPr>
          <w:rFonts w:eastAsia="Times New Roman" w:cs="Times New Roman"/>
        </w:rPr>
        <w:t xml:space="preserve">the </w:t>
      </w:r>
      <w:r w:rsidR="00984599" w:rsidRPr="00BC0359">
        <w:rPr>
          <w:rFonts w:eastAsia="Times New Roman" w:cs="Times New Roman"/>
        </w:rPr>
        <w:t>D</w:t>
      </w:r>
      <w:r w:rsidR="00984599">
        <w:rPr>
          <w:rFonts w:eastAsia="Times New Roman" w:cs="Times New Roman"/>
        </w:rPr>
        <w:t>ACUM</w:t>
      </w:r>
      <w:r w:rsidR="00984599" w:rsidRPr="00BC0359">
        <w:rPr>
          <w:rFonts w:eastAsia="Times New Roman" w:cs="Times New Roman"/>
        </w:rPr>
        <w:t xml:space="preserve"> scheme, </w:t>
      </w:r>
      <w:r w:rsidR="00984599">
        <w:rPr>
          <w:rFonts w:eastAsia="Times New Roman" w:cs="Times New Roman"/>
        </w:rPr>
        <w:t xml:space="preserve">the </w:t>
      </w:r>
      <w:r w:rsidR="00984599" w:rsidRPr="00BC0359">
        <w:rPr>
          <w:rFonts w:eastAsia="Times New Roman" w:cs="Times New Roman"/>
        </w:rPr>
        <w:t>structure of the Framework documents (curricula) and the Rules for Development, Amendment and Abolition of Occupational Standards, Education Program</w:t>
      </w:r>
      <w:r>
        <w:rPr>
          <w:rFonts w:eastAsia="Times New Roman" w:cs="Times New Roman"/>
        </w:rPr>
        <w:t>me</w:t>
      </w:r>
      <w:r w:rsidR="00984599" w:rsidRPr="00BC0359">
        <w:rPr>
          <w:rFonts w:eastAsia="Times New Roman" w:cs="Times New Roman"/>
        </w:rPr>
        <w:t xml:space="preserve"> Framework Documents and Modules</w:t>
      </w:r>
      <w:r w:rsidR="00984599" w:rsidRPr="00553DD8">
        <w:rPr>
          <w:rFonts w:eastAsia="Times New Roman" w:cs="Times New Roman"/>
        </w:rPr>
        <w:t>.</w:t>
      </w:r>
    </w:p>
    <w:p w14:paraId="4AE50A19" w14:textId="77777777" w:rsidR="009601AE" w:rsidRDefault="009601AE" w:rsidP="009E3730">
      <w:pPr>
        <w:widowControl w:val="0"/>
        <w:suppressAutoHyphens/>
      </w:pPr>
    </w:p>
    <w:p w14:paraId="5ACA5C12" w14:textId="16536E79" w:rsidR="00985F18" w:rsidRDefault="00985F18" w:rsidP="009E3730">
      <w:pPr>
        <w:widowControl w:val="0"/>
        <w:suppressAutoHyphens/>
      </w:pPr>
      <w:r>
        <w:t xml:space="preserve">While there remain questions as to the reflection of labour market demand in the selection of OS and the participation of relevant employers in their design, the Review considers participation has increased sufficiently, combined with a better, although still imperfect (see </w:t>
      </w:r>
      <w:r>
        <w:lastRenderedPageBreak/>
        <w:t xml:space="preserve">Specific Condition 1.1, Indicator 1.1.2), understanding of labour market demand to meet the requirements of the Indicator. The </w:t>
      </w:r>
      <w:r w:rsidR="00365915">
        <w:t xml:space="preserve">Review would stress, however, the </w:t>
      </w:r>
      <w:r>
        <w:t xml:space="preserve">need for further improvement in future </w:t>
      </w:r>
      <w:r w:rsidR="00365915">
        <w:t xml:space="preserve">drafting of </w:t>
      </w:r>
      <w:r>
        <w:t>OS and con</w:t>
      </w:r>
      <w:r w:rsidR="00365915">
        <w:t>tinuing revision of existing OS as technology and the economy develops..</w:t>
      </w:r>
    </w:p>
    <w:p w14:paraId="203B0784" w14:textId="77777777" w:rsidR="00985F18" w:rsidRPr="00047E78" w:rsidRDefault="00985F18" w:rsidP="009E3730">
      <w:pPr>
        <w:widowControl w:val="0"/>
        <w:suppressAutoHyphens/>
      </w:pPr>
    </w:p>
    <w:p w14:paraId="4FC12E8F" w14:textId="77777777" w:rsidR="009601AE" w:rsidRDefault="009601AE" w:rsidP="009E3730">
      <w:pPr>
        <w:pStyle w:val="Heading3"/>
        <w:widowControl w:val="0"/>
        <w:suppressAutoHyphens/>
      </w:pPr>
      <w:bookmarkStart w:id="58" w:name="_Toc404511346"/>
      <w:bookmarkStart w:id="59" w:name="_Toc413019053"/>
      <w:bookmarkStart w:id="60" w:name="_Toc486837766"/>
      <w:r>
        <w:t>ii)</w:t>
      </w:r>
      <w:r>
        <w:tab/>
        <w:t>Specific Condition 2.2:</w:t>
      </w:r>
      <w:r>
        <w:rPr>
          <w:lang w:eastAsia="en-GB"/>
        </w:rPr>
        <w:t xml:space="preserve"> Improved quality of VET qualifications.</w:t>
      </w:r>
      <w:bookmarkEnd w:id="58"/>
      <w:bookmarkEnd w:id="59"/>
      <w:bookmarkEnd w:id="60"/>
    </w:p>
    <w:p w14:paraId="4123F6BF" w14:textId="77777777" w:rsidR="009601AE" w:rsidRDefault="009601AE" w:rsidP="009E3730">
      <w:pPr>
        <w:widowControl w:val="0"/>
        <w:suppressAutoHyphens/>
      </w:pPr>
    </w:p>
    <w:p w14:paraId="1BBDCC37" w14:textId="77777777" w:rsidR="009601AE" w:rsidRPr="006B1542" w:rsidRDefault="009601AE" w:rsidP="009E3730">
      <w:pPr>
        <w:widowControl w:val="0"/>
        <w:suppressAutoHyphens/>
      </w:pPr>
      <w:r w:rsidRPr="006B1542">
        <w:rPr>
          <w:bCs/>
        </w:rPr>
        <w:t>Potential value: €1.0mn.</w:t>
      </w:r>
    </w:p>
    <w:p w14:paraId="5B5010C0" w14:textId="77777777" w:rsidR="009601AE" w:rsidRDefault="009601AE" w:rsidP="009E3730">
      <w:pPr>
        <w:widowControl w:val="0"/>
        <w:suppressAutoHyphens/>
      </w:pPr>
    </w:p>
    <w:p w14:paraId="299F8D7D" w14:textId="39B9F158" w:rsidR="009601AE" w:rsidRDefault="009601AE" w:rsidP="009E3730">
      <w:pPr>
        <w:widowControl w:val="0"/>
        <w:suppressAutoHyphens/>
        <w:ind w:right="26"/>
      </w:pPr>
      <w:r>
        <w:rPr>
          <w:b/>
          <w:bCs/>
          <w:u w:val="single"/>
        </w:rPr>
        <w:t>Review Assessment</w:t>
      </w:r>
      <w:r>
        <w:rPr>
          <w:b/>
          <w:bCs/>
        </w:rPr>
        <w:t xml:space="preserve">: compliance. </w:t>
      </w:r>
    </w:p>
    <w:p w14:paraId="2D6C9696" w14:textId="77777777" w:rsidR="005F1696" w:rsidRDefault="005F1696" w:rsidP="009E3730">
      <w:pPr>
        <w:widowControl w:val="0"/>
        <w:suppressAutoHyphens/>
      </w:pPr>
    </w:p>
    <w:p w14:paraId="6903B1ED" w14:textId="39D9B542" w:rsidR="009601AE" w:rsidRDefault="005F1696" w:rsidP="009E3730">
      <w:pPr>
        <w:widowControl w:val="0"/>
        <w:suppressAutoHyphens/>
        <w:ind w:right="26"/>
      </w:pPr>
      <w:r>
        <w:t>Score: 1.00. Recommended disbursement: €1.0mn.</w:t>
      </w:r>
    </w:p>
    <w:p w14:paraId="700B8ABA" w14:textId="77777777" w:rsidR="005F1696" w:rsidRDefault="005F1696" w:rsidP="009E3730">
      <w:pPr>
        <w:widowControl w:val="0"/>
        <w:suppressAutoHyphens/>
        <w:ind w:right="26"/>
      </w:pPr>
    </w:p>
    <w:p w14:paraId="4DCDAFCE" w14:textId="77777777" w:rsidR="009601AE" w:rsidRDefault="009601AE" w:rsidP="009E3730">
      <w:pPr>
        <w:widowControl w:val="0"/>
        <w:suppressAutoHyphens/>
        <w:rPr>
          <w:b/>
          <w:bCs/>
          <w:i/>
          <w:iCs/>
          <w:lang w:eastAsia="en-GB"/>
        </w:rPr>
      </w:pPr>
      <w:r>
        <w:rPr>
          <w:b/>
          <w:bCs/>
          <w:u w:val="single"/>
        </w:rPr>
        <w:t>Indicator 2.2.1</w:t>
      </w:r>
      <w:r>
        <w:rPr>
          <w:b/>
          <w:bCs/>
        </w:rPr>
        <w:t xml:space="preserve">: </w:t>
      </w:r>
      <w:r>
        <w:rPr>
          <w:b/>
          <w:bCs/>
          <w:i/>
          <w:iCs/>
          <w:lang w:eastAsia="en-GB"/>
        </w:rPr>
        <w:t>15% increase in the number of teachers receiving initial training in line with new policy on VET teacher's development.</w:t>
      </w:r>
    </w:p>
    <w:p w14:paraId="66DE6273" w14:textId="77777777" w:rsidR="009601AE" w:rsidRDefault="009601AE" w:rsidP="009E3730">
      <w:pPr>
        <w:widowControl w:val="0"/>
        <w:suppressAutoHyphens/>
        <w:rPr>
          <w:b/>
          <w:bCs/>
        </w:rPr>
      </w:pPr>
    </w:p>
    <w:p w14:paraId="7C73D633" w14:textId="77777777" w:rsidR="009601AE" w:rsidRDefault="009601AE" w:rsidP="009E3730">
      <w:pPr>
        <w:widowControl w:val="0"/>
        <w:suppressAutoHyphens/>
      </w:pPr>
      <w:r>
        <w:t xml:space="preserve">Source of Verification: </w:t>
      </w:r>
    </w:p>
    <w:p w14:paraId="02ED6F79" w14:textId="77777777" w:rsidR="009601AE" w:rsidRDefault="009601AE" w:rsidP="009E3730">
      <w:pPr>
        <w:widowControl w:val="0"/>
        <w:numPr>
          <w:ilvl w:val="0"/>
          <w:numId w:val="1"/>
        </w:numPr>
        <w:suppressAutoHyphens/>
        <w:autoSpaceDE w:val="0"/>
        <w:autoSpaceDN w:val="0"/>
        <w:ind w:left="714" w:hanging="357"/>
        <w:rPr>
          <w:lang w:eastAsia="en-GB"/>
        </w:rPr>
      </w:pPr>
      <w:r>
        <w:rPr>
          <w:lang w:eastAsia="en-GB"/>
        </w:rPr>
        <w:t>Annual VET Report;</w:t>
      </w:r>
    </w:p>
    <w:p w14:paraId="69DA1BB1" w14:textId="77777777" w:rsidR="009601AE" w:rsidRDefault="009601AE" w:rsidP="009E3730">
      <w:pPr>
        <w:widowControl w:val="0"/>
        <w:numPr>
          <w:ilvl w:val="0"/>
          <w:numId w:val="1"/>
        </w:numPr>
        <w:suppressAutoHyphens/>
        <w:autoSpaceDE w:val="0"/>
        <w:autoSpaceDN w:val="0"/>
        <w:ind w:left="714" w:hanging="357"/>
        <w:rPr>
          <w:lang w:eastAsia="en-GB"/>
        </w:rPr>
      </w:pPr>
      <w:r>
        <w:rPr>
          <w:lang w:eastAsia="en-GB"/>
        </w:rPr>
        <w:t>Reports of Teachers' Professional Development Centre (TPDC);</w:t>
      </w:r>
    </w:p>
    <w:p w14:paraId="6F6551FB" w14:textId="77777777" w:rsidR="009601AE" w:rsidRDefault="009601AE" w:rsidP="009E3730">
      <w:pPr>
        <w:widowControl w:val="0"/>
        <w:numPr>
          <w:ilvl w:val="0"/>
          <w:numId w:val="1"/>
        </w:numPr>
        <w:suppressAutoHyphens/>
        <w:autoSpaceDE w:val="0"/>
        <w:autoSpaceDN w:val="0"/>
        <w:ind w:left="714" w:hanging="357"/>
        <w:rPr>
          <w:lang w:eastAsia="en-GB"/>
        </w:rPr>
      </w:pPr>
      <w:r>
        <w:rPr>
          <w:lang w:eastAsia="en-GB"/>
        </w:rPr>
        <w:t>Post-training satisfaction questionnaires.</w:t>
      </w:r>
    </w:p>
    <w:p w14:paraId="1D07049E" w14:textId="77777777" w:rsidR="009601AE" w:rsidRDefault="009601AE" w:rsidP="009E3730">
      <w:pPr>
        <w:widowControl w:val="0"/>
        <w:suppressAutoHyphens/>
      </w:pPr>
    </w:p>
    <w:p w14:paraId="3148F3BF" w14:textId="5B156A95" w:rsidR="009601AE" w:rsidRDefault="009601AE" w:rsidP="009E3730">
      <w:pPr>
        <w:widowControl w:val="0"/>
        <w:suppressAutoHyphens/>
      </w:pPr>
      <w:r>
        <w:rPr>
          <w:b/>
          <w:bCs/>
          <w:u w:val="single"/>
        </w:rPr>
        <w:t>Review Assessment</w:t>
      </w:r>
      <w:r>
        <w:rPr>
          <w:b/>
          <w:bCs/>
        </w:rPr>
        <w:t>: fulfil</w:t>
      </w:r>
      <w:r w:rsidR="005F1696">
        <w:rPr>
          <w:b/>
          <w:bCs/>
        </w:rPr>
        <w:t>led</w:t>
      </w:r>
      <w:r>
        <w:rPr>
          <w:b/>
          <w:bCs/>
        </w:rPr>
        <w:t>.</w:t>
      </w:r>
    </w:p>
    <w:p w14:paraId="799F7BB3" w14:textId="2C75574A" w:rsidR="009601AE" w:rsidRDefault="009601AE" w:rsidP="009E3730">
      <w:pPr>
        <w:widowControl w:val="0"/>
        <w:suppressAutoHyphens/>
      </w:pPr>
    </w:p>
    <w:p w14:paraId="54EFAAB4" w14:textId="77777777" w:rsidR="00090231" w:rsidRDefault="00D30D39" w:rsidP="009E3730">
      <w:pPr>
        <w:widowControl w:val="0"/>
        <w:suppressAutoHyphens/>
        <w:rPr>
          <w:rFonts w:eastAsia="Times New Roman" w:cs="Times New Roman"/>
        </w:rPr>
      </w:pPr>
      <w:r w:rsidRPr="00553DD8">
        <w:rPr>
          <w:rFonts w:eastAsia="Times New Roman" w:cs="Times New Roman"/>
        </w:rPr>
        <w:t xml:space="preserve">The concepts of 'initial' and 'continuous' training have only been fully developed in 2016. This means that for both this Indicator and Indicator 2.2.2 the baseline for the required 15% increase is zero, and as a result any level of the respective 'initial' or 'continuous' training undertaken would be sufficient to fulfil the </w:t>
      </w:r>
      <w:r w:rsidR="00090231">
        <w:rPr>
          <w:rFonts w:eastAsia="Times New Roman" w:cs="Times New Roman"/>
        </w:rPr>
        <w:t>Indicator</w:t>
      </w:r>
      <w:r w:rsidRPr="00553DD8">
        <w:rPr>
          <w:rFonts w:eastAsia="Times New Roman" w:cs="Times New Roman"/>
        </w:rPr>
        <w:t xml:space="preserve">. </w:t>
      </w:r>
    </w:p>
    <w:p w14:paraId="5A6814C4" w14:textId="77777777" w:rsidR="00090231" w:rsidRDefault="00090231" w:rsidP="009E3730">
      <w:pPr>
        <w:widowControl w:val="0"/>
        <w:suppressAutoHyphens/>
        <w:rPr>
          <w:rFonts w:eastAsia="Times New Roman" w:cs="Times New Roman"/>
        </w:rPr>
      </w:pPr>
    </w:p>
    <w:p w14:paraId="76597783" w14:textId="2F079979" w:rsidR="009601AE" w:rsidRDefault="00D30D39" w:rsidP="009E3730">
      <w:pPr>
        <w:widowControl w:val="0"/>
        <w:suppressAutoHyphens/>
        <w:rPr>
          <w:rFonts w:eastAsia="Times New Roman" w:cs="Times New Roman"/>
        </w:rPr>
      </w:pPr>
      <w:r w:rsidRPr="00553DD8">
        <w:rPr>
          <w:rFonts w:eastAsia="Times New Roman" w:cs="Times New Roman"/>
        </w:rPr>
        <w:t>The Review in assessing compliance with the conditions for Third Instalment disbursement in March/April 2016 argued that fulfilment of the related Specific Condition 2.2, Indicator 2.2.1 for the Third Instalment required the establishment of continuous career development training (based on the concept paper and action plan agreed the year before under the Second Instalment), with 30% of teachers having completed some part of the related continuous training, a position supported by all three donor support projects (SDC/UNDP, EU</w:t>
      </w:r>
      <w:r w:rsidR="00B520E5">
        <w:rPr>
          <w:rFonts w:eastAsia="Times New Roman" w:cs="Times New Roman"/>
        </w:rPr>
        <w:t>VEGE</w:t>
      </w:r>
      <w:r w:rsidRPr="00553DD8">
        <w:rPr>
          <w:rFonts w:eastAsia="Times New Roman" w:cs="Times New Roman"/>
        </w:rPr>
        <w:t>, and MCA-G) who at the time reported that development of two tier 'initial'/'continuous' or 'pre-service'/'in-service' training</w:t>
      </w:r>
      <w:r w:rsidRPr="00553DD8">
        <w:rPr>
          <w:rFonts w:eastAsia="Times New Roman"/>
          <w:sz w:val="20"/>
          <w:szCs w:val="20"/>
          <w:vertAlign w:val="superscript"/>
        </w:rPr>
        <w:footnoteReference w:id="50"/>
      </w:r>
      <w:r w:rsidRPr="00553DD8">
        <w:rPr>
          <w:rFonts w:eastAsia="Times New Roman" w:cs="Times New Roman"/>
        </w:rPr>
        <w:t xml:space="preserve"> was on-going but not complete. Failure to sufficiently achieve this in time for Third Instalment disbursement resulted in the recommendation by the Review that compliance with the Condition be reassessed with that of the Fourth Instalment, but the expectation was that the 15% increase required for the Fourth Instalment represented an increase on the baseline established for the Third Instalment. In the event, a different interpretation of the Third Instalment indicators accepted that all teacher training could be considered as professional development for the purpose of indicator fulfilment.</w:t>
      </w:r>
    </w:p>
    <w:p w14:paraId="2C62F7EC" w14:textId="77777777" w:rsidR="00D30D39" w:rsidRPr="00553DD8" w:rsidRDefault="00D30D39" w:rsidP="009E3730">
      <w:pPr>
        <w:widowControl w:val="0"/>
        <w:suppressAutoHyphens/>
        <w:rPr>
          <w:rFonts w:eastAsia="Times New Roman" w:cs="Times New Roman"/>
        </w:rPr>
      </w:pPr>
    </w:p>
    <w:p w14:paraId="6BCDF0C6" w14:textId="51977A04" w:rsidR="00D30D39" w:rsidRPr="00553DD8" w:rsidRDefault="00D30D39" w:rsidP="009E3730">
      <w:pPr>
        <w:widowControl w:val="0"/>
        <w:suppressAutoHyphens/>
        <w:rPr>
          <w:rFonts w:eastAsia="Times New Roman" w:cs="Times New Roman"/>
        </w:rPr>
      </w:pPr>
      <w:r w:rsidRPr="00553DD8">
        <w:rPr>
          <w:rFonts w:eastAsia="Times New Roman" w:cs="Times New Roman"/>
        </w:rPr>
        <w:t>There are two aspects to 'initial training', as understood in assessment of this Indicator: initial induction training for newly appointed teachers to introduce them to the VET system and the roles and obligations of teachers; and basic pedagogic training on how to be an effective teacher within the system</w:t>
      </w:r>
      <w:r w:rsidR="009E5BC5">
        <w:rPr>
          <w:rStyle w:val="FootnoteReference"/>
          <w:rFonts w:eastAsia="Times New Roman"/>
        </w:rPr>
        <w:footnoteReference w:id="51"/>
      </w:r>
      <w:r w:rsidRPr="00553DD8">
        <w:rPr>
          <w:rFonts w:eastAsia="Times New Roman" w:cs="Times New Roman"/>
        </w:rPr>
        <w:t xml:space="preserve">. Two separate courses have been developed to reflect these </w:t>
      </w:r>
      <w:r w:rsidRPr="00553DD8">
        <w:rPr>
          <w:rFonts w:eastAsia="Times New Roman" w:cs="Times New Roman"/>
        </w:rPr>
        <w:lastRenderedPageBreak/>
        <w:t xml:space="preserve">requirements. In the future both courses will be delivered to new teachers, the induction </w:t>
      </w:r>
      <w:r w:rsidRPr="00C327EB">
        <w:rPr>
          <w:rFonts w:eastAsia="Times New Roman" w:cs="Times New Roman"/>
        </w:rPr>
        <w:t>course within the first few days after appointment, the pedagogic cours</w:t>
      </w:r>
      <w:r w:rsidRPr="00A52331">
        <w:rPr>
          <w:rFonts w:eastAsia="Times New Roman" w:cs="Times New Roman"/>
        </w:rPr>
        <w:t xml:space="preserve">e within the first months of appointment. Both are to be considered basic requirements for teachers and from November 2016 were expected to become obligatory. However, </w:t>
      </w:r>
      <w:r w:rsidR="00C327EB" w:rsidRPr="009C3E0C">
        <w:rPr>
          <w:rFonts w:eastAsia="Times New Roman" w:cs="Times New Roman"/>
        </w:rPr>
        <w:t>it is understood this depended on adoption of the new VET law, at the time of writing still under discussion. The TPDC programme for 2017 includes both courses but neither as a mandatory requirement. A</w:t>
      </w:r>
      <w:r w:rsidRPr="00A52331">
        <w:rPr>
          <w:rFonts w:eastAsia="Times New Roman" w:cs="Times New Roman"/>
        </w:rPr>
        <w:t>s the courses are new, 'novice' teachers (those in the first two years of service) are the</w:t>
      </w:r>
      <w:r w:rsidRPr="00553DD8">
        <w:rPr>
          <w:rFonts w:eastAsia="Times New Roman" w:cs="Times New Roman"/>
        </w:rPr>
        <w:t xml:space="preserve"> target for the first course, and the body of existing teachers (including both novice teachers and those with longer service) are the target for the second pedagogic.</w:t>
      </w:r>
    </w:p>
    <w:p w14:paraId="2CA28D72" w14:textId="77777777" w:rsidR="00D30D39" w:rsidRDefault="00D30D39" w:rsidP="009E3730">
      <w:pPr>
        <w:widowControl w:val="0"/>
        <w:suppressAutoHyphens/>
      </w:pPr>
    </w:p>
    <w:p w14:paraId="731926E7" w14:textId="2438185E" w:rsidR="00D30D39" w:rsidRPr="009623C6" w:rsidRDefault="009623C6" w:rsidP="009E3730">
      <w:pPr>
        <w:widowControl w:val="0"/>
        <w:suppressAutoHyphens/>
        <w:rPr>
          <w:b/>
        </w:rPr>
      </w:pPr>
      <w:r w:rsidRPr="009623C6">
        <w:rPr>
          <w:b/>
        </w:rPr>
        <w:t>Induction Course</w:t>
      </w:r>
    </w:p>
    <w:p w14:paraId="3B532938" w14:textId="77777777" w:rsidR="00D30D39" w:rsidRPr="004324DF" w:rsidRDefault="00D30D39" w:rsidP="009E3730">
      <w:pPr>
        <w:widowControl w:val="0"/>
        <w:suppressAutoHyphens/>
      </w:pPr>
    </w:p>
    <w:p w14:paraId="73F8B5A5" w14:textId="75169CEA" w:rsidR="009274BB" w:rsidRDefault="009274BB" w:rsidP="009E3730">
      <w:pPr>
        <w:widowControl w:val="0"/>
        <w:suppressAutoHyphens/>
        <w:rPr>
          <w:rFonts w:eastAsia="Times New Roman" w:cs="Times New Roman"/>
        </w:rPr>
      </w:pPr>
      <w:r w:rsidRPr="00366EF6">
        <w:rPr>
          <w:rFonts w:eastAsia="Times New Roman" w:cs="Times New Roman"/>
        </w:rPr>
        <w:t xml:space="preserve">The induction course </w:t>
      </w:r>
      <w:r w:rsidR="008B79DD" w:rsidRPr="00366EF6">
        <w:rPr>
          <w:rFonts w:eastAsia="Times New Roman" w:cs="Times New Roman"/>
        </w:rPr>
        <w:t>module</w:t>
      </w:r>
      <w:r w:rsidR="008B79DD">
        <w:rPr>
          <w:rFonts w:eastAsia="Times New Roman" w:cs="Times New Roman"/>
        </w:rPr>
        <w:t>,</w:t>
      </w:r>
      <w:r w:rsidR="008B79DD" w:rsidRPr="00BC0359">
        <w:rPr>
          <w:rFonts w:eastAsia="Times New Roman" w:cs="Times New Roman"/>
        </w:rPr>
        <w:t xml:space="preserve"> "Modular</w:t>
      </w:r>
      <w:r w:rsidRPr="00BC0359">
        <w:rPr>
          <w:rFonts w:eastAsia="Times New Roman" w:cs="Times New Roman"/>
        </w:rPr>
        <w:t xml:space="preserve"> teachin</w:t>
      </w:r>
      <w:r>
        <w:rPr>
          <w:rFonts w:eastAsia="Times New Roman" w:cs="Times New Roman"/>
        </w:rPr>
        <w:t xml:space="preserve">g issues for inductee teachers”, </w:t>
      </w:r>
      <w:r w:rsidRPr="00366EF6">
        <w:rPr>
          <w:rFonts w:eastAsia="Times New Roman" w:cs="Times New Roman"/>
        </w:rPr>
        <w:t>covers two days and was developed with the support of the SDC/UNDP project in August/September 2016. The module was tested on 16 novice teachers at Ikarosi VET college over 4th to 5th October. Of the 763 teachers appointed to state VET colleges at the start of 2016, 93 were classified as new or novice, being in the first two years of appointment</w:t>
      </w:r>
      <w:r w:rsidR="00E81345">
        <w:rPr>
          <w:rStyle w:val="FootnoteReference"/>
          <w:rFonts w:eastAsia="Times New Roman"/>
        </w:rPr>
        <w:footnoteReference w:id="52"/>
      </w:r>
      <w:r w:rsidRPr="00366EF6">
        <w:rPr>
          <w:rFonts w:eastAsia="Times New Roman" w:cs="Times New Roman"/>
        </w:rPr>
        <w:t xml:space="preserve">. </w:t>
      </w:r>
      <w:r>
        <w:t xml:space="preserve">The initial 16 were drawn from these, and the plan was to train the others over the coming months. </w:t>
      </w:r>
      <w:r>
        <w:rPr>
          <w:rFonts w:eastAsia="Times New Roman" w:cs="Times New Roman"/>
        </w:rPr>
        <w:t>In the event, a second group of 12</w:t>
      </w:r>
      <w:r w:rsidRPr="00BC0359">
        <w:rPr>
          <w:rFonts w:eastAsia="Times New Roman" w:cs="Times New Roman"/>
        </w:rPr>
        <w:t xml:space="preserve"> teachers passed </w:t>
      </w:r>
      <w:r>
        <w:rPr>
          <w:rFonts w:eastAsia="Times New Roman" w:cs="Times New Roman"/>
        </w:rPr>
        <w:t xml:space="preserve">through this </w:t>
      </w:r>
      <w:r w:rsidRPr="00BC0359">
        <w:rPr>
          <w:rFonts w:eastAsia="Times New Roman" w:cs="Times New Roman"/>
        </w:rPr>
        <w:t>induction training</w:t>
      </w:r>
      <w:r w:rsidR="006E3FE0">
        <w:rPr>
          <w:rFonts w:eastAsia="Times New Roman" w:cs="Times New Roman"/>
        </w:rPr>
        <w:t>, delivered by TPDC,</w:t>
      </w:r>
      <w:r w:rsidRPr="00BC0359">
        <w:rPr>
          <w:rFonts w:eastAsia="Times New Roman" w:cs="Times New Roman"/>
        </w:rPr>
        <w:t xml:space="preserve"> </w:t>
      </w:r>
      <w:r>
        <w:t>over 24th to 25th December</w:t>
      </w:r>
      <w:r w:rsidRPr="00366EF6">
        <w:rPr>
          <w:rFonts w:eastAsia="Times New Roman" w:cs="Times New Roman"/>
        </w:rPr>
        <w:t xml:space="preserve">. </w:t>
      </w:r>
    </w:p>
    <w:p w14:paraId="459B0B06" w14:textId="77777777" w:rsidR="009274BB" w:rsidRDefault="009274BB" w:rsidP="009E3730">
      <w:pPr>
        <w:widowControl w:val="0"/>
        <w:suppressAutoHyphens/>
        <w:rPr>
          <w:rFonts w:eastAsia="Times New Roman" w:cs="Times New Roman"/>
        </w:rPr>
      </w:pPr>
    </w:p>
    <w:p w14:paraId="19617C6A" w14:textId="4D0F6A98" w:rsidR="008B21B4" w:rsidRDefault="009274BB" w:rsidP="009E3730">
      <w:pPr>
        <w:widowControl w:val="0"/>
        <w:suppressAutoHyphens/>
        <w:rPr>
          <w:rFonts w:eastAsia="Times New Roman" w:cs="Times New Roman"/>
        </w:rPr>
      </w:pPr>
      <w:r w:rsidRPr="00366EF6">
        <w:rPr>
          <w:rFonts w:eastAsia="Times New Roman" w:cs="Times New Roman"/>
        </w:rPr>
        <w:t>However, the situation is complicated by the fact that there was a significant increase in the number of VET teachers in October/November 2016 to accommodate the extra teaching requirements of the switch to modular courses</w:t>
      </w:r>
      <w:r w:rsidR="001271F2">
        <w:rPr>
          <w:rStyle w:val="FootnoteReference"/>
          <w:rFonts w:eastAsia="Times New Roman"/>
        </w:rPr>
        <w:footnoteReference w:id="53"/>
      </w:r>
      <w:r w:rsidRPr="00366EF6">
        <w:rPr>
          <w:rFonts w:eastAsia="Times New Roman" w:cs="Times New Roman"/>
        </w:rPr>
        <w:t xml:space="preserve">. </w:t>
      </w:r>
      <w:r>
        <w:rPr>
          <w:rFonts w:eastAsia="Times New Roman" w:cs="Times New Roman"/>
        </w:rPr>
        <w:t xml:space="preserve">At the beginning of 2017 </w:t>
      </w:r>
      <w:r w:rsidRPr="00366EF6">
        <w:rPr>
          <w:rFonts w:eastAsia="Times New Roman" w:cs="Times New Roman"/>
        </w:rPr>
        <w:t xml:space="preserve">there were </w:t>
      </w:r>
      <w:r>
        <w:rPr>
          <w:rFonts w:eastAsia="Times New Roman" w:cs="Times New Roman"/>
        </w:rPr>
        <w:t>1878</w:t>
      </w:r>
      <w:r w:rsidRPr="00366EF6">
        <w:rPr>
          <w:rFonts w:eastAsia="Times New Roman" w:cs="Times New Roman"/>
        </w:rPr>
        <w:t xml:space="preserve"> VET teachers in state VET providers (</w:t>
      </w:r>
      <w:r>
        <w:rPr>
          <w:rFonts w:eastAsia="Times New Roman" w:cs="Times New Roman"/>
        </w:rPr>
        <w:t>1043</w:t>
      </w:r>
      <w:r w:rsidRPr="00366EF6">
        <w:rPr>
          <w:rFonts w:eastAsia="Times New Roman" w:cs="Times New Roman"/>
        </w:rPr>
        <w:t xml:space="preserve"> in VET colleges and </w:t>
      </w:r>
      <w:r>
        <w:rPr>
          <w:rFonts w:eastAsia="Times New Roman" w:cs="Times New Roman"/>
        </w:rPr>
        <w:t>835</w:t>
      </w:r>
      <w:r w:rsidRPr="00366EF6">
        <w:rPr>
          <w:rFonts w:eastAsia="Times New Roman" w:cs="Times New Roman"/>
        </w:rPr>
        <w:t xml:space="preserve"> in higher education institutions) and </w:t>
      </w:r>
      <w:r>
        <w:rPr>
          <w:rFonts w:eastAsia="Times New Roman" w:cs="Times New Roman"/>
        </w:rPr>
        <w:t>977</w:t>
      </w:r>
      <w:r w:rsidRPr="00366EF6">
        <w:rPr>
          <w:rFonts w:eastAsia="Times New Roman" w:cs="Times New Roman"/>
        </w:rPr>
        <w:t xml:space="preserve"> in private VET providers (</w:t>
      </w:r>
      <w:r>
        <w:rPr>
          <w:rFonts w:eastAsia="Times New Roman" w:cs="Times New Roman"/>
        </w:rPr>
        <w:t>847</w:t>
      </w:r>
      <w:r w:rsidRPr="00366EF6">
        <w:rPr>
          <w:rFonts w:eastAsia="Times New Roman" w:cs="Times New Roman"/>
        </w:rPr>
        <w:t xml:space="preserve"> in VET colleges, </w:t>
      </w:r>
      <w:r>
        <w:rPr>
          <w:rFonts w:eastAsia="Times New Roman" w:cs="Times New Roman"/>
        </w:rPr>
        <w:t>113</w:t>
      </w:r>
      <w:r w:rsidRPr="00366EF6">
        <w:rPr>
          <w:rFonts w:eastAsia="Times New Roman" w:cs="Times New Roman"/>
        </w:rPr>
        <w:t xml:space="preserve"> in higher education institutions, and 17 in secondary schools)</w:t>
      </w:r>
      <w:r w:rsidR="004D7A71">
        <w:rPr>
          <w:rStyle w:val="FootnoteReference"/>
          <w:rFonts w:eastAsia="Times New Roman"/>
        </w:rPr>
        <w:footnoteReference w:id="54"/>
      </w:r>
      <w:r w:rsidRPr="00366EF6">
        <w:rPr>
          <w:rFonts w:eastAsia="Times New Roman" w:cs="Times New Roman"/>
        </w:rPr>
        <w:t xml:space="preserve">. Further roll-out of modular courses, </w:t>
      </w:r>
      <w:r w:rsidR="00DE373B">
        <w:rPr>
          <w:rFonts w:eastAsia="Times New Roman" w:cs="Times New Roman"/>
        </w:rPr>
        <w:t xml:space="preserve">now planned </w:t>
      </w:r>
      <w:r w:rsidRPr="00366EF6">
        <w:rPr>
          <w:rFonts w:eastAsia="Times New Roman" w:cs="Times New Roman"/>
        </w:rPr>
        <w:t>to cover all disciplines by the autumn 2019 intake (initially for autumn 2017)</w:t>
      </w:r>
      <w:r w:rsidRPr="000A55AB">
        <w:rPr>
          <w:rFonts w:eastAsia="Times New Roman" w:cs="Times New Roman"/>
        </w:rPr>
        <w:t xml:space="preserve">, </w:t>
      </w:r>
      <w:r w:rsidR="004D2A0E">
        <w:rPr>
          <w:rFonts w:eastAsia="Times New Roman" w:cs="Times New Roman"/>
        </w:rPr>
        <w:t>is</w:t>
      </w:r>
      <w:r w:rsidRPr="000A55AB">
        <w:rPr>
          <w:rFonts w:eastAsia="Times New Roman" w:cs="Times New Roman"/>
        </w:rPr>
        <w:t xml:space="preserve"> expected to further increase numbers over the next</w:t>
      </w:r>
      <w:r w:rsidRPr="00D16AF5">
        <w:rPr>
          <w:rFonts w:eastAsia="Times New Roman" w:cs="Times New Roman"/>
        </w:rPr>
        <w:t xml:space="preserve"> 2-3 years. This means that the number of new or novice teachers will increase dramatically and with it the number obligated to participate in this course</w:t>
      </w:r>
      <w:r w:rsidRPr="00366EF6">
        <w:rPr>
          <w:rFonts w:eastAsia="Times New Roman"/>
          <w:vertAlign w:val="superscript"/>
        </w:rPr>
        <w:footnoteReference w:id="55"/>
      </w:r>
      <w:r w:rsidR="008B21B4">
        <w:rPr>
          <w:rFonts w:eastAsia="Times New Roman" w:cs="Times New Roman"/>
        </w:rPr>
        <w:t>, which as an induction course should be delivered to teachers within the first days or weeks of their appointment</w:t>
      </w:r>
      <w:r w:rsidRPr="00366EF6">
        <w:rPr>
          <w:rFonts w:eastAsia="Times New Roman" w:cs="Times New Roman"/>
        </w:rPr>
        <w:t xml:space="preserve">. The 28 trained </w:t>
      </w:r>
      <w:r w:rsidR="004D2A0E">
        <w:rPr>
          <w:rFonts w:eastAsia="Times New Roman" w:cs="Times New Roman"/>
        </w:rPr>
        <w:t>in 2016 we</w:t>
      </w:r>
      <w:r w:rsidRPr="00366EF6">
        <w:rPr>
          <w:rFonts w:eastAsia="Times New Roman" w:cs="Times New Roman"/>
        </w:rPr>
        <w:t>re all from a limited number of state VET colleges</w:t>
      </w:r>
      <w:r w:rsidR="004D2A0E">
        <w:rPr>
          <w:rFonts w:eastAsia="Times New Roman" w:cs="Times New Roman"/>
        </w:rPr>
        <w:t xml:space="preserve">. EMIS reported that as of the start of 2017, there were 411 novice teachers (237 female, 174 male) in </w:t>
      </w:r>
      <w:r w:rsidR="00767D43">
        <w:rPr>
          <w:rFonts w:eastAsia="Times New Roman" w:cs="Times New Roman"/>
        </w:rPr>
        <w:t xml:space="preserve">28 of the </w:t>
      </w:r>
      <w:r w:rsidR="004D2A0E">
        <w:rPr>
          <w:rFonts w:eastAsia="Times New Roman" w:cs="Times New Roman"/>
        </w:rPr>
        <w:t>state VET providing institutions (</w:t>
      </w:r>
      <w:r w:rsidR="00767D43">
        <w:rPr>
          <w:rFonts w:eastAsia="Times New Roman" w:cs="Times New Roman"/>
        </w:rPr>
        <w:t xml:space="preserve">318 in 21 </w:t>
      </w:r>
      <w:r w:rsidR="004D2A0E">
        <w:rPr>
          <w:rFonts w:eastAsia="Times New Roman" w:cs="Times New Roman"/>
        </w:rPr>
        <w:t xml:space="preserve">colleges and </w:t>
      </w:r>
      <w:r w:rsidR="00767D43">
        <w:rPr>
          <w:rFonts w:eastAsia="Times New Roman" w:cs="Times New Roman"/>
        </w:rPr>
        <w:t xml:space="preserve">93 in 7 </w:t>
      </w:r>
      <w:r w:rsidR="004D2A0E">
        <w:rPr>
          <w:rFonts w:eastAsia="Times New Roman" w:cs="Times New Roman"/>
        </w:rPr>
        <w:t>higher education establishments)</w:t>
      </w:r>
      <w:r w:rsidR="00767D43">
        <w:rPr>
          <w:rStyle w:val="FootnoteReference"/>
          <w:rFonts w:eastAsia="Times New Roman"/>
        </w:rPr>
        <w:footnoteReference w:id="56"/>
      </w:r>
      <w:r w:rsidRPr="00366EF6">
        <w:rPr>
          <w:rFonts w:eastAsia="Times New Roman" w:cs="Times New Roman"/>
        </w:rPr>
        <w:t xml:space="preserve">, </w:t>
      </w:r>
      <w:r w:rsidR="004D2A0E">
        <w:rPr>
          <w:rFonts w:eastAsia="Times New Roman" w:cs="Times New Roman"/>
        </w:rPr>
        <w:t xml:space="preserve">suggesting some 380 </w:t>
      </w:r>
      <w:r w:rsidR="008B21B4">
        <w:rPr>
          <w:rFonts w:eastAsia="Times New Roman" w:cs="Times New Roman"/>
        </w:rPr>
        <w:t xml:space="preserve">were </w:t>
      </w:r>
      <w:r w:rsidR="004D2A0E">
        <w:rPr>
          <w:rFonts w:eastAsia="Times New Roman" w:cs="Times New Roman"/>
        </w:rPr>
        <w:t xml:space="preserve">still </w:t>
      </w:r>
      <w:r w:rsidRPr="00366EF6">
        <w:rPr>
          <w:rFonts w:eastAsia="Times New Roman" w:cs="Times New Roman"/>
        </w:rPr>
        <w:t>to receive this induction training</w:t>
      </w:r>
      <w:r w:rsidR="008B21B4">
        <w:rPr>
          <w:rFonts w:eastAsia="Times New Roman" w:cs="Times New Roman"/>
        </w:rPr>
        <w:t xml:space="preserve"> early in 2017 (given that already they had not received this training within the first couple of months of appointment)</w:t>
      </w:r>
      <w:r w:rsidR="005A39CF">
        <w:rPr>
          <w:rStyle w:val="FootnoteReference"/>
          <w:rFonts w:eastAsia="Times New Roman"/>
        </w:rPr>
        <w:footnoteReference w:id="57"/>
      </w:r>
      <w:r w:rsidRPr="000A55AB">
        <w:rPr>
          <w:rFonts w:eastAsia="Times New Roman" w:cs="Times New Roman"/>
        </w:rPr>
        <w:t xml:space="preserve">. The situation with respect to </w:t>
      </w:r>
      <w:r w:rsidR="008B21B4">
        <w:rPr>
          <w:rFonts w:eastAsia="Times New Roman" w:cs="Times New Roman"/>
        </w:rPr>
        <w:lastRenderedPageBreak/>
        <w:t xml:space="preserve">private sector </w:t>
      </w:r>
      <w:r w:rsidRPr="000A55AB">
        <w:rPr>
          <w:rFonts w:eastAsia="Times New Roman" w:cs="Times New Roman"/>
        </w:rPr>
        <w:t xml:space="preserve">VET teachers (in </w:t>
      </w:r>
      <w:r w:rsidR="008B21B4">
        <w:rPr>
          <w:rFonts w:eastAsia="Times New Roman" w:cs="Times New Roman"/>
        </w:rPr>
        <w:t>private higher</w:t>
      </w:r>
      <w:r w:rsidRPr="000A55AB">
        <w:rPr>
          <w:rFonts w:eastAsia="Times New Roman" w:cs="Times New Roman"/>
        </w:rPr>
        <w:t xml:space="preserve"> education institutions</w:t>
      </w:r>
      <w:r w:rsidR="008B21B4">
        <w:rPr>
          <w:rFonts w:eastAsia="Times New Roman" w:cs="Times New Roman"/>
        </w:rPr>
        <w:t>,</w:t>
      </w:r>
      <w:r w:rsidRPr="000A55AB">
        <w:rPr>
          <w:rFonts w:eastAsia="Times New Roman" w:cs="Times New Roman"/>
        </w:rPr>
        <w:t xml:space="preserve"> colleges and schools</w:t>
      </w:r>
      <w:r w:rsidR="008B21B4">
        <w:rPr>
          <w:rFonts w:eastAsia="Times New Roman" w:cs="Times New Roman"/>
        </w:rPr>
        <w:t xml:space="preserve"> providing VET courses</w:t>
      </w:r>
      <w:r w:rsidRPr="000A55AB">
        <w:rPr>
          <w:rFonts w:eastAsia="Times New Roman" w:cs="Times New Roman"/>
        </w:rPr>
        <w:t xml:space="preserve">) is unclear as to numbers and obligations. </w:t>
      </w:r>
    </w:p>
    <w:p w14:paraId="20300B09" w14:textId="77777777" w:rsidR="008B21B4" w:rsidRDefault="008B21B4" w:rsidP="009E3730">
      <w:pPr>
        <w:widowControl w:val="0"/>
        <w:suppressAutoHyphens/>
        <w:rPr>
          <w:rFonts w:eastAsia="Times New Roman" w:cs="Times New Roman"/>
        </w:rPr>
      </w:pPr>
    </w:p>
    <w:p w14:paraId="1053D2A5" w14:textId="2C593048" w:rsidR="009274BB" w:rsidRPr="00366EF6" w:rsidRDefault="009274BB" w:rsidP="009E3730">
      <w:pPr>
        <w:widowControl w:val="0"/>
        <w:suppressAutoHyphens/>
        <w:rPr>
          <w:rFonts w:eastAsia="Times New Roman" w:cs="Times New Roman"/>
        </w:rPr>
      </w:pPr>
      <w:r w:rsidRPr="000A55AB">
        <w:rPr>
          <w:rFonts w:eastAsia="Times New Roman" w:cs="Times New Roman"/>
        </w:rPr>
        <w:t>TPDC reported that after the first course conducted by a single trainer, an additional three trainers had been trained in 2016, but that more would be needed, perhaps eight with the increase in teacher numbers</w:t>
      </w:r>
      <w:r w:rsidR="00F62306">
        <w:rPr>
          <w:rFonts w:eastAsia="Times New Roman" w:cs="Times New Roman"/>
        </w:rPr>
        <w:t>. However</w:t>
      </w:r>
      <w:r w:rsidR="00F62306">
        <w:t xml:space="preserve">, it is unclear whether this </w:t>
      </w:r>
      <w:r w:rsidR="00A856C0">
        <w:t>wa</w:t>
      </w:r>
      <w:r w:rsidR="00F62306">
        <w:t xml:space="preserve">s </w:t>
      </w:r>
      <w:r w:rsidR="00A856C0">
        <w:t xml:space="preserve">calculated on the basis of the teacher population </w:t>
      </w:r>
      <w:r w:rsidR="00F62306">
        <w:t xml:space="preserve">for state VET colleges alone or the whole body of VET </w:t>
      </w:r>
      <w:r w:rsidR="00A856C0">
        <w:t>institutions, especially as TPDC is expanding its mandate to cover also teachers in private institutions. TPDC, which began training some private sector VET teachers in 2015, reported that from 2017 it will include these among its target beneficiaries</w:t>
      </w:r>
      <w:r w:rsidR="00F62306">
        <w:rPr>
          <w:rStyle w:val="FootnoteReference"/>
        </w:rPr>
        <w:footnoteReference w:id="58"/>
      </w:r>
      <w:r w:rsidRPr="008E2C5F">
        <w:rPr>
          <w:rFonts w:eastAsia="Times New Roman" w:cs="Times New Roman"/>
        </w:rPr>
        <w:t>.</w:t>
      </w:r>
      <w:r w:rsidR="008B21B4">
        <w:rPr>
          <w:rFonts w:eastAsia="Times New Roman" w:cs="Times New Roman"/>
        </w:rPr>
        <w:t xml:space="preserve"> </w:t>
      </w:r>
      <w:r w:rsidR="002C5715">
        <w:rPr>
          <w:rFonts w:eastAsia="Times New Roman" w:cs="Times New Roman"/>
        </w:rPr>
        <w:t>W</w:t>
      </w:r>
      <w:r w:rsidR="008B21B4">
        <w:rPr>
          <w:rFonts w:eastAsia="Times New Roman" w:cs="Times New Roman"/>
        </w:rPr>
        <w:t xml:space="preserve">ith groups of </w:t>
      </w:r>
      <w:r w:rsidR="002C5715">
        <w:rPr>
          <w:rFonts w:eastAsia="Times New Roman" w:cs="Times New Roman"/>
        </w:rPr>
        <w:t>15</w:t>
      </w:r>
      <w:r w:rsidR="008B21B4">
        <w:rPr>
          <w:rFonts w:eastAsia="Times New Roman" w:cs="Times New Roman"/>
        </w:rPr>
        <w:t xml:space="preserve"> and two a week, delivering this course to </w:t>
      </w:r>
      <w:r w:rsidR="002C5715">
        <w:rPr>
          <w:rFonts w:eastAsia="Times New Roman" w:cs="Times New Roman"/>
        </w:rPr>
        <w:t>380</w:t>
      </w:r>
      <w:r w:rsidR="008B21B4">
        <w:rPr>
          <w:rFonts w:eastAsia="Times New Roman" w:cs="Times New Roman"/>
        </w:rPr>
        <w:t xml:space="preserve"> novice </w:t>
      </w:r>
      <w:r w:rsidR="002C5715">
        <w:rPr>
          <w:rFonts w:eastAsia="Times New Roman" w:cs="Times New Roman"/>
        </w:rPr>
        <w:t xml:space="preserve">state sector </w:t>
      </w:r>
      <w:r w:rsidR="008B21B4">
        <w:rPr>
          <w:rFonts w:eastAsia="Times New Roman" w:cs="Times New Roman"/>
        </w:rPr>
        <w:t xml:space="preserve">teachers </w:t>
      </w:r>
      <w:r w:rsidR="002C5715">
        <w:rPr>
          <w:rFonts w:eastAsia="Times New Roman" w:cs="Times New Roman"/>
        </w:rPr>
        <w:t>suggests the need for these four trainers over at least a three week period. However, procurement law peculiarities means that TPDC trainers must be tendered for each year, which in practice delays appointment to the second quarter. This means that unless new teachers receive this induction training within the last months of the calendar year, i.e. soon after appointment at the start of the fourth quarter, it will be available only five or six months after appointment - essentially too late.</w:t>
      </w:r>
    </w:p>
    <w:p w14:paraId="569AC62D" w14:textId="77777777" w:rsidR="00D30D39" w:rsidRDefault="00D30D39" w:rsidP="009E3730">
      <w:pPr>
        <w:widowControl w:val="0"/>
        <w:suppressAutoHyphens/>
      </w:pPr>
    </w:p>
    <w:p w14:paraId="4D3E94EF" w14:textId="170B8DFD" w:rsidR="00D30D39" w:rsidRPr="009623C6" w:rsidRDefault="009623C6" w:rsidP="009E3730">
      <w:pPr>
        <w:widowControl w:val="0"/>
        <w:suppressAutoHyphens/>
        <w:rPr>
          <w:b/>
        </w:rPr>
      </w:pPr>
      <w:r w:rsidRPr="009623C6">
        <w:rPr>
          <w:b/>
        </w:rPr>
        <w:t>Basic Pedagogic Course</w:t>
      </w:r>
    </w:p>
    <w:p w14:paraId="74E46A51" w14:textId="77777777" w:rsidR="00D30D39" w:rsidRDefault="00D30D39" w:rsidP="009E3730">
      <w:pPr>
        <w:widowControl w:val="0"/>
        <w:suppressAutoHyphens/>
      </w:pPr>
    </w:p>
    <w:p w14:paraId="29751F73" w14:textId="136A4B2F" w:rsidR="002F7789" w:rsidRPr="00EC1472" w:rsidRDefault="002F7789" w:rsidP="009E3730">
      <w:pPr>
        <w:widowControl w:val="0"/>
        <w:suppressAutoHyphens/>
        <w:rPr>
          <w:rFonts w:eastAsia="Times New Roman" w:cs="Times New Roman"/>
        </w:rPr>
      </w:pPr>
      <w:r w:rsidRPr="00553DD8">
        <w:rPr>
          <w:rFonts w:eastAsia="Times New Roman" w:cs="Times New Roman"/>
        </w:rPr>
        <w:t xml:space="preserve">The basic pedagogic course was developed with TA support to address the need for VET teachers to possess certain basic competencies to be effective. It reflects the teaching standards and basic training materials covered by the VET Teachers Guidebook developed in 2016 with assistance from the SDC/UNDP project and is supported by the training needs analysis conducted by TPDC with MCA-G project support to assess VET teacher competences in early 2016 (see Indicator 2.2.2). The course consists of five modules delivered over </w:t>
      </w:r>
      <w:r>
        <w:rPr>
          <w:rFonts w:eastAsia="Times New Roman" w:cs="Times New Roman"/>
        </w:rPr>
        <w:t>around 27 days (though not at one go)</w:t>
      </w:r>
      <w:r w:rsidRPr="00553DD8">
        <w:rPr>
          <w:rFonts w:eastAsia="Times New Roman" w:cs="Times New Roman"/>
        </w:rPr>
        <w:t xml:space="preserve">, and is designed to be a requirement for all new teachers within the initial period of their </w:t>
      </w:r>
      <w:r w:rsidRPr="00EC1472">
        <w:rPr>
          <w:rFonts w:eastAsia="Times New Roman" w:cs="Times New Roman"/>
        </w:rPr>
        <w:t>service. However, the importance of all teachers possessing these competences means that the course is to be an obligatory requirement and that all current teachers have also to participate in the course over the first couple of years. The five modules cover</w:t>
      </w:r>
    </w:p>
    <w:p w14:paraId="67113149" w14:textId="77777777" w:rsidR="009601AE" w:rsidRDefault="009601AE" w:rsidP="009E3730">
      <w:pPr>
        <w:widowControl w:val="0"/>
        <w:suppressAutoHyphens/>
      </w:pPr>
    </w:p>
    <w:p w14:paraId="020ED8C0" w14:textId="2D420075" w:rsidR="002F7789" w:rsidRPr="00D16AF5" w:rsidRDefault="002F7789" w:rsidP="007C295F">
      <w:pPr>
        <w:widowControl w:val="0"/>
        <w:numPr>
          <w:ilvl w:val="0"/>
          <w:numId w:val="15"/>
        </w:numPr>
        <w:suppressAutoHyphens/>
        <w:rPr>
          <w:rFonts w:eastAsia="Times New Roman" w:cs="Times New Roman"/>
        </w:rPr>
      </w:pPr>
      <w:r w:rsidRPr="00D16AF5">
        <w:t>"Individual peculiarities of students in vocational education</w:t>
      </w:r>
      <w:r>
        <w:t>”</w:t>
      </w:r>
      <w:r w:rsidRPr="00655353">
        <w:t xml:space="preserve"> including e</w:t>
      </w:r>
      <w:r w:rsidRPr="00655353">
        <w:rPr>
          <w:rFonts w:eastAsia="Times New Roman" w:cs="Times New Roman"/>
        </w:rPr>
        <w:t>ducation theories and psycholog</w:t>
      </w:r>
      <w:r w:rsidRPr="000A55AB">
        <w:rPr>
          <w:rFonts w:eastAsia="Times New Roman" w:cs="Times New Roman"/>
        </w:rPr>
        <w:t>y, adult education, the different educational needs of students, etc. (</w:t>
      </w:r>
      <w:r w:rsidRPr="00D16AF5">
        <w:rPr>
          <w:rFonts w:eastAsia="Times New Roman" w:cs="Times New Roman"/>
        </w:rPr>
        <w:t>25 hours</w:t>
      </w:r>
      <w:r>
        <w:rPr>
          <w:rFonts w:eastAsia="Times New Roman" w:cs="Times New Roman"/>
        </w:rPr>
        <w:t xml:space="preserve"> - 5 days</w:t>
      </w:r>
      <w:r w:rsidRPr="00D16AF5">
        <w:rPr>
          <w:rFonts w:eastAsia="Times New Roman" w:cs="Times New Roman"/>
        </w:rPr>
        <w:t>);</w:t>
      </w:r>
    </w:p>
    <w:p w14:paraId="0E9DF8A6" w14:textId="4BD73A2E" w:rsidR="002F7789" w:rsidRPr="00EC1472" w:rsidRDefault="002F7789" w:rsidP="007C295F">
      <w:pPr>
        <w:widowControl w:val="0"/>
        <w:numPr>
          <w:ilvl w:val="0"/>
          <w:numId w:val="15"/>
        </w:numPr>
        <w:suppressAutoHyphens/>
        <w:rPr>
          <w:rFonts w:eastAsia="Times New Roman" w:cs="Times New Roman"/>
        </w:rPr>
      </w:pPr>
      <w:r w:rsidRPr="00EC1472">
        <w:rPr>
          <w:rFonts w:eastAsia="Times New Roman" w:cs="Times New Roman"/>
        </w:rPr>
        <w:t xml:space="preserve">“Positive learning environment </w:t>
      </w:r>
      <w:r w:rsidRPr="00EC1472">
        <w:t xml:space="preserve">in vocational education" </w:t>
      </w:r>
      <w:r w:rsidRPr="00EC1472">
        <w:rPr>
          <w:rFonts w:eastAsia="Times New Roman" w:cs="Times New Roman"/>
        </w:rPr>
        <w:t>(2</w:t>
      </w:r>
      <w:r>
        <w:rPr>
          <w:rFonts w:eastAsia="Times New Roman" w:cs="Times New Roman"/>
        </w:rPr>
        <w:t>8</w:t>
      </w:r>
      <w:r w:rsidRPr="00EC1472">
        <w:rPr>
          <w:rFonts w:eastAsia="Times New Roman" w:cs="Times New Roman"/>
        </w:rPr>
        <w:t xml:space="preserve"> hours</w:t>
      </w:r>
      <w:r>
        <w:rPr>
          <w:rFonts w:eastAsia="Times New Roman" w:cs="Times New Roman"/>
        </w:rPr>
        <w:t xml:space="preserve"> - 7 days</w:t>
      </w:r>
      <w:r w:rsidRPr="00EC1472">
        <w:rPr>
          <w:rFonts w:eastAsia="Times New Roman" w:cs="Times New Roman"/>
        </w:rPr>
        <w:t>);</w:t>
      </w:r>
    </w:p>
    <w:p w14:paraId="5D58A2F1" w14:textId="5CD1C0B4" w:rsidR="002F7789" w:rsidRPr="00EC1472" w:rsidRDefault="002F7789" w:rsidP="007C295F">
      <w:pPr>
        <w:widowControl w:val="0"/>
        <w:numPr>
          <w:ilvl w:val="0"/>
          <w:numId w:val="15"/>
        </w:numPr>
        <w:suppressAutoHyphens/>
        <w:rPr>
          <w:rFonts w:eastAsia="Times New Roman" w:cs="Times New Roman"/>
        </w:rPr>
      </w:pPr>
      <w:r w:rsidRPr="00EC1472">
        <w:t>"Competence based assessment in modular vocational education program</w:t>
      </w:r>
      <w:r>
        <w:t>me</w:t>
      </w:r>
      <w:r w:rsidRPr="00EC1472">
        <w:t xml:space="preserve">s" </w:t>
      </w:r>
      <w:r w:rsidRPr="00EC1472">
        <w:rPr>
          <w:rFonts w:eastAsia="Times New Roman" w:cs="Times New Roman"/>
        </w:rPr>
        <w:t>(</w:t>
      </w:r>
      <w:r>
        <w:rPr>
          <w:rFonts w:eastAsia="Times New Roman" w:cs="Times New Roman"/>
        </w:rPr>
        <w:t>15 hours - 3 days</w:t>
      </w:r>
      <w:r w:rsidRPr="00EC1472">
        <w:rPr>
          <w:rFonts w:eastAsia="Times New Roman" w:cs="Times New Roman"/>
        </w:rPr>
        <w:t>);</w:t>
      </w:r>
    </w:p>
    <w:p w14:paraId="2C6FCF98" w14:textId="5FB3548F" w:rsidR="002F7789" w:rsidRPr="00655353" w:rsidRDefault="002F7789" w:rsidP="007C295F">
      <w:pPr>
        <w:widowControl w:val="0"/>
        <w:numPr>
          <w:ilvl w:val="0"/>
          <w:numId w:val="15"/>
        </w:numPr>
        <w:suppressAutoHyphens/>
        <w:rPr>
          <w:rFonts w:eastAsia="Times New Roman" w:cs="Times New Roman"/>
        </w:rPr>
      </w:pPr>
      <w:r>
        <w:t xml:space="preserve">"Planning of teaching process and effective teaching strategies" </w:t>
      </w:r>
      <w:r w:rsidRPr="00655353">
        <w:rPr>
          <w:rFonts w:eastAsia="Times New Roman" w:cs="Times New Roman"/>
        </w:rPr>
        <w:t>(</w:t>
      </w:r>
      <w:r>
        <w:rPr>
          <w:rFonts w:eastAsia="Times New Roman" w:cs="Times New Roman"/>
        </w:rPr>
        <w:t>40 hours - 8 days</w:t>
      </w:r>
      <w:r w:rsidRPr="00655353">
        <w:rPr>
          <w:rFonts w:eastAsia="Times New Roman" w:cs="Times New Roman"/>
        </w:rPr>
        <w:t>); and</w:t>
      </w:r>
    </w:p>
    <w:p w14:paraId="587BBE1A" w14:textId="429ACED0" w:rsidR="002F7789" w:rsidRPr="00655353" w:rsidRDefault="002F7789" w:rsidP="007C295F">
      <w:pPr>
        <w:widowControl w:val="0"/>
        <w:numPr>
          <w:ilvl w:val="0"/>
          <w:numId w:val="15"/>
        </w:numPr>
        <w:suppressAutoHyphens/>
        <w:rPr>
          <w:rFonts w:eastAsia="Times New Roman" w:cs="Times New Roman"/>
        </w:rPr>
      </w:pPr>
      <w:r w:rsidRPr="00655353">
        <w:rPr>
          <w:rFonts w:eastAsia="Times New Roman" w:cs="Times New Roman"/>
        </w:rPr>
        <w:t>Professional development - self assessment and individual professional development plans (</w:t>
      </w:r>
      <w:r>
        <w:rPr>
          <w:rFonts w:eastAsia="Times New Roman" w:cs="Times New Roman"/>
        </w:rPr>
        <w:t>20 hours - 4 days</w:t>
      </w:r>
      <w:r w:rsidRPr="00655353">
        <w:rPr>
          <w:rFonts w:eastAsia="Times New Roman" w:cs="Times New Roman"/>
        </w:rPr>
        <w:t>).</w:t>
      </w:r>
    </w:p>
    <w:p w14:paraId="27918512" w14:textId="77777777" w:rsidR="009601AE" w:rsidRDefault="009601AE" w:rsidP="009E3730">
      <w:pPr>
        <w:widowControl w:val="0"/>
        <w:suppressAutoHyphens/>
      </w:pPr>
    </w:p>
    <w:p w14:paraId="4554EEEC" w14:textId="50530E48" w:rsidR="00104E86" w:rsidRDefault="002F7789" w:rsidP="009E3730">
      <w:pPr>
        <w:widowControl w:val="0"/>
        <w:suppressAutoHyphens/>
        <w:rPr>
          <w:rFonts w:eastAsia="Times New Roman" w:cs="Times New Roman"/>
        </w:rPr>
      </w:pPr>
      <w:r w:rsidRPr="00D16AF5">
        <w:rPr>
          <w:rFonts w:eastAsia="Times New Roman" w:cs="Times New Roman"/>
        </w:rPr>
        <w:t>The course was introduced in September 2016</w:t>
      </w:r>
      <w:r w:rsidR="000B03E7">
        <w:rPr>
          <w:rFonts w:eastAsia="Times New Roman" w:cs="Times New Roman"/>
        </w:rPr>
        <w:t>.</w:t>
      </w:r>
      <w:r w:rsidRPr="00D16AF5">
        <w:rPr>
          <w:rFonts w:eastAsia="Times New Roman" w:cs="Times New Roman"/>
        </w:rPr>
        <w:t xml:space="preserve"> </w:t>
      </w:r>
      <w:r w:rsidR="00104E86">
        <w:t>Although the modules are designed to be completed in sequence, the third module includes student assessment methods that were taught earlier as a separate training programme</w:t>
      </w:r>
      <w:r w:rsidR="00104E86">
        <w:rPr>
          <w:rStyle w:val="FootnoteReference"/>
        </w:rPr>
        <w:footnoteReference w:id="59"/>
      </w:r>
      <w:r w:rsidR="00104E86">
        <w:t>.</w:t>
      </w:r>
    </w:p>
    <w:p w14:paraId="5B43BA68" w14:textId="77777777" w:rsidR="00104E86" w:rsidRDefault="00104E86" w:rsidP="009E3730">
      <w:pPr>
        <w:widowControl w:val="0"/>
        <w:suppressAutoHyphens/>
        <w:rPr>
          <w:rFonts w:eastAsia="Times New Roman" w:cs="Times New Roman"/>
        </w:rPr>
      </w:pPr>
    </w:p>
    <w:p w14:paraId="733BDF1F" w14:textId="5B31C1E0" w:rsidR="00090231" w:rsidRDefault="00104E86" w:rsidP="009E3730">
      <w:pPr>
        <w:widowControl w:val="0"/>
        <w:suppressAutoHyphens/>
        <w:rPr>
          <w:rFonts w:eastAsia="Times New Roman" w:cs="Times New Roman"/>
        </w:rPr>
      </w:pPr>
      <w:r>
        <w:rPr>
          <w:rFonts w:eastAsia="Times New Roman" w:cs="Times New Roman"/>
        </w:rPr>
        <w:t xml:space="preserve">TPDC reported </w:t>
      </w:r>
      <w:r w:rsidR="009B3513">
        <w:rPr>
          <w:rFonts w:eastAsia="Times New Roman" w:cs="Times New Roman"/>
        </w:rPr>
        <w:t xml:space="preserve">to the Review in April 2017 </w:t>
      </w:r>
      <w:r>
        <w:rPr>
          <w:rFonts w:eastAsia="Times New Roman" w:cs="Times New Roman"/>
        </w:rPr>
        <w:t xml:space="preserve">that by the end of 2016 while </w:t>
      </w:r>
      <w:r w:rsidR="002F7789">
        <w:rPr>
          <w:rFonts w:eastAsia="Times New Roman" w:cs="Times New Roman"/>
        </w:rPr>
        <w:t xml:space="preserve">156 </w:t>
      </w:r>
      <w:r w:rsidR="002F7789" w:rsidRPr="00655353">
        <w:rPr>
          <w:rFonts w:eastAsia="Times New Roman" w:cs="Times New Roman"/>
        </w:rPr>
        <w:t>teachers had completed the first</w:t>
      </w:r>
      <w:r w:rsidR="002F7789">
        <w:rPr>
          <w:rFonts w:eastAsia="Times New Roman" w:cs="Times New Roman"/>
        </w:rPr>
        <w:t xml:space="preserve"> and the second</w:t>
      </w:r>
      <w:r w:rsidR="002F7789" w:rsidRPr="00655353">
        <w:rPr>
          <w:rFonts w:eastAsia="Times New Roman" w:cs="Times New Roman"/>
        </w:rPr>
        <w:t xml:space="preserve"> module</w:t>
      </w:r>
      <w:r w:rsidR="002F7789">
        <w:rPr>
          <w:rFonts w:eastAsia="Times New Roman" w:cs="Times New Roman"/>
        </w:rPr>
        <w:t>s</w:t>
      </w:r>
      <w:r w:rsidR="002F7789" w:rsidRPr="00655353">
        <w:rPr>
          <w:rFonts w:eastAsia="Times New Roman" w:cs="Times New Roman"/>
        </w:rPr>
        <w:t xml:space="preserve"> </w:t>
      </w:r>
      <w:r>
        <w:rPr>
          <w:rFonts w:eastAsia="Times New Roman" w:cs="Times New Roman"/>
        </w:rPr>
        <w:t xml:space="preserve">and </w:t>
      </w:r>
      <w:r w:rsidRPr="00BC0359">
        <w:rPr>
          <w:rFonts w:eastAsia="Times New Roman"/>
        </w:rPr>
        <w:t>132 the fourth module</w:t>
      </w:r>
      <w:r>
        <w:rPr>
          <w:rFonts w:eastAsia="Times New Roman"/>
        </w:rPr>
        <w:t xml:space="preserve">, </w:t>
      </w:r>
      <w:r w:rsidR="002F7789">
        <w:rPr>
          <w:rFonts w:eastAsia="Times New Roman" w:cs="Times New Roman"/>
        </w:rPr>
        <w:t>678</w:t>
      </w:r>
      <w:r w:rsidR="002F7789" w:rsidRPr="00BC0359">
        <w:rPr>
          <w:rFonts w:eastAsia="Times New Roman" w:cs="Times New Roman"/>
        </w:rPr>
        <w:t xml:space="preserve"> teachers </w:t>
      </w:r>
      <w:r>
        <w:rPr>
          <w:rFonts w:eastAsia="Times New Roman" w:cs="Times New Roman"/>
        </w:rPr>
        <w:t xml:space="preserve">had </w:t>
      </w:r>
      <w:r w:rsidR="002F7789" w:rsidRPr="00BC0359">
        <w:rPr>
          <w:rFonts w:eastAsia="Times New Roman" w:cs="Times New Roman"/>
        </w:rPr>
        <w:t>completed the third module</w:t>
      </w:r>
      <w:r w:rsidR="00A5673F">
        <w:rPr>
          <w:rFonts w:eastAsia="Times New Roman" w:cs="Times New Roman"/>
        </w:rPr>
        <w:t>, over</w:t>
      </w:r>
      <w:r w:rsidR="000B03E7">
        <w:rPr>
          <w:rFonts w:eastAsia="Times New Roman" w:cs="Times New Roman"/>
        </w:rPr>
        <w:t xml:space="preserve"> two-thirds of whom completed </w:t>
      </w:r>
      <w:r w:rsidR="00A5673F">
        <w:rPr>
          <w:rFonts w:eastAsia="Times New Roman" w:cs="Times New Roman"/>
        </w:rPr>
        <w:t>it as a separate course</w:t>
      </w:r>
      <w:r w:rsidR="000B03E7">
        <w:rPr>
          <w:rFonts w:eastAsia="Times New Roman" w:cs="Times New Roman"/>
        </w:rPr>
        <w:t xml:space="preserve"> earlier in 2016</w:t>
      </w:r>
      <w:r w:rsidR="00A5673F">
        <w:rPr>
          <w:rFonts w:eastAsia="Times New Roman" w:cs="Times New Roman"/>
        </w:rPr>
        <w:t>.</w:t>
      </w:r>
      <w:r w:rsidR="000B03E7">
        <w:rPr>
          <w:rFonts w:eastAsia="Times New Roman"/>
        </w:rPr>
        <w:t xml:space="preserve"> By March 2017, </w:t>
      </w:r>
      <w:r w:rsidR="00A5673F">
        <w:rPr>
          <w:rFonts w:eastAsia="Times New Roman"/>
        </w:rPr>
        <w:t xml:space="preserve">the number of teachers that had </w:t>
      </w:r>
      <w:r w:rsidR="000B03E7">
        <w:rPr>
          <w:rFonts w:eastAsia="Times New Roman"/>
        </w:rPr>
        <w:t>completed th</w:t>
      </w:r>
      <w:r w:rsidR="00A5673F">
        <w:rPr>
          <w:rFonts w:eastAsia="Times New Roman"/>
        </w:rPr>
        <w:t>e</w:t>
      </w:r>
      <w:r w:rsidR="000B03E7">
        <w:rPr>
          <w:rFonts w:eastAsia="Times New Roman"/>
        </w:rPr>
        <w:t xml:space="preserve"> fourth module</w:t>
      </w:r>
      <w:r w:rsidR="00A5673F">
        <w:rPr>
          <w:rFonts w:eastAsia="Times New Roman"/>
        </w:rPr>
        <w:t xml:space="preserve"> was reported to have increased to </w:t>
      </w:r>
      <w:r w:rsidR="00A5673F" w:rsidRPr="00BC0359">
        <w:rPr>
          <w:rFonts w:eastAsia="Times New Roman"/>
        </w:rPr>
        <w:t>148 teachers</w:t>
      </w:r>
      <w:r w:rsidR="00A5673F">
        <w:rPr>
          <w:rFonts w:eastAsia="Times New Roman"/>
        </w:rPr>
        <w:t>, while</w:t>
      </w:r>
      <w:r w:rsidR="00A5673F" w:rsidRPr="00BC0359">
        <w:rPr>
          <w:rFonts w:eastAsia="Times New Roman"/>
        </w:rPr>
        <w:t xml:space="preserve"> </w:t>
      </w:r>
      <w:r w:rsidR="000B03E7">
        <w:rPr>
          <w:rFonts w:eastAsia="Times New Roman"/>
        </w:rPr>
        <w:t xml:space="preserve">146 had also </w:t>
      </w:r>
      <w:r w:rsidR="002F7789" w:rsidRPr="00BC0359">
        <w:rPr>
          <w:rFonts w:eastAsia="Times New Roman"/>
        </w:rPr>
        <w:t>completed the fifth module</w:t>
      </w:r>
      <w:r w:rsidR="009B3513">
        <w:rPr>
          <w:rStyle w:val="FootnoteReference"/>
          <w:rFonts w:eastAsia="Times New Roman"/>
        </w:rPr>
        <w:footnoteReference w:id="60"/>
      </w:r>
      <w:r w:rsidR="002F7789" w:rsidRPr="00BC0359">
        <w:rPr>
          <w:rFonts w:eastAsia="Times New Roman"/>
        </w:rPr>
        <w:t>.</w:t>
      </w:r>
      <w:r w:rsidR="002F7789" w:rsidRPr="00655353">
        <w:rPr>
          <w:rFonts w:eastAsia="Times New Roman" w:cs="Times New Roman"/>
        </w:rPr>
        <w:t xml:space="preserve"> </w:t>
      </w:r>
      <w:r w:rsidR="00090231">
        <w:rPr>
          <w:rFonts w:eastAsia="Times New Roman"/>
        </w:rPr>
        <w:t>Although no teacher had completed the full pedagogic course in 2016, the Review considers the situation sufficient to me</w:t>
      </w:r>
      <w:r w:rsidR="00532687">
        <w:rPr>
          <w:rFonts w:eastAsia="Times New Roman"/>
        </w:rPr>
        <w:t>e</w:t>
      </w:r>
      <w:r w:rsidR="00090231">
        <w:rPr>
          <w:rFonts w:eastAsia="Times New Roman"/>
        </w:rPr>
        <w:t xml:space="preserve">t the requirement of an increased number of teachers 'receiving' initial training. </w:t>
      </w:r>
    </w:p>
    <w:p w14:paraId="1C435F38" w14:textId="77777777" w:rsidR="00090231" w:rsidRDefault="00090231" w:rsidP="009E3730">
      <w:pPr>
        <w:widowControl w:val="0"/>
        <w:suppressAutoHyphens/>
        <w:rPr>
          <w:rFonts w:eastAsia="Times New Roman" w:cs="Times New Roman"/>
        </w:rPr>
      </w:pPr>
    </w:p>
    <w:p w14:paraId="1FD167D8" w14:textId="5C521A48" w:rsidR="002F7789" w:rsidRPr="00553DD8" w:rsidRDefault="003A1018" w:rsidP="009E3730">
      <w:pPr>
        <w:widowControl w:val="0"/>
        <w:suppressAutoHyphens/>
        <w:rPr>
          <w:rFonts w:eastAsia="Times New Roman" w:cs="Times New Roman"/>
        </w:rPr>
      </w:pPr>
      <w:r>
        <w:rPr>
          <w:rFonts w:eastAsia="Times New Roman" w:cs="Times New Roman"/>
        </w:rPr>
        <w:t>In November 2016 the Review was informed that p</w:t>
      </w:r>
      <w:r w:rsidR="002F7789" w:rsidRPr="00553DD8">
        <w:rPr>
          <w:rFonts w:eastAsia="Times New Roman" w:cs="Times New Roman"/>
        </w:rPr>
        <w:t xml:space="preserve">rogramming </w:t>
      </w:r>
      <w:r w:rsidR="000B03E7">
        <w:rPr>
          <w:rFonts w:eastAsia="Times New Roman" w:cs="Times New Roman"/>
        </w:rPr>
        <w:t xml:space="preserve">for the delivery of the complete course </w:t>
      </w:r>
      <w:r w:rsidR="00FC413C">
        <w:rPr>
          <w:rFonts w:eastAsia="Times New Roman" w:cs="Times New Roman"/>
        </w:rPr>
        <w:t>to</w:t>
      </w:r>
      <w:r w:rsidR="000B03E7">
        <w:rPr>
          <w:rFonts w:eastAsia="Times New Roman" w:cs="Times New Roman"/>
        </w:rPr>
        <w:t xml:space="preserve"> all other VET teachers was </w:t>
      </w:r>
      <w:r w:rsidR="002F7789" w:rsidRPr="00553DD8">
        <w:rPr>
          <w:rFonts w:eastAsia="Times New Roman" w:cs="Times New Roman"/>
        </w:rPr>
        <w:t>to be included in the 2017 TPDC</w:t>
      </w:r>
      <w:r w:rsidR="000B03E7">
        <w:rPr>
          <w:rFonts w:eastAsia="Times New Roman" w:cs="Times New Roman"/>
        </w:rPr>
        <w:t xml:space="preserve"> State Programme or action plan</w:t>
      </w:r>
      <w:r w:rsidR="002F7789" w:rsidRPr="00553DD8">
        <w:rPr>
          <w:rFonts w:eastAsia="Times New Roman" w:cs="Times New Roman"/>
        </w:rPr>
        <w:t>.</w:t>
      </w:r>
      <w:r w:rsidR="00FC413C">
        <w:rPr>
          <w:rFonts w:eastAsia="Times New Roman" w:cs="Times New Roman"/>
        </w:rPr>
        <w:t xml:space="preserve"> </w:t>
      </w:r>
      <w:r>
        <w:rPr>
          <w:rFonts w:eastAsia="Times New Roman" w:cs="Times New Roman"/>
        </w:rPr>
        <w:t xml:space="preserve">In practice, the TPDC 2017 state programme included delivery of the pedagogic course every month from February to October, </w:t>
      </w:r>
      <w:r w:rsidR="00BE33FB">
        <w:rPr>
          <w:rFonts w:eastAsia="Times New Roman" w:cs="Times New Roman"/>
        </w:rPr>
        <w:t>Already the resource requirement for such training has expanded significantly</w:t>
      </w:r>
      <w:r w:rsidR="008B4C90">
        <w:rPr>
          <w:rFonts w:eastAsia="Times New Roman" w:cs="Times New Roman"/>
        </w:rPr>
        <w:t xml:space="preserve"> since the beginning of 2016 as reportedly the number of VET teachers expanded significantly since January 2016 to cater for the increased teaching requirement of modular programmes (although not born out by information provided by EMIS</w:t>
      </w:r>
      <w:r w:rsidR="001271F2">
        <w:rPr>
          <w:rStyle w:val="FootnoteReference"/>
          <w:rFonts w:eastAsia="Times New Roman"/>
        </w:rPr>
        <w:footnoteReference w:id="61"/>
      </w:r>
      <w:r w:rsidR="001271F2">
        <w:rPr>
          <w:rFonts w:eastAsia="Times New Roman" w:cs="Times New Roman"/>
        </w:rPr>
        <w:t>.</w:t>
      </w:r>
      <w:r w:rsidR="008B4C90">
        <w:rPr>
          <w:rFonts w:eastAsia="Times New Roman" w:cs="Times New Roman"/>
        </w:rPr>
        <w:t xml:space="preserve">). </w:t>
      </w:r>
      <w:r w:rsidR="00FC413C">
        <w:rPr>
          <w:rFonts w:eastAsia="Times New Roman" w:cs="Times New Roman"/>
        </w:rPr>
        <w:t xml:space="preserve">As of the end of 2016, EMIS reported </w:t>
      </w:r>
      <w:r w:rsidR="00A5673F">
        <w:rPr>
          <w:rFonts w:eastAsia="Times New Roman" w:cs="Times New Roman"/>
        </w:rPr>
        <w:t xml:space="preserve">that there were </w:t>
      </w:r>
      <w:r w:rsidR="00FC413C">
        <w:rPr>
          <w:rFonts w:eastAsia="Times New Roman" w:cs="Times New Roman"/>
        </w:rPr>
        <w:t xml:space="preserve">1930 </w:t>
      </w:r>
      <w:r w:rsidR="00A5673F">
        <w:rPr>
          <w:rFonts w:eastAsia="Times New Roman" w:cs="Times New Roman"/>
        </w:rPr>
        <w:t>public sector VET</w:t>
      </w:r>
      <w:r w:rsidR="00FC413C">
        <w:rPr>
          <w:rFonts w:eastAsia="Times New Roman" w:cs="Times New Roman"/>
        </w:rPr>
        <w:t xml:space="preserve"> teachers (1182 female, 748 male) in state VET colleges (1064 in 22 institutions) and state higher education VET providers (866 in 15 institutions)</w:t>
      </w:r>
      <w:r w:rsidR="001271F2">
        <w:rPr>
          <w:rStyle w:val="FootnoteReference"/>
          <w:rFonts w:eastAsia="Times New Roman"/>
        </w:rPr>
        <w:footnoteReference w:id="62"/>
      </w:r>
      <w:r w:rsidR="001271F2">
        <w:rPr>
          <w:rFonts w:eastAsia="Times New Roman" w:cs="Times New Roman"/>
        </w:rPr>
        <w:t>.</w:t>
      </w:r>
      <w:r w:rsidR="00A230E5">
        <w:rPr>
          <w:rFonts w:eastAsia="Times New Roman" w:cs="Times New Roman"/>
        </w:rPr>
        <w:t xml:space="preserve"> Additional complications for TPDC, mentioned above in connection with the induction course, relate to the problems of complying with state procurement rules that require reappointment of trainers each year</w:t>
      </w:r>
      <w:r w:rsidR="00A230E5">
        <w:rPr>
          <w:rStyle w:val="FootnoteReference"/>
          <w:rFonts w:eastAsia="Times New Roman"/>
        </w:rPr>
        <w:footnoteReference w:id="63"/>
      </w:r>
      <w:r w:rsidR="00A230E5">
        <w:rPr>
          <w:rFonts w:eastAsia="Times New Roman" w:cs="Times New Roman"/>
        </w:rPr>
        <w:t>.</w:t>
      </w:r>
    </w:p>
    <w:p w14:paraId="4BC5B21F" w14:textId="77777777" w:rsidR="002C166A" w:rsidRDefault="002C166A" w:rsidP="009E3730">
      <w:pPr>
        <w:widowControl w:val="0"/>
        <w:suppressAutoHyphens/>
        <w:rPr>
          <w:rFonts w:eastAsia="Times New Roman" w:cs="Times New Roman"/>
        </w:rPr>
      </w:pPr>
    </w:p>
    <w:p w14:paraId="4EE49030" w14:textId="0C281490" w:rsidR="00090231" w:rsidRPr="00090231" w:rsidRDefault="00090231" w:rsidP="009E3730">
      <w:pPr>
        <w:widowControl w:val="0"/>
        <w:suppressAutoHyphens/>
        <w:rPr>
          <w:rFonts w:eastAsia="Times New Roman" w:cs="Times New Roman"/>
          <w:b/>
        </w:rPr>
      </w:pPr>
      <w:r w:rsidRPr="00090231">
        <w:rPr>
          <w:rFonts w:eastAsia="Times New Roman" w:cs="Times New Roman"/>
          <w:b/>
        </w:rPr>
        <w:t>New Policy on Teacher's Professional Development</w:t>
      </w:r>
    </w:p>
    <w:p w14:paraId="317C647E" w14:textId="77777777" w:rsidR="00090231" w:rsidRPr="00553DD8" w:rsidRDefault="00090231" w:rsidP="009E3730">
      <w:pPr>
        <w:widowControl w:val="0"/>
        <w:suppressAutoHyphens/>
        <w:rPr>
          <w:rFonts w:eastAsia="Times New Roman" w:cs="Times New Roman"/>
        </w:rPr>
      </w:pPr>
    </w:p>
    <w:p w14:paraId="1343FE7F" w14:textId="5317B0C0" w:rsidR="002C166A" w:rsidRDefault="002C166A" w:rsidP="009E3730">
      <w:pPr>
        <w:widowControl w:val="0"/>
        <w:suppressAutoHyphens/>
        <w:rPr>
          <w:rFonts w:eastAsia="Times New Roman" w:cs="Times New Roman"/>
        </w:rPr>
      </w:pPr>
      <w:r w:rsidRPr="00553DD8">
        <w:rPr>
          <w:rFonts w:eastAsia="Times New Roman" w:cs="Times New Roman"/>
        </w:rPr>
        <w:t>The development of th</w:t>
      </w:r>
      <w:r w:rsidR="00090231">
        <w:rPr>
          <w:rFonts w:eastAsia="Times New Roman" w:cs="Times New Roman"/>
        </w:rPr>
        <w:t>e pedagogic</w:t>
      </w:r>
      <w:r w:rsidRPr="00553DD8">
        <w:rPr>
          <w:rFonts w:eastAsia="Times New Roman" w:cs="Times New Roman"/>
        </w:rPr>
        <w:t xml:space="preserve"> course is part of a response to a decision by Government that all VET teachers should have teaching qualifications as a requirement for service. </w:t>
      </w:r>
      <w:r>
        <w:rPr>
          <w:rFonts w:eastAsia="Times New Roman" w:cs="Times New Roman"/>
        </w:rPr>
        <w:t>A policy document “</w:t>
      </w:r>
      <w:r w:rsidRPr="006F1432">
        <w:rPr>
          <w:rFonts w:eastAsia="Times New Roman" w:cs="Times New Roman"/>
        </w:rPr>
        <w:t>Vocational Education Teacher Training, Induction and</w:t>
      </w:r>
      <w:r>
        <w:rPr>
          <w:rFonts w:eastAsia="Times New Roman" w:cs="Times New Roman"/>
        </w:rPr>
        <w:t xml:space="preserve"> </w:t>
      </w:r>
      <w:r w:rsidRPr="006F1432">
        <w:rPr>
          <w:rFonts w:eastAsia="Times New Roman" w:cs="Times New Roman"/>
        </w:rPr>
        <w:t xml:space="preserve">Professional </w:t>
      </w:r>
      <w:r w:rsidRPr="006F1432">
        <w:rPr>
          <w:rFonts w:eastAsia="Times New Roman" w:cs="Times New Roman"/>
        </w:rPr>
        <w:lastRenderedPageBreak/>
        <w:t>Development</w:t>
      </w:r>
      <w:r>
        <w:rPr>
          <w:rFonts w:eastAsia="Times New Roman" w:cs="Times New Roman"/>
        </w:rPr>
        <w:t>”</w:t>
      </w:r>
      <w:r w:rsidRPr="00553DD8">
        <w:rPr>
          <w:rFonts w:eastAsia="Times New Roman" w:cs="Times New Roman"/>
        </w:rPr>
        <w:t xml:space="preserve"> cover</w:t>
      </w:r>
      <w:r>
        <w:rPr>
          <w:rFonts w:eastAsia="Times New Roman" w:cs="Times New Roman"/>
        </w:rPr>
        <w:t>ing</w:t>
      </w:r>
      <w:r w:rsidRPr="00553DD8">
        <w:rPr>
          <w:rFonts w:eastAsia="Times New Roman" w:cs="Times New Roman"/>
        </w:rPr>
        <w:t xml:space="preserve"> these obligatory requirements </w:t>
      </w:r>
      <w:r>
        <w:rPr>
          <w:rFonts w:eastAsia="Times New Roman" w:cs="Times New Roman"/>
        </w:rPr>
        <w:t xml:space="preserve">was </w:t>
      </w:r>
      <w:r w:rsidRPr="00BC0359">
        <w:rPr>
          <w:rFonts w:eastAsia="Times New Roman" w:cs="Times New Roman"/>
        </w:rPr>
        <w:t xml:space="preserve">endorsed </w:t>
      </w:r>
      <w:r>
        <w:rPr>
          <w:rFonts w:eastAsia="Times New Roman" w:cs="Times New Roman"/>
        </w:rPr>
        <w:t xml:space="preserve">by the </w:t>
      </w:r>
      <w:r w:rsidRPr="00BC0359">
        <w:rPr>
          <w:rFonts w:eastAsia="Times New Roman" w:cs="Times New Roman"/>
        </w:rPr>
        <w:t>National VET Council</w:t>
      </w:r>
      <w:r>
        <w:rPr>
          <w:rFonts w:eastAsia="Times New Roman" w:cs="Times New Roman"/>
        </w:rPr>
        <w:t xml:space="preserve"> at the meeting held on</w:t>
      </w:r>
      <w:r w:rsidRPr="00BC0359">
        <w:rPr>
          <w:rFonts w:eastAsia="Times New Roman" w:cs="Times New Roman"/>
        </w:rPr>
        <w:t xml:space="preserve"> 28</w:t>
      </w:r>
      <w:r>
        <w:rPr>
          <w:rFonts w:eastAsia="Times New Roman" w:cs="Times New Roman"/>
        </w:rPr>
        <w:t xml:space="preserve">th December </w:t>
      </w:r>
      <w:r w:rsidRPr="00BC0359">
        <w:rPr>
          <w:rFonts w:eastAsia="Times New Roman" w:cs="Times New Roman"/>
        </w:rPr>
        <w:t>2016</w:t>
      </w:r>
      <w:r w:rsidR="00BE33FB">
        <w:rPr>
          <w:rStyle w:val="FootnoteReference"/>
          <w:rFonts w:eastAsia="Times New Roman"/>
        </w:rPr>
        <w:footnoteReference w:id="64"/>
      </w:r>
      <w:r>
        <w:rPr>
          <w:rFonts w:eastAsia="Times New Roman" w:cs="Times New Roman"/>
        </w:rPr>
        <w:t>.</w:t>
      </w:r>
      <w:r w:rsidRPr="00553DD8">
        <w:rPr>
          <w:rFonts w:eastAsia="Times New Roman" w:cs="Times New Roman"/>
        </w:rPr>
        <w:t xml:space="preserve"> It is understood that this is also covered in the new VET Law to be presented to Parliament</w:t>
      </w:r>
      <w:r w:rsidR="00261557">
        <w:rPr>
          <w:rFonts w:eastAsia="Times New Roman" w:cs="Times New Roman"/>
        </w:rPr>
        <w:t>, and several normative acts have been prepared in 2016 to support this after the Law is adopted</w:t>
      </w:r>
      <w:r w:rsidR="00261557">
        <w:rPr>
          <w:rStyle w:val="FootnoteReference"/>
          <w:rFonts w:eastAsia="Times New Roman"/>
        </w:rPr>
        <w:footnoteReference w:id="65"/>
      </w:r>
      <w:r w:rsidRPr="00553DD8">
        <w:rPr>
          <w:rFonts w:eastAsia="Times New Roman" w:cs="Times New Roman"/>
        </w:rPr>
        <w:t xml:space="preserve">. Both Tbilisi State University and Ilya State University offer pedagogic degree courses, though there is no specific VET teaching content. It is understood that few previously appointed VET teachers have such a qualification, and in part this is a justification for the </w:t>
      </w:r>
      <w:r w:rsidR="00BE33FB">
        <w:rPr>
          <w:rFonts w:eastAsia="Times New Roman" w:cs="Times New Roman"/>
        </w:rPr>
        <w:t xml:space="preserve">introduction of the </w:t>
      </w:r>
      <w:r w:rsidRPr="00553DD8">
        <w:rPr>
          <w:rFonts w:eastAsia="Times New Roman" w:cs="Times New Roman"/>
        </w:rPr>
        <w:t xml:space="preserve">new pedagogic course </w:t>
      </w:r>
      <w:r w:rsidR="00BE33FB">
        <w:rPr>
          <w:rFonts w:eastAsia="Times New Roman" w:cs="Times New Roman"/>
        </w:rPr>
        <w:t xml:space="preserve">as an initial training requirement </w:t>
      </w:r>
      <w:r w:rsidRPr="00553DD8">
        <w:rPr>
          <w:rFonts w:eastAsia="Times New Roman" w:cs="Times New Roman"/>
        </w:rPr>
        <w:t xml:space="preserve">for VET teachers. </w:t>
      </w:r>
      <w:r w:rsidR="00BE33FB">
        <w:rPr>
          <w:rFonts w:eastAsia="Times New Roman" w:cs="Times New Roman"/>
        </w:rPr>
        <w:t xml:space="preserve">Once there is a university based pedagogic qualification for VET teachers, </w:t>
      </w:r>
      <w:r w:rsidR="009E5BC5">
        <w:rPr>
          <w:rFonts w:eastAsia="Times New Roman" w:cs="Times New Roman"/>
        </w:rPr>
        <w:t>and this bec</w:t>
      </w:r>
      <w:r w:rsidR="00BE33FB">
        <w:rPr>
          <w:rFonts w:eastAsia="Times New Roman" w:cs="Times New Roman"/>
        </w:rPr>
        <w:t xml:space="preserve">omes a requirement for appointment, the course should become obsolete. </w:t>
      </w:r>
      <w:r w:rsidRPr="00553DD8">
        <w:rPr>
          <w:rFonts w:eastAsia="Times New Roman" w:cs="Times New Roman"/>
        </w:rPr>
        <w:t>In this context, the SDC/UNDP project has supported development of a 'pre-service' training programme to be conducted by Ilya State University, designed around agriculture vocations. The programme will award 60 credits in a pedagogy and VET course. The first enrolment is anticipated in September 2017.</w:t>
      </w:r>
    </w:p>
    <w:p w14:paraId="5436C168" w14:textId="77777777" w:rsidR="009601AE" w:rsidRDefault="009601AE" w:rsidP="009E3730">
      <w:pPr>
        <w:widowControl w:val="0"/>
        <w:suppressAutoHyphens/>
      </w:pPr>
    </w:p>
    <w:p w14:paraId="53A69AC8" w14:textId="77777777" w:rsidR="009601AE" w:rsidRDefault="009601AE" w:rsidP="009E3730">
      <w:pPr>
        <w:widowControl w:val="0"/>
        <w:suppressAutoHyphens/>
        <w:rPr>
          <w:b/>
          <w:bCs/>
          <w:i/>
          <w:iCs/>
          <w:lang w:eastAsia="en-GB"/>
        </w:rPr>
      </w:pPr>
      <w:r>
        <w:rPr>
          <w:b/>
          <w:bCs/>
          <w:u w:val="single"/>
        </w:rPr>
        <w:t>Indicator 2.2.2</w:t>
      </w:r>
      <w:r>
        <w:rPr>
          <w:b/>
          <w:bCs/>
        </w:rPr>
        <w:t xml:space="preserve">: </w:t>
      </w:r>
      <w:r>
        <w:rPr>
          <w:b/>
          <w:bCs/>
          <w:i/>
          <w:iCs/>
          <w:lang w:eastAsia="en-GB"/>
        </w:rPr>
        <w:t>15% increase in the number of teachers receiving continuous training in line with new policy on VET teacher's development.</w:t>
      </w:r>
    </w:p>
    <w:p w14:paraId="398CC8FE" w14:textId="77777777" w:rsidR="009601AE" w:rsidRDefault="009601AE" w:rsidP="009E3730">
      <w:pPr>
        <w:widowControl w:val="0"/>
        <w:suppressAutoHyphens/>
        <w:rPr>
          <w:b/>
          <w:bCs/>
        </w:rPr>
      </w:pPr>
    </w:p>
    <w:p w14:paraId="6907860C" w14:textId="77777777" w:rsidR="009601AE" w:rsidRDefault="009601AE" w:rsidP="009E3730">
      <w:pPr>
        <w:widowControl w:val="0"/>
        <w:suppressAutoHyphens/>
      </w:pPr>
      <w:r>
        <w:t xml:space="preserve">Source of Verification: </w:t>
      </w:r>
    </w:p>
    <w:p w14:paraId="60AE6907" w14:textId="77777777" w:rsidR="009601AE" w:rsidRDefault="009601AE" w:rsidP="009E3730">
      <w:pPr>
        <w:widowControl w:val="0"/>
        <w:numPr>
          <w:ilvl w:val="0"/>
          <w:numId w:val="1"/>
        </w:numPr>
        <w:suppressAutoHyphens/>
        <w:autoSpaceDE w:val="0"/>
        <w:autoSpaceDN w:val="0"/>
        <w:ind w:left="714" w:hanging="357"/>
        <w:rPr>
          <w:lang w:eastAsia="en-GB"/>
        </w:rPr>
      </w:pPr>
      <w:r>
        <w:rPr>
          <w:lang w:eastAsia="en-GB"/>
        </w:rPr>
        <w:t>Annual VET Report;</w:t>
      </w:r>
    </w:p>
    <w:p w14:paraId="1E001640" w14:textId="77777777" w:rsidR="009601AE" w:rsidRDefault="009601AE" w:rsidP="009E3730">
      <w:pPr>
        <w:widowControl w:val="0"/>
        <w:numPr>
          <w:ilvl w:val="0"/>
          <w:numId w:val="1"/>
        </w:numPr>
        <w:suppressAutoHyphens/>
        <w:autoSpaceDE w:val="0"/>
        <w:autoSpaceDN w:val="0"/>
        <w:ind w:left="714" w:hanging="357"/>
        <w:rPr>
          <w:lang w:eastAsia="en-GB"/>
        </w:rPr>
      </w:pPr>
      <w:r>
        <w:rPr>
          <w:lang w:eastAsia="en-GB"/>
        </w:rPr>
        <w:t>Reports of Teachers' Professional Development Centre (TPDC);</w:t>
      </w:r>
    </w:p>
    <w:p w14:paraId="04624D86" w14:textId="77777777" w:rsidR="009601AE" w:rsidRDefault="009601AE" w:rsidP="009E3730">
      <w:pPr>
        <w:widowControl w:val="0"/>
        <w:numPr>
          <w:ilvl w:val="0"/>
          <w:numId w:val="1"/>
        </w:numPr>
        <w:suppressAutoHyphens/>
        <w:autoSpaceDE w:val="0"/>
        <w:autoSpaceDN w:val="0"/>
        <w:ind w:left="714" w:hanging="357"/>
        <w:rPr>
          <w:lang w:eastAsia="en-GB"/>
        </w:rPr>
      </w:pPr>
      <w:r>
        <w:rPr>
          <w:lang w:eastAsia="en-GB"/>
        </w:rPr>
        <w:t>Post-training satisfaction questionnaires.</w:t>
      </w:r>
    </w:p>
    <w:p w14:paraId="4A44D0F7" w14:textId="77777777" w:rsidR="009601AE" w:rsidRDefault="009601AE" w:rsidP="009E3730">
      <w:pPr>
        <w:widowControl w:val="0"/>
        <w:suppressAutoHyphens/>
      </w:pPr>
    </w:p>
    <w:p w14:paraId="4D1171EA" w14:textId="752B4009" w:rsidR="009601AE" w:rsidRDefault="009601AE" w:rsidP="009E3730">
      <w:pPr>
        <w:widowControl w:val="0"/>
        <w:suppressAutoHyphens/>
      </w:pPr>
      <w:r>
        <w:rPr>
          <w:b/>
          <w:bCs/>
          <w:u w:val="single"/>
        </w:rPr>
        <w:t>Review Assessment</w:t>
      </w:r>
      <w:r>
        <w:rPr>
          <w:b/>
          <w:bCs/>
        </w:rPr>
        <w:t>: fulfil</w:t>
      </w:r>
      <w:r w:rsidR="005F1696">
        <w:rPr>
          <w:b/>
          <w:bCs/>
        </w:rPr>
        <w:t>led</w:t>
      </w:r>
      <w:r>
        <w:rPr>
          <w:b/>
          <w:bCs/>
        </w:rPr>
        <w:t>.</w:t>
      </w:r>
    </w:p>
    <w:p w14:paraId="314C0436" w14:textId="77777777" w:rsidR="009601AE" w:rsidRDefault="009601AE" w:rsidP="009E3730">
      <w:pPr>
        <w:widowControl w:val="0"/>
        <w:suppressAutoHyphens/>
      </w:pPr>
    </w:p>
    <w:p w14:paraId="4C4A5C2A" w14:textId="11B83802" w:rsidR="009601AE" w:rsidRDefault="009601AE" w:rsidP="009E3730">
      <w:pPr>
        <w:widowControl w:val="0"/>
        <w:suppressAutoHyphens/>
      </w:pPr>
      <w:r>
        <w:t xml:space="preserve">As noted for Indicator 2.2.1, the concepts of 'initial' and 'continuous' training have only been fully developed in 2016. This means that for both Indicators the baseline for the required 15% increase is zero, and as a result any level of respective 'initial' or 'continuous' training undertaken </w:t>
      </w:r>
      <w:r w:rsidR="00090231">
        <w:t>is</w:t>
      </w:r>
      <w:r>
        <w:t xml:space="preserve"> sufficient to fulfil the </w:t>
      </w:r>
      <w:r w:rsidR="00090231">
        <w:t>Indicator</w:t>
      </w:r>
      <w:r>
        <w:t xml:space="preserve">. </w:t>
      </w:r>
    </w:p>
    <w:p w14:paraId="5BBE9B36" w14:textId="77777777" w:rsidR="009601AE" w:rsidRDefault="009601AE" w:rsidP="009E3730">
      <w:pPr>
        <w:widowControl w:val="0"/>
        <w:suppressAutoHyphens/>
      </w:pPr>
    </w:p>
    <w:p w14:paraId="3A554C4C" w14:textId="731215E7" w:rsidR="009601AE" w:rsidRPr="000C4DCA" w:rsidRDefault="009601AE" w:rsidP="009E3730">
      <w:pPr>
        <w:widowControl w:val="0"/>
        <w:suppressAutoHyphens/>
      </w:pPr>
      <w:r w:rsidRPr="000C4DCA">
        <w:t xml:space="preserve">As part of the process of introducing a programme of planned professional development of VET teachers, </w:t>
      </w:r>
      <w:r>
        <w:t>MCA-G</w:t>
      </w:r>
      <w:r w:rsidRPr="000C4DCA">
        <w:t xml:space="preserve"> supported TPDC to develop the capacity for conducting training needs analysis (TNA). The main aim of this TNA was to identify VET teachers’ training needs with respect to teaching and assessment, development of safe teaching environment, inclusive education, support to the motivation and involvement of students, the use of different resources and media technologies in teaching, improvement in professional and general competencies, foreign language and intercultural competencies. </w:t>
      </w:r>
    </w:p>
    <w:p w14:paraId="755CC5BD" w14:textId="77777777" w:rsidR="009601AE" w:rsidRDefault="009601AE" w:rsidP="009E3730">
      <w:pPr>
        <w:widowControl w:val="0"/>
        <w:suppressAutoHyphens/>
      </w:pPr>
    </w:p>
    <w:p w14:paraId="031AE477" w14:textId="77777777" w:rsidR="009601AE" w:rsidRDefault="009601AE" w:rsidP="009E3730">
      <w:pPr>
        <w:widowControl w:val="0"/>
        <w:suppressAutoHyphens/>
      </w:pPr>
      <w:r w:rsidRPr="00E52F49">
        <w:t xml:space="preserve">With MCA-G project support on methodologies, TPDC in 2016 conducted research into VET teacher training needs. An </w:t>
      </w:r>
      <w:r>
        <w:t xml:space="preserve">initial </w:t>
      </w:r>
      <w:r w:rsidRPr="00E52F49">
        <w:t>online survey was carried out over January/February 2016</w:t>
      </w:r>
      <w:r>
        <w:rPr>
          <w:rStyle w:val="FootnoteReference"/>
        </w:rPr>
        <w:footnoteReference w:id="66"/>
      </w:r>
      <w:r w:rsidRPr="00E52F49">
        <w:t xml:space="preserve">, and the data analyzed in March 2016. All public VET colleges and higher educational institutions involved in providing VET programmes had access to the online questionnaire, </w:t>
      </w:r>
      <w:r w:rsidRPr="00E52F49">
        <w:lastRenderedPageBreak/>
        <w:t xml:space="preserve">and in total 29 institutions participated in the survey (19 public VET colleges and 10 higher educational institutions). 830 respondents participated in the survey (of which 69% were female and 31% male, with an average age of 50). </w:t>
      </w:r>
    </w:p>
    <w:p w14:paraId="39BB65FF" w14:textId="77777777" w:rsidR="009601AE" w:rsidRPr="00E52F49" w:rsidRDefault="009601AE" w:rsidP="009E3730">
      <w:pPr>
        <w:widowControl w:val="0"/>
        <w:suppressAutoHyphens/>
      </w:pPr>
    </w:p>
    <w:p w14:paraId="17DF286B" w14:textId="77777777" w:rsidR="00AB6A04" w:rsidRDefault="009601AE" w:rsidP="009E3730">
      <w:pPr>
        <w:widowControl w:val="0"/>
        <w:suppressAutoHyphens/>
      </w:pPr>
      <w:r w:rsidRPr="000525A4">
        <w:t>T</w:t>
      </w:r>
      <w:r>
        <w:t>PDC</w:t>
      </w:r>
      <w:r w:rsidRPr="000525A4">
        <w:t xml:space="preserve"> used the research results for planning future capacity building activities for VET teachers</w:t>
      </w:r>
      <w:r>
        <w:t xml:space="preserve">, and reported that during August/September 2016 all VET teachers conducted a self-assessment of training needs and developed individual training plans. </w:t>
      </w:r>
    </w:p>
    <w:p w14:paraId="1380AA59" w14:textId="77777777" w:rsidR="00AB6A04" w:rsidRDefault="00AB6A04" w:rsidP="009E3730">
      <w:pPr>
        <w:widowControl w:val="0"/>
        <w:suppressAutoHyphens/>
      </w:pPr>
    </w:p>
    <w:p w14:paraId="6544CD64" w14:textId="23E34852" w:rsidR="009601AE" w:rsidRDefault="00AB6A04" w:rsidP="009E3730">
      <w:pPr>
        <w:widowControl w:val="0"/>
        <w:suppressAutoHyphens/>
        <w:rPr>
          <w:rFonts w:eastAsia="Times New Roman" w:cs="Times New Roman"/>
        </w:rPr>
      </w:pPr>
      <w:r w:rsidRPr="00BC0359">
        <w:rPr>
          <w:rFonts w:eastAsia="Times New Roman" w:cs="Times New Roman"/>
        </w:rPr>
        <w:t>In 2016, 329 VET teachers passed in-company training courses related to their teaching profiles</w:t>
      </w:r>
      <w:r>
        <w:rPr>
          <w:rFonts w:eastAsia="Times New Roman" w:cs="Times New Roman"/>
        </w:rPr>
        <w:t>,</w:t>
      </w:r>
      <w:r w:rsidRPr="00BC0359">
        <w:rPr>
          <w:rFonts w:eastAsia="Times New Roman" w:cs="Times New Roman"/>
        </w:rPr>
        <w:t xml:space="preserve"> their individual needs</w:t>
      </w:r>
      <w:r>
        <w:rPr>
          <w:rFonts w:eastAsia="Times New Roman" w:cs="Times New Roman"/>
        </w:rPr>
        <w:t xml:space="preserve"> and training plans</w:t>
      </w:r>
      <w:r w:rsidRPr="00BC0359">
        <w:rPr>
          <w:rFonts w:eastAsia="Times New Roman" w:cs="Times New Roman"/>
        </w:rPr>
        <w:t>, in 36 directions (in the fields of IT, arts, crafts, engineering, services, etc.).</w:t>
      </w:r>
      <w:r>
        <w:rPr>
          <w:rFonts w:eastAsia="Times New Roman" w:cs="Times New Roman"/>
        </w:rPr>
        <w:t xml:space="preserve"> These activities are the most obvious manifestation of individual training needs and an integral part of </w:t>
      </w:r>
      <w:r w:rsidR="00250E02">
        <w:rPr>
          <w:rFonts w:eastAsia="Times New Roman" w:cs="Times New Roman"/>
        </w:rPr>
        <w:t xml:space="preserve">each teacher's </w:t>
      </w:r>
      <w:r>
        <w:rPr>
          <w:rFonts w:eastAsia="Times New Roman" w:cs="Times New Roman"/>
        </w:rPr>
        <w:t>continuous training</w:t>
      </w:r>
      <w:r w:rsidR="00250E02">
        <w:rPr>
          <w:rFonts w:eastAsia="Times New Roman" w:cs="Times New Roman"/>
        </w:rPr>
        <w:t xml:space="preserve"> requirements.</w:t>
      </w:r>
    </w:p>
    <w:p w14:paraId="589B44DB" w14:textId="77777777" w:rsidR="00AB6A04" w:rsidRDefault="00AB6A04" w:rsidP="009E3730">
      <w:pPr>
        <w:widowControl w:val="0"/>
        <w:suppressAutoHyphens/>
        <w:rPr>
          <w:rFonts w:eastAsia="Times New Roman" w:cs="Times New Roman"/>
        </w:rPr>
      </w:pPr>
    </w:p>
    <w:p w14:paraId="32D26AFA" w14:textId="54C731F1" w:rsidR="00AB6A04" w:rsidRPr="00BC0359" w:rsidRDefault="00AB6A04" w:rsidP="009E3730">
      <w:pPr>
        <w:widowControl w:val="0"/>
        <w:suppressAutoHyphens/>
        <w:rPr>
          <w:rFonts w:eastAsia="Times New Roman" w:cs="Times New Roman"/>
        </w:rPr>
      </w:pPr>
      <w:r w:rsidRPr="00BC0359">
        <w:rPr>
          <w:rFonts w:eastAsia="Times New Roman" w:cs="Times New Roman"/>
        </w:rPr>
        <w:t xml:space="preserve">In addition, </w:t>
      </w:r>
      <w:r>
        <w:rPr>
          <w:rFonts w:eastAsia="Times New Roman" w:cs="Times New Roman"/>
        </w:rPr>
        <w:t xml:space="preserve">it was reported that </w:t>
      </w:r>
      <w:r w:rsidRPr="00BC0359">
        <w:rPr>
          <w:rFonts w:eastAsia="Times New Roman" w:cs="Times New Roman"/>
        </w:rPr>
        <w:t>407 teachers were trained on “Modular teaching issues for VET” (12 hours), 316 teachers on "Individual approaches to vocational students with special educational needs and vocational testing - part 2" (10 hours) and 50 teachers on “VET Teachers</w:t>
      </w:r>
      <w:r w:rsidR="00303FAD">
        <w:rPr>
          <w:rFonts w:eastAsia="Times New Roman" w:cs="Times New Roman"/>
        </w:rPr>
        <w:t>'</w:t>
      </w:r>
      <w:r w:rsidRPr="00BC0359">
        <w:rPr>
          <w:rFonts w:eastAsia="Times New Roman" w:cs="Times New Roman"/>
        </w:rPr>
        <w:t xml:space="preserve"> International Mobility” (~10 hours, provided by the EU TA </w:t>
      </w:r>
      <w:r w:rsidR="00B520E5">
        <w:rPr>
          <w:rFonts w:eastAsia="Times New Roman" w:cs="Times New Roman"/>
        </w:rPr>
        <w:t>VEGE</w:t>
      </w:r>
      <w:r w:rsidR="00303FAD">
        <w:rPr>
          <w:rFonts w:eastAsia="Times New Roman" w:cs="Times New Roman"/>
        </w:rPr>
        <w:t xml:space="preserve"> </w:t>
      </w:r>
      <w:r w:rsidRPr="00BC0359">
        <w:rPr>
          <w:rFonts w:eastAsia="Times New Roman" w:cs="Times New Roman"/>
        </w:rPr>
        <w:t xml:space="preserve">project). </w:t>
      </w:r>
      <w:r>
        <w:rPr>
          <w:rFonts w:eastAsia="Times New Roman" w:cs="Times New Roman"/>
        </w:rPr>
        <w:t>While these related introduced VET sector initiatives rather than needs specifically identified by the teachers' self-assessment and individual training plans, they nonetheless also address knowledge gaps at an individual level.</w:t>
      </w:r>
    </w:p>
    <w:p w14:paraId="1B88596F" w14:textId="77777777" w:rsidR="009601AE" w:rsidRDefault="009601AE" w:rsidP="009E3730">
      <w:pPr>
        <w:widowControl w:val="0"/>
        <w:suppressAutoHyphens/>
      </w:pPr>
    </w:p>
    <w:p w14:paraId="58DBC493" w14:textId="77777777" w:rsidR="009601AE" w:rsidRDefault="009601AE" w:rsidP="009E3730">
      <w:pPr>
        <w:widowControl w:val="0"/>
        <w:suppressAutoHyphens/>
        <w:rPr>
          <w:b/>
          <w:bCs/>
          <w:i/>
          <w:iCs/>
          <w:lang w:eastAsia="en-GB"/>
        </w:rPr>
      </w:pPr>
      <w:r>
        <w:rPr>
          <w:b/>
          <w:bCs/>
          <w:u w:val="single"/>
        </w:rPr>
        <w:t>Indicator 2.2.3</w:t>
      </w:r>
      <w:r>
        <w:rPr>
          <w:b/>
          <w:bCs/>
        </w:rPr>
        <w:t xml:space="preserve">: </w:t>
      </w:r>
      <w:r w:rsidRPr="00A33F1E">
        <w:rPr>
          <w:b/>
          <w:bCs/>
          <w:i/>
        </w:rPr>
        <w:t>U</w:t>
      </w:r>
      <w:r>
        <w:rPr>
          <w:b/>
          <w:bCs/>
          <w:i/>
          <w:iCs/>
          <w:lang w:eastAsia="en-GB"/>
        </w:rPr>
        <w:t>pdated online list of vocational qualifications and online catalogue of occupational standards available for public use.</w:t>
      </w:r>
    </w:p>
    <w:p w14:paraId="02111FA9" w14:textId="77777777" w:rsidR="009601AE" w:rsidRDefault="009601AE" w:rsidP="009E3730">
      <w:pPr>
        <w:widowControl w:val="0"/>
        <w:suppressAutoHyphens/>
      </w:pPr>
    </w:p>
    <w:p w14:paraId="65F84B38" w14:textId="77777777" w:rsidR="009601AE" w:rsidRDefault="009601AE" w:rsidP="009E3730">
      <w:pPr>
        <w:widowControl w:val="0"/>
        <w:suppressAutoHyphens/>
      </w:pPr>
      <w:r>
        <w:t xml:space="preserve">Source of Verification: </w:t>
      </w:r>
    </w:p>
    <w:p w14:paraId="016A7F5D" w14:textId="77777777" w:rsidR="009601AE" w:rsidRDefault="009601AE" w:rsidP="009E3730">
      <w:pPr>
        <w:widowControl w:val="0"/>
        <w:numPr>
          <w:ilvl w:val="0"/>
          <w:numId w:val="1"/>
        </w:numPr>
        <w:suppressAutoHyphens/>
        <w:autoSpaceDE w:val="0"/>
        <w:autoSpaceDN w:val="0"/>
        <w:ind w:left="714" w:hanging="357"/>
        <w:rPr>
          <w:lang w:eastAsia="en-GB"/>
        </w:rPr>
      </w:pPr>
      <w:r>
        <w:rPr>
          <w:lang w:eastAsia="en-GB"/>
        </w:rPr>
        <w:t>Websites of MoES and National Centre for Educational Quality Enhancement.</w:t>
      </w:r>
    </w:p>
    <w:p w14:paraId="6DA4B8FF" w14:textId="77777777" w:rsidR="009601AE" w:rsidRDefault="009601AE" w:rsidP="009E3730">
      <w:pPr>
        <w:widowControl w:val="0"/>
        <w:suppressAutoHyphens/>
      </w:pPr>
    </w:p>
    <w:p w14:paraId="635A00E7" w14:textId="33855217" w:rsidR="009601AE" w:rsidRDefault="009601AE" w:rsidP="009E3730">
      <w:pPr>
        <w:widowControl w:val="0"/>
        <w:suppressAutoHyphens/>
        <w:ind w:right="26"/>
      </w:pPr>
      <w:r>
        <w:rPr>
          <w:b/>
          <w:bCs/>
          <w:u w:val="single"/>
        </w:rPr>
        <w:t>Review Assessment</w:t>
      </w:r>
      <w:r>
        <w:rPr>
          <w:b/>
          <w:bCs/>
        </w:rPr>
        <w:t>: fulfil</w:t>
      </w:r>
      <w:r w:rsidR="005F1696">
        <w:rPr>
          <w:b/>
          <w:bCs/>
        </w:rPr>
        <w:t>led</w:t>
      </w:r>
      <w:r>
        <w:rPr>
          <w:b/>
          <w:bCs/>
        </w:rPr>
        <w:t>.</w:t>
      </w:r>
    </w:p>
    <w:p w14:paraId="0EE18373" w14:textId="77777777" w:rsidR="009601AE" w:rsidRDefault="009601AE" w:rsidP="009E3730">
      <w:pPr>
        <w:widowControl w:val="0"/>
        <w:suppressAutoHyphens/>
      </w:pPr>
    </w:p>
    <w:p w14:paraId="7C7C8AF8" w14:textId="2A7BC677" w:rsidR="009601AE" w:rsidRPr="009601AE" w:rsidRDefault="009601AE" w:rsidP="009E3730">
      <w:pPr>
        <w:widowControl w:val="0"/>
        <w:suppressAutoHyphens/>
      </w:pPr>
      <w:r>
        <w:t>A</w:t>
      </w:r>
      <w:r w:rsidRPr="004324DF">
        <w:t xml:space="preserve"> list of vocational qualifications and </w:t>
      </w:r>
      <w:r>
        <w:t xml:space="preserve">a catalogue of </w:t>
      </w:r>
      <w:r w:rsidRPr="004324DF">
        <w:t xml:space="preserve">occupational standards are </w:t>
      </w:r>
      <w:r>
        <w:t>both available online on</w:t>
      </w:r>
      <w:r w:rsidRPr="004324DF">
        <w:t xml:space="preserve"> </w:t>
      </w:r>
      <w:hyperlink r:id="rId30" w:history="1">
        <w:r w:rsidRPr="00BF2527">
          <w:rPr>
            <w:rStyle w:val="Hyperlink"/>
          </w:rPr>
          <w:t>www.vet.ge</w:t>
        </w:r>
      </w:hyperlink>
      <w:r w:rsidRPr="009601AE">
        <w:t xml:space="preserve">. Both have been updated periodically to reflect the introduction of new qualifications and standards, and the revision of existing ones. </w:t>
      </w:r>
    </w:p>
    <w:p w14:paraId="50EC5523" w14:textId="77777777" w:rsidR="009601AE" w:rsidRDefault="009601AE" w:rsidP="009E3730">
      <w:pPr>
        <w:widowControl w:val="0"/>
        <w:suppressAutoHyphens/>
      </w:pPr>
    </w:p>
    <w:p w14:paraId="158B0219" w14:textId="77777777" w:rsidR="009601AE" w:rsidRDefault="009601AE" w:rsidP="009E3730">
      <w:pPr>
        <w:widowControl w:val="0"/>
        <w:suppressAutoHyphens/>
      </w:pPr>
      <w:r>
        <w:t>Besides direct access, links to the website and the information have been incorporated into the Labour Market Information System (LMIS) website developed by MoLHSA (see Specific Condition 1.1, Indicators 1.1.1 and 1.1.2).</w:t>
      </w:r>
    </w:p>
    <w:p w14:paraId="10DC3F85" w14:textId="77777777" w:rsidR="009601AE" w:rsidRDefault="009601AE" w:rsidP="009E3730">
      <w:pPr>
        <w:widowControl w:val="0"/>
        <w:suppressAutoHyphens/>
      </w:pPr>
    </w:p>
    <w:p w14:paraId="6C7D7AE6" w14:textId="77777777" w:rsidR="009601AE" w:rsidRDefault="009601AE" w:rsidP="009E3730">
      <w:pPr>
        <w:pStyle w:val="Heading2"/>
        <w:widowControl w:val="0"/>
        <w:suppressAutoHyphens/>
      </w:pPr>
      <w:bookmarkStart w:id="61" w:name="_Toc404511347"/>
      <w:bookmarkStart w:id="62" w:name="_Toc413019054"/>
      <w:bookmarkStart w:id="63" w:name="_Toc486837767"/>
      <w:r>
        <w:t>c)</w:t>
      </w:r>
      <w:r>
        <w:tab/>
        <w:t xml:space="preserve">Component 3: </w:t>
      </w:r>
      <w:r>
        <w:rPr>
          <w:lang w:eastAsia="en-GB"/>
        </w:rPr>
        <w:t>Efficient Transition from Training into Employment</w:t>
      </w:r>
      <w:r>
        <w:t>.</w:t>
      </w:r>
      <w:bookmarkEnd w:id="61"/>
      <w:bookmarkEnd w:id="62"/>
      <w:bookmarkEnd w:id="63"/>
    </w:p>
    <w:p w14:paraId="24E0C27E" w14:textId="77777777" w:rsidR="009601AE" w:rsidRDefault="009601AE" w:rsidP="009E3730">
      <w:pPr>
        <w:widowControl w:val="0"/>
        <w:suppressAutoHyphens/>
      </w:pPr>
    </w:p>
    <w:p w14:paraId="5D9215D7" w14:textId="77777777" w:rsidR="009601AE" w:rsidRDefault="009601AE" w:rsidP="009E3730">
      <w:pPr>
        <w:widowControl w:val="0"/>
        <w:suppressAutoHyphens/>
      </w:pPr>
      <w:r>
        <w:t>Specific Objective 3: To increase the attractiveness of the VET system to potential students and employers and to stimulate the engagement of employers in the design and delivery of vocational education and training and continuing education.</w:t>
      </w:r>
    </w:p>
    <w:p w14:paraId="485CD08A" w14:textId="77777777" w:rsidR="009601AE" w:rsidRDefault="009601AE" w:rsidP="009E3730">
      <w:pPr>
        <w:widowControl w:val="0"/>
        <w:suppressAutoHyphens/>
      </w:pPr>
    </w:p>
    <w:p w14:paraId="2BB92C81" w14:textId="77777777" w:rsidR="009601AE" w:rsidRDefault="009601AE" w:rsidP="009E3730">
      <w:pPr>
        <w:pStyle w:val="Heading3"/>
        <w:widowControl w:val="0"/>
        <w:suppressAutoHyphens/>
      </w:pPr>
      <w:bookmarkStart w:id="64" w:name="_Toc404511348"/>
      <w:bookmarkStart w:id="65" w:name="_Toc413019055"/>
      <w:bookmarkStart w:id="66" w:name="_Toc486837768"/>
      <w:r>
        <w:t>i)</w:t>
      </w:r>
      <w:r>
        <w:tab/>
        <w:t>Specific Condition 3.1:</w:t>
      </w:r>
      <w:r>
        <w:rPr>
          <w:lang w:eastAsia="en-GB"/>
        </w:rPr>
        <w:t xml:space="preserve"> Efficient transition from training to employment.</w:t>
      </w:r>
      <w:bookmarkEnd w:id="64"/>
      <w:bookmarkEnd w:id="65"/>
      <w:bookmarkEnd w:id="66"/>
    </w:p>
    <w:p w14:paraId="79ED19B1" w14:textId="77777777" w:rsidR="009601AE" w:rsidRDefault="009601AE" w:rsidP="009E3730">
      <w:pPr>
        <w:widowControl w:val="0"/>
        <w:suppressAutoHyphens/>
      </w:pPr>
    </w:p>
    <w:p w14:paraId="17FF8A6C" w14:textId="77777777" w:rsidR="009601AE" w:rsidRPr="006B1542" w:rsidRDefault="009601AE" w:rsidP="009E3730">
      <w:pPr>
        <w:widowControl w:val="0"/>
        <w:suppressAutoHyphens/>
      </w:pPr>
      <w:r w:rsidRPr="006B1542">
        <w:rPr>
          <w:bCs/>
        </w:rPr>
        <w:t>Potential value: €1.0mn.</w:t>
      </w:r>
    </w:p>
    <w:p w14:paraId="416E1319" w14:textId="77777777" w:rsidR="009601AE" w:rsidRDefault="009601AE" w:rsidP="009E3730">
      <w:pPr>
        <w:widowControl w:val="0"/>
        <w:suppressAutoHyphens/>
      </w:pPr>
    </w:p>
    <w:p w14:paraId="36DF72F6" w14:textId="42DDB6F0" w:rsidR="009601AE" w:rsidRDefault="009601AE" w:rsidP="009E3730">
      <w:pPr>
        <w:widowControl w:val="0"/>
        <w:suppressAutoHyphens/>
        <w:ind w:right="580"/>
        <w:rPr>
          <w:b/>
          <w:bCs/>
          <w:u w:val="single"/>
        </w:rPr>
      </w:pPr>
      <w:r>
        <w:rPr>
          <w:b/>
          <w:bCs/>
          <w:u w:val="single"/>
        </w:rPr>
        <w:t>Review Assessment</w:t>
      </w:r>
      <w:r>
        <w:rPr>
          <w:b/>
          <w:bCs/>
        </w:rPr>
        <w:t xml:space="preserve">: </w:t>
      </w:r>
      <w:r w:rsidR="005F1696">
        <w:rPr>
          <w:b/>
          <w:bCs/>
        </w:rPr>
        <w:t>non-</w:t>
      </w:r>
      <w:r>
        <w:rPr>
          <w:b/>
          <w:bCs/>
        </w:rPr>
        <w:t xml:space="preserve">compliance (one Indicator </w:t>
      </w:r>
      <w:r w:rsidR="005F1696">
        <w:rPr>
          <w:b/>
          <w:bCs/>
        </w:rPr>
        <w:t>out of two</w:t>
      </w:r>
      <w:r>
        <w:rPr>
          <w:b/>
          <w:bCs/>
        </w:rPr>
        <w:t xml:space="preserve"> fulfilled insufficient for partial compliance).</w:t>
      </w:r>
    </w:p>
    <w:p w14:paraId="116BA6C8" w14:textId="77777777" w:rsidR="006911D7" w:rsidRDefault="006911D7" w:rsidP="009E3730">
      <w:pPr>
        <w:widowControl w:val="0"/>
        <w:suppressAutoHyphens/>
      </w:pPr>
    </w:p>
    <w:p w14:paraId="354A08C8" w14:textId="7846E6CF" w:rsidR="009601AE" w:rsidRDefault="006911D7" w:rsidP="009E3730">
      <w:pPr>
        <w:widowControl w:val="0"/>
        <w:suppressAutoHyphens/>
      </w:pPr>
      <w:r>
        <w:t>Score: 0.0. Recommended disbursement: nil.</w:t>
      </w:r>
    </w:p>
    <w:p w14:paraId="53119D97" w14:textId="77777777" w:rsidR="006911D7" w:rsidRDefault="006911D7" w:rsidP="009E3730">
      <w:pPr>
        <w:widowControl w:val="0"/>
        <w:suppressAutoHyphens/>
      </w:pPr>
    </w:p>
    <w:p w14:paraId="743FAA15" w14:textId="77777777" w:rsidR="009601AE" w:rsidRDefault="009601AE" w:rsidP="009E3730">
      <w:pPr>
        <w:widowControl w:val="0"/>
        <w:suppressAutoHyphens/>
        <w:rPr>
          <w:b/>
          <w:bCs/>
          <w:i/>
          <w:iCs/>
          <w:lang w:eastAsia="en-GB"/>
        </w:rPr>
      </w:pPr>
      <w:r>
        <w:rPr>
          <w:b/>
          <w:bCs/>
          <w:u w:val="single"/>
        </w:rPr>
        <w:t>Indicator 3.1.1</w:t>
      </w:r>
      <w:r>
        <w:rPr>
          <w:b/>
          <w:bCs/>
        </w:rPr>
        <w:t>:</w:t>
      </w:r>
      <w:r>
        <w:rPr>
          <w:b/>
          <w:bCs/>
          <w:lang w:eastAsia="en-GB"/>
        </w:rPr>
        <w:t xml:space="preserve"> </w:t>
      </w:r>
      <w:r>
        <w:rPr>
          <w:b/>
          <w:bCs/>
          <w:i/>
          <w:iCs/>
          <w:lang w:eastAsia="en-GB"/>
        </w:rPr>
        <w:t>All public VET institutions are providing career guidance and counselling in accordance with the new career guidance and counselling concept.</w:t>
      </w:r>
    </w:p>
    <w:p w14:paraId="496CE821" w14:textId="77777777" w:rsidR="009601AE" w:rsidRDefault="009601AE" w:rsidP="009E3730">
      <w:pPr>
        <w:widowControl w:val="0"/>
        <w:suppressAutoHyphens/>
      </w:pPr>
    </w:p>
    <w:p w14:paraId="7212279B" w14:textId="77777777" w:rsidR="009601AE" w:rsidRDefault="009601AE" w:rsidP="009E3730">
      <w:pPr>
        <w:widowControl w:val="0"/>
        <w:suppressAutoHyphens/>
      </w:pPr>
      <w:r>
        <w:t xml:space="preserve">Source of Verification: </w:t>
      </w:r>
    </w:p>
    <w:p w14:paraId="3D865B8C" w14:textId="77777777" w:rsidR="009601AE" w:rsidRDefault="009601AE" w:rsidP="007C295F">
      <w:pPr>
        <w:widowControl w:val="0"/>
        <w:numPr>
          <w:ilvl w:val="0"/>
          <w:numId w:val="13"/>
        </w:numPr>
        <w:suppressAutoHyphens/>
        <w:autoSpaceDE w:val="0"/>
        <w:autoSpaceDN w:val="0"/>
        <w:rPr>
          <w:lang w:eastAsia="en-GB"/>
        </w:rPr>
      </w:pPr>
      <w:r>
        <w:rPr>
          <w:lang w:eastAsia="en-GB"/>
        </w:rPr>
        <w:t>Annual VET Report;</w:t>
      </w:r>
    </w:p>
    <w:p w14:paraId="6672D59C" w14:textId="77777777" w:rsidR="009601AE" w:rsidRDefault="009601AE" w:rsidP="007C295F">
      <w:pPr>
        <w:widowControl w:val="0"/>
        <w:numPr>
          <w:ilvl w:val="0"/>
          <w:numId w:val="13"/>
        </w:numPr>
        <w:suppressAutoHyphens/>
        <w:autoSpaceDE w:val="0"/>
        <w:autoSpaceDN w:val="0"/>
        <w:rPr>
          <w:lang w:eastAsia="en-GB"/>
        </w:rPr>
      </w:pPr>
      <w:r>
        <w:rPr>
          <w:lang w:eastAsia="en-GB"/>
        </w:rPr>
        <w:t>LMIS Report;</w:t>
      </w:r>
    </w:p>
    <w:p w14:paraId="5E79B403" w14:textId="77777777" w:rsidR="009601AE" w:rsidRDefault="009601AE" w:rsidP="007C295F">
      <w:pPr>
        <w:widowControl w:val="0"/>
        <w:numPr>
          <w:ilvl w:val="0"/>
          <w:numId w:val="13"/>
        </w:numPr>
        <w:suppressAutoHyphens/>
        <w:autoSpaceDE w:val="0"/>
        <w:autoSpaceDN w:val="0"/>
        <w:rPr>
          <w:lang w:eastAsia="en-GB"/>
        </w:rPr>
      </w:pPr>
      <w:r>
        <w:rPr>
          <w:lang w:eastAsia="en-GB"/>
        </w:rPr>
        <w:t>Annual</w:t>
      </w:r>
      <w:r w:rsidR="00F7209F">
        <w:rPr>
          <w:lang w:eastAsia="en-GB"/>
        </w:rPr>
        <w:t xml:space="preserve"> Labour M</w:t>
      </w:r>
      <w:r>
        <w:rPr>
          <w:lang w:eastAsia="en-GB"/>
        </w:rPr>
        <w:t>arket Report.</w:t>
      </w:r>
    </w:p>
    <w:p w14:paraId="7DFBB7F8" w14:textId="77777777" w:rsidR="009601AE" w:rsidRDefault="009601AE" w:rsidP="009E3730">
      <w:pPr>
        <w:widowControl w:val="0"/>
        <w:suppressAutoHyphens/>
      </w:pPr>
    </w:p>
    <w:p w14:paraId="3CCD9FFA" w14:textId="7B52062B" w:rsidR="009601AE" w:rsidRDefault="009601AE" w:rsidP="009E3730">
      <w:pPr>
        <w:widowControl w:val="0"/>
        <w:suppressAutoHyphens/>
        <w:rPr>
          <w:b/>
          <w:bCs/>
        </w:rPr>
      </w:pPr>
      <w:r>
        <w:rPr>
          <w:b/>
          <w:bCs/>
          <w:u w:val="single"/>
        </w:rPr>
        <w:t>Review Assessment</w:t>
      </w:r>
      <w:r>
        <w:rPr>
          <w:b/>
          <w:bCs/>
        </w:rPr>
        <w:t xml:space="preserve">: </w:t>
      </w:r>
      <w:r w:rsidR="006911D7">
        <w:rPr>
          <w:b/>
          <w:bCs/>
        </w:rPr>
        <w:t>un</w:t>
      </w:r>
      <w:r>
        <w:rPr>
          <w:b/>
          <w:bCs/>
        </w:rPr>
        <w:t>fulfil</w:t>
      </w:r>
      <w:r w:rsidR="006911D7">
        <w:rPr>
          <w:b/>
          <w:bCs/>
        </w:rPr>
        <w:t>led</w:t>
      </w:r>
      <w:r>
        <w:rPr>
          <w:b/>
          <w:bCs/>
        </w:rPr>
        <w:t>.</w:t>
      </w:r>
    </w:p>
    <w:p w14:paraId="377F0F77" w14:textId="77777777" w:rsidR="009601AE" w:rsidRDefault="009601AE" w:rsidP="009E3730">
      <w:pPr>
        <w:widowControl w:val="0"/>
        <w:suppressAutoHyphens/>
      </w:pPr>
    </w:p>
    <w:p w14:paraId="38FD3523" w14:textId="7BD5B9EF" w:rsidR="00786199" w:rsidRDefault="00716161" w:rsidP="009E3730">
      <w:pPr>
        <w:widowControl w:val="0"/>
        <w:suppressAutoHyphens/>
      </w:pPr>
      <w:r w:rsidRPr="00553DD8">
        <w:rPr>
          <w:rFonts w:eastAsia="Times New Roman" w:cs="Times New Roman"/>
          <w:lang w:eastAsia="en-GB"/>
        </w:rPr>
        <w:t xml:space="preserve">The key to this indicator is the application </w:t>
      </w:r>
      <w:r w:rsidRPr="00A30B54">
        <w:rPr>
          <w:rFonts w:eastAsia="Times New Roman" w:cs="Times New Roman"/>
          <w:lang w:eastAsia="en-GB"/>
        </w:rPr>
        <w:t>within all public VET institutions</w:t>
      </w:r>
      <w:r>
        <w:rPr>
          <w:rFonts w:eastAsia="Times New Roman" w:cs="Times New Roman"/>
          <w:lang w:eastAsia="en-GB"/>
        </w:rPr>
        <w:t xml:space="preserve"> </w:t>
      </w:r>
      <w:r w:rsidRPr="00553DD8">
        <w:rPr>
          <w:rFonts w:eastAsia="Times New Roman" w:cs="Times New Roman"/>
          <w:lang w:eastAsia="en-GB"/>
        </w:rPr>
        <w:t xml:space="preserve">of the new approach to career guidance and counselling developed in late 2015 and early 2016, and piloted thereafter </w:t>
      </w:r>
      <w:r>
        <w:rPr>
          <w:rFonts w:eastAsia="Times New Roman" w:cs="Times New Roman"/>
          <w:lang w:eastAsia="en-GB"/>
        </w:rPr>
        <w:t xml:space="preserve">in 18 VET colleges and 5 ESS centres </w:t>
      </w:r>
      <w:r w:rsidRPr="00553DD8">
        <w:rPr>
          <w:rFonts w:eastAsia="Times New Roman" w:cs="Times New Roman"/>
          <w:lang w:eastAsia="en-GB"/>
        </w:rPr>
        <w:t xml:space="preserve">(as required under the Third Instalment </w:t>
      </w:r>
      <w:r w:rsidRPr="00A30B54">
        <w:rPr>
          <w:rFonts w:eastAsia="Times New Roman" w:cs="Times New Roman"/>
          <w:lang w:eastAsia="en-GB"/>
        </w:rPr>
        <w:t xml:space="preserve">Specific Condition 3.1, Indicators 3.1.1 and 3.1.2). </w:t>
      </w:r>
    </w:p>
    <w:p w14:paraId="64EC3FC7" w14:textId="77777777" w:rsidR="00786199" w:rsidRDefault="00786199" w:rsidP="009E3730">
      <w:pPr>
        <w:widowControl w:val="0"/>
        <w:suppressAutoHyphens/>
      </w:pPr>
    </w:p>
    <w:p w14:paraId="40E3B30E" w14:textId="173229CC" w:rsidR="00786199" w:rsidRDefault="00716161" w:rsidP="009E3730">
      <w:pPr>
        <w:widowControl w:val="0"/>
        <w:suppressAutoHyphens/>
        <w:rPr>
          <w:lang w:eastAsia="en-GB"/>
        </w:rPr>
      </w:pPr>
      <w:r>
        <w:rPr>
          <w:lang w:eastAsia="en-GB"/>
        </w:rPr>
        <w:t xml:space="preserve">One issue for assessment of this Indicator is the number and nature of </w:t>
      </w:r>
      <w:r w:rsidRPr="00716161">
        <w:rPr>
          <w:i/>
          <w:lang w:eastAsia="en-GB"/>
        </w:rPr>
        <w:t>'all public VET institutions</w:t>
      </w:r>
      <w:r>
        <w:rPr>
          <w:lang w:eastAsia="en-GB"/>
        </w:rPr>
        <w:t xml:space="preserve">'. </w:t>
      </w:r>
      <w:r w:rsidR="009601AE">
        <w:rPr>
          <w:lang w:eastAsia="en-GB"/>
        </w:rPr>
        <w:t>In the statistics bulletin</w:t>
      </w:r>
      <w:r w:rsidR="0087448A">
        <w:rPr>
          <w:lang w:eastAsia="en-GB"/>
        </w:rPr>
        <w:t>, published by MoES,</w:t>
      </w:r>
      <w:r w:rsidR="009601AE">
        <w:rPr>
          <w:lang w:eastAsia="en-GB"/>
        </w:rPr>
        <w:t xml:space="preserve"> and elsewhere, data on state VET institutions is reported against a combined total of state VET providers including colleges</w:t>
      </w:r>
      <w:r w:rsidR="00786199">
        <w:rPr>
          <w:lang w:eastAsia="en-GB"/>
        </w:rPr>
        <w:t xml:space="preserve">, </w:t>
      </w:r>
      <w:r w:rsidR="00501F98">
        <w:rPr>
          <w:lang w:eastAsia="en-GB"/>
        </w:rPr>
        <w:t>classified as either</w:t>
      </w:r>
      <w:r w:rsidR="00786199">
        <w:rPr>
          <w:lang w:eastAsia="en-GB"/>
        </w:rPr>
        <w:t xml:space="preserve"> VET and community,</w:t>
      </w:r>
      <w:r w:rsidR="009601AE">
        <w:rPr>
          <w:lang w:eastAsia="en-GB"/>
        </w:rPr>
        <w:t xml:space="preserve"> higher education institutions, </w:t>
      </w:r>
      <w:r w:rsidR="00786199">
        <w:rPr>
          <w:lang w:eastAsia="en-GB"/>
        </w:rPr>
        <w:t xml:space="preserve">and </w:t>
      </w:r>
      <w:r w:rsidR="00501F98">
        <w:rPr>
          <w:lang w:eastAsia="en-GB"/>
        </w:rPr>
        <w:t>secondary schools. Surprisingly the exact number of such public VET providers varies from one lot of statist</w:t>
      </w:r>
      <w:r w:rsidR="00532687">
        <w:rPr>
          <w:lang w:eastAsia="en-GB"/>
        </w:rPr>
        <w:t>i</w:t>
      </w:r>
      <w:r w:rsidR="00501F98">
        <w:rPr>
          <w:lang w:eastAsia="en-GB"/>
        </w:rPr>
        <w:t xml:space="preserve">cs to another. MoES at the end of 2016 provided </w:t>
      </w:r>
      <w:r w:rsidR="0040587C">
        <w:rPr>
          <w:lang w:eastAsia="en-GB"/>
        </w:rPr>
        <w:t xml:space="preserve">the Review with </w:t>
      </w:r>
      <w:r w:rsidR="00501F98">
        <w:rPr>
          <w:lang w:eastAsia="en-GB"/>
        </w:rPr>
        <w:t>a list of 37 different institutions (23 colleges and 14 universities) spread over 46 campuses (including 7 college branches and two GeoTech branches). EMIS for the same period provided a table with 38 state VET providers listed as 22 colleges and 15 higher education institutions and one secondary school</w:t>
      </w:r>
      <w:r w:rsidR="0040587C">
        <w:rPr>
          <w:rStyle w:val="FootnoteReference"/>
          <w:lang w:eastAsia="en-GB"/>
        </w:rPr>
        <w:footnoteReference w:id="67"/>
      </w:r>
      <w:r w:rsidR="0040587C">
        <w:rPr>
          <w:lang w:eastAsia="en-GB"/>
        </w:rPr>
        <w:t>. However, EMIS in reporting student numbers by institution for the autumn 2016 intake listed 36 state VET providers</w:t>
      </w:r>
      <w:r w:rsidR="00CD548C">
        <w:rPr>
          <w:lang w:eastAsia="en-GB"/>
        </w:rPr>
        <w:t xml:space="preserve"> (</w:t>
      </w:r>
      <w:r w:rsidR="0040587C">
        <w:rPr>
          <w:lang w:eastAsia="en-GB"/>
        </w:rPr>
        <w:t>22 colleges, 13 higher education institutions and one secondary school</w:t>
      </w:r>
      <w:r w:rsidR="00CD548C">
        <w:rPr>
          <w:lang w:eastAsia="en-GB"/>
        </w:rPr>
        <w:t>), for the spring 2016 intake 30 state VET providers (19 colleges and 11 higher education institution</w:t>
      </w:r>
      <w:r>
        <w:rPr>
          <w:lang w:eastAsia="en-GB"/>
        </w:rPr>
        <w:t>s</w:t>
      </w:r>
      <w:r w:rsidR="00CD548C">
        <w:rPr>
          <w:lang w:eastAsia="en-GB"/>
        </w:rPr>
        <w:t>), for</w:t>
      </w:r>
      <w:r w:rsidR="0040587C">
        <w:rPr>
          <w:lang w:eastAsia="en-GB"/>
        </w:rPr>
        <w:t xml:space="preserve"> teachers and staff </w:t>
      </w:r>
      <w:r w:rsidR="00CD548C">
        <w:rPr>
          <w:lang w:eastAsia="en-GB"/>
        </w:rPr>
        <w:t xml:space="preserve">at the end of 2016 </w:t>
      </w:r>
      <w:r w:rsidR="0040587C">
        <w:rPr>
          <w:lang w:eastAsia="en-GB"/>
        </w:rPr>
        <w:t>37 state providers (22 colleges and 15 higher education institutions)</w:t>
      </w:r>
      <w:r w:rsidR="00CD548C">
        <w:rPr>
          <w:lang w:eastAsia="en-GB"/>
        </w:rPr>
        <w:t>, for 'novice' teachers (those within two years of appointment) 28 state VET providers (21 colleges and 7 higher education institutions), and for graduates 36 state VET providers (20 colleges and 16 higher education institutions).</w:t>
      </w:r>
      <w:r w:rsidR="00BC3755">
        <w:rPr>
          <w:lang w:eastAsia="en-GB"/>
        </w:rPr>
        <w:t xml:space="preserve"> Some discrepancy in the number of colleges could result from the establishment of new colleges during 2016, with of which were reported to only be taking in students later in the year, or in 2017, though even the autumn 2016 student numbers include 22. </w:t>
      </w:r>
    </w:p>
    <w:p w14:paraId="426D4B49" w14:textId="77777777" w:rsidR="00786199" w:rsidRDefault="00786199" w:rsidP="009E3730">
      <w:pPr>
        <w:widowControl w:val="0"/>
        <w:suppressAutoHyphens/>
        <w:rPr>
          <w:lang w:eastAsia="en-GB"/>
        </w:rPr>
      </w:pPr>
    </w:p>
    <w:p w14:paraId="756EBC26" w14:textId="3500868B" w:rsidR="00BC3755" w:rsidRDefault="009601AE" w:rsidP="009E3730">
      <w:pPr>
        <w:widowControl w:val="0"/>
        <w:suppressAutoHyphens/>
        <w:rPr>
          <w:lang w:eastAsia="en-GB"/>
        </w:rPr>
      </w:pPr>
      <w:r>
        <w:rPr>
          <w:lang w:eastAsia="en-GB"/>
        </w:rPr>
        <w:t xml:space="preserve">MoES </w:t>
      </w:r>
      <w:r w:rsidR="0087448A">
        <w:rPr>
          <w:lang w:eastAsia="en-GB"/>
        </w:rPr>
        <w:t>considered</w:t>
      </w:r>
      <w:r>
        <w:rPr>
          <w:lang w:eastAsia="en-GB"/>
        </w:rPr>
        <w:t xml:space="preserve"> that the reference to 'all public VET institutions' in the context of this Indicator refers only to state VET colleges. Further, during discussions with MoES, t</w:t>
      </w:r>
      <w:r w:rsidR="0087448A">
        <w:rPr>
          <w:lang w:eastAsia="en-GB"/>
        </w:rPr>
        <w:t>he number of relevant colleges wa</w:t>
      </w:r>
      <w:r>
        <w:rPr>
          <w:lang w:eastAsia="en-GB"/>
        </w:rPr>
        <w:t xml:space="preserve">s </w:t>
      </w:r>
      <w:r w:rsidR="0087448A">
        <w:rPr>
          <w:lang w:eastAsia="en-GB"/>
        </w:rPr>
        <w:t xml:space="preserve">consistently </w:t>
      </w:r>
      <w:r>
        <w:rPr>
          <w:lang w:eastAsia="en-GB"/>
        </w:rPr>
        <w:t>put at 18, the number operating at the start of 2015 and destined under Third Instalment Indicator 3.1.2 to be participants in the pilot for introduction of the new approach to career guidance, rather than the 2</w:t>
      </w:r>
      <w:r w:rsidR="0087448A">
        <w:rPr>
          <w:lang w:eastAsia="en-GB"/>
        </w:rPr>
        <w:t>2</w:t>
      </w:r>
      <w:r>
        <w:rPr>
          <w:lang w:eastAsia="en-GB"/>
        </w:rPr>
        <w:t xml:space="preserve"> that were taking students at the end of 2016. </w:t>
      </w:r>
      <w:r w:rsidR="00BC3755">
        <w:rPr>
          <w:lang w:eastAsia="en-GB"/>
        </w:rPr>
        <w:t>Given that the essence of this Indicator is the roll out of the new approaches introduced during the pilot</w:t>
      </w:r>
      <w:r w:rsidR="00853D7A">
        <w:rPr>
          <w:lang w:eastAsia="en-GB"/>
        </w:rPr>
        <w:t>, this approach seems a bit ingenuous.</w:t>
      </w:r>
    </w:p>
    <w:p w14:paraId="6FD3668A" w14:textId="77777777" w:rsidR="00BC3755" w:rsidRDefault="00BC3755" w:rsidP="009E3730">
      <w:pPr>
        <w:widowControl w:val="0"/>
        <w:suppressAutoHyphens/>
        <w:rPr>
          <w:lang w:eastAsia="en-GB"/>
        </w:rPr>
      </w:pPr>
    </w:p>
    <w:p w14:paraId="4DFA78AB" w14:textId="77777777" w:rsidR="002E3BE4" w:rsidRDefault="00786199" w:rsidP="009E3730">
      <w:pPr>
        <w:widowControl w:val="0"/>
        <w:suppressAutoHyphens/>
        <w:rPr>
          <w:rFonts w:eastAsia="Times New Roman" w:cs="Times New Roman"/>
          <w:lang w:eastAsia="en-GB"/>
        </w:rPr>
      </w:pPr>
      <w:r>
        <w:rPr>
          <w:rFonts w:eastAsia="Times New Roman" w:cs="Times New Roman"/>
          <w:lang w:eastAsia="en-GB"/>
        </w:rPr>
        <w:t xml:space="preserve">According to </w:t>
      </w:r>
      <w:r w:rsidRPr="001539C2">
        <w:rPr>
          <w:rFonts w:eastAsia="Times New Roman" w:cs="Times New Roman"/>
          <w:lang w:eastAsia="en-GB"/>
        </w:rPr>
        <w:t>MoES</w:t>
      </w:r>
      <w:r>
        <w:rPr>
          <w:rFonts w:eastAsia="Times New Roman" w:cs="Times New Roman"/>
          <w:lang w:eastAsia="en-GB"/>
        </w:rPr>
        <w:t>,</w:t>
      </w:r>
      <w:r w:rsidRPr="001539C2">
        <w:rPr>
          <w:rFonts w:eastAsia="Times New Roman" w:cs="Times New Roman"/>
          <w:lang w:eastAsia="en-GB"/>
        </w:rPr>
        <w:t xml:space="preserve"> </w:t>
      </w:r>
      <w:r>
        <w:rPr>
          <w:rFonts w:eastAsia="Times New Roman" w:cs="Times New Roman"/>
          <w:lang w:eastAsia="en-GB"/>
        </w:rPr>
        <w:t>t</w:t>
      </w:r>
      <w:r w:rsidRPr="00553DD8">
        <w:rPr>
          <w:rFonts w:eastAsia="Times New Roman" w:cs="Times New Roman"/>
          <w:lang w:eastAsia="en-GB"/>
        </w:rPr>
        <w:t xml:space="preserve">he rationale for excluding state higher education institutions providing VET (the number of which has </w:t>
      </w:r>
      <w:r w:rsidR="00853D7A">
        <w:rPr>
          <w:rFonts w:eastAsia="Times New Roman" w:cs="Times New Roman"/>
          <w:lang w:eastAsia="en-GB"/>
        </w:rPr>
        <w:t xml:space="preserve">usually </w:t>
      </w:r>
      <w:r w:rsidR="00BC3755">
        <w:rPr>
          <w:rFonts w:eastAsia="Times New Roman" w:cs="Times New Roman"/>
          <w:lang w:eastAsia="en-GB"/>
        </w:rPr>
        <w:t>been quoted as</w:t>
      </w:r>
      <w:r w:rsidRPr="00553DD8">
        <w:rPr>
          <w:rFonts w:eastAsia="Times New Roman" w:cs="Times New Roman"/>
          <w:lang w:eastAsia="en-GB"/>
        </w:rPr>
        <w:t xml:space="preserve"> 14</w:t>
      </w:r>
      <w:r w:rsidR="00853D7A">
        <w:rPr>
          <w:rFonts w:eastAsia="Times New Roman" w:cs="Times New Roman"/>
          <w:lang w:eastAsia="en-GB"/>
        </w:rPr>
        <w:t xml:space="preserve">, though </w:t>
      </w:r>
      <w:r>
        <w:rPr>
          <w:rFonts w:eastAsia="Times New Roman" w:cs="Times New Roman"/>
          <w:lang w:eastAsia="en-GB"/>
        </w:rPr>
        <w:t>reported by EMIS as 15</w:t>
      </w:r>
      <w:r w:rsidRPr="004D317B">
        <w:rPr>
          <w:rFonts w:eastAsia="Times New Roman" w:cs="Times New Roman"/>
          <w:lang w:eastAsia="en-GB"/>
        </w:rPr>
        <w:t xml:space="preserve"> </w:t>
      </w:r>
      <w:r>
        <w:rPr>
          <w:rFonts w:eastAsia="Times New Roman" w:cs="Times New Roman"/>
          <w:lang w:eastAsia="en-GB"/>
        </w:rPr>
        <w:t xml:space="preserve">for 2017) </w:t>
      </w:r>
      <w:r w:rsidRPr="001539C2">
        <w:rPr>
          <w:rFonts w:eastAsia="Times New Roman" w:cs="Times New Roman"/>
          <w:lang w:eastAsia="en-GB"/>
        </w:rPr>
        <w:t>is that they</w:t>
      </w:r>
      <w:r>
        <w:rPr>
          <w:rFonts w:eastAsia="Times New Roman" w:cs="Times New Roman"/>
          <w:lang w:eastAsia="en-GB"/>
        </w:rPr>
        <w:t xml:space="preserve"> </w:t>
      </w:r>
      <w:r w:rsidRPr="001539C2">
        <w:rPr>
          <w:rFonts w:eastAsia="Times New Roman" w:cs="Times New Roman"/>
          <w:lang w:eastAsia="en-GB"/>
        </w:rPr>
        <w:t xml:space="preserve">have their own Career Centres which are considered as operational and </w:t>
      </w:r>
      <w:r>
        <w:rPr>
          <w:rFonts w:eastAsia="Times New Roman" w:cs="Times New Roman"/>
          <w:lang w:eastAsia="en-GB"/>
        </w:rPr>
        <w:t xml:space="preserve">not requiring </w:t>
      </w:r>
      <w:r w:rsidR="00853D7A">
        <w:rPr>
          <w:rFonts w:eastAsia="Times New Roman" w:cs="Times New Roman"/>
          <w:lang w:eastAsia="en-GB"/>
        </w:rPr>
        <w:t>of</w:t>
      </w:r>
      <w:r>
        <w:rPr>
          <w:rFonts w:eastAsia="Times New Roman" w:cs="Times New Roman"/>
          <w:lang w:eastAsia="en-GB"/>
        </w:rPr>
        <w:t xml:space="preserve"> support</w:t>
      </w:r>
      <w:r w:rsidR="00853D7A">
        <w:rPr>
          <w:rFonts w:eastAsia="Times New Roman" w:cs="Times New Roman"/>
          <w:lang w:eastAsia="en-GB"/>
        </w:rPr>
        <w:t xml:space="preserve">. None participated in </w:t>
      </w:r>
      <w:r w:rsidR="00853D7A" w:rsidRPr="001539C2">
        <w:rPr>
          <w:rFonts w:eastAsia="Times New Roman" w:cs="Times New Roman"/>
          <w:lang w:eastAsia="en-GB"/>
        </w:rPr>
        <w:t xml:space="preserve">the </w:t>
      </w:r>
      <w:r w:rsidR="00853D7A">
        <w:rPr>
          <w:rFonts w:eastAsia="Times New Roman" w:cs="Times New Roman"/>
          <w:lang w:eastAsia="en-GB"/>
        </w:rPr>
        <w:t xml:space="preserve">POCG related </w:t>
      </w:r>
      <w:r w:rsidR="00853D7A" w:rsidRPr="001539C2">
        <w:rPr>
          <w:rFonts w:eastAsia="Times New Roman" w:cs="Times New Roman"/>
          <w:lang w:eastAsia="en-GB"/>
        </w:rPr>
        <w:t>activities cover</w:t>
      </w:r>
      <w:r w:rsidR="00853D7A">
        <w:rPr>
          <w:rFonts w:eastAsia="Times New Roman" w:cs="Times New Roman"/>
          <w:lang w:eastAsia="en-GB"/>
        </w:rPr>
        <w:t>ed by the pilot</w:t>
      </w:r>
      <w:r>
        <w:rPr>
          <w:rFonts w:eastAsia="Times New Roman" w:cs="Times New Roman"/>
          <w:lang w:eastAsia="en-GB"/>
        </w:rPr>
        <w:t>. However,</w:t>
      </w:r>
      <w:r w:rsidRPr="001539C2">
        <w:rPr>
          <w:rFonts w:eastAsia="Times New Roman" w:cs="Times New Roman"/>
          <w:lang w:eastAsia="en-GB"/>
        </w:rPr>
        <w:t xml:space="preserve"> </w:t>
      </w:r>
      <w:r w:rsidR="00B53354">
        <w:rPr>
          <w:rFonts w:eastAsia="Times New Roman" w:cs="Times New Roman"/>
          <w:lang w:eastAsia="en-GB"/>
        </w:rPr>
        <w:t xml:space="preserve">the opposite opinion was expressed by </w:t>
      </w:r>
      <w:r w:rsidRPr="001539C2">
        <w:rPr>
          <w:rFonts w:eastAsia="Times New Roman" w:cs="Times New Roman"/>
          <w:lang w:eastAsia="en-GB"/>
        </w:rPr>
        <w:t xml:space="preserve">representatives of </w:t>
      </w:r>
      <w:r w:rsidR="00B53354">
        <w:rPr>
          <w:rFonts w:eastAsia="Times New Roman" w:cs="Times New Roman"/>
          <w:lang w:eastAsia="en-GB"/>
        </w:rPr>
        <w:t>universities visited by the Review:</w:t>
      </w:r>
      <w:r w:rsidRPr="001539C2">
        <w:rPr>
          <w:rFonts w:eastAsia="Times New Roman" w:cs="Times New Roman"/>
          <w:lang w:eastAsia="en-GB"/>
        </w:rPr>
        <w:t xml:space="preserve"> Gori State Teaching University (where a special person was responsible for POCG activities for VET </w:t>
      </w:r>
      <w:r w:rsidR="00B53354">
        <w:rPr>
          <w:rFonts w:eastAsia="Times New Roman" w:cs="Times New Roman"/>
          <w:lang w:eastAsia="en-GB"/>
        </w:rPr>
        <w:t xml:space="preserve">separate from that </w:t>
      </w:r>
      <w:r w:rsidRPr="001539C2">
        <w:rPr>
          <w:rFonts w:eastAsia="Times New Roman" w:cs="Times New Roman"/>
          <w:lang w:eastAsia="en-GB"/>
        </w:rPr>
        <w:t xml:space="preserve">responsible for academic </w:t>
      </w:r>
      <w:r w:rsidR="00B53354">
        <w:rPr>
          <w:rFonts w:eastAsia="Times New Roman" w:cs="Times New Roman"/>
          <w:lang w:eastAsia="en-GB"/>
        </w:rPr>
        <w:t>course applicants and students)</w:t>
      </w:r>
      <w:r w:rsidRPr="001539C2">
        <w:rPr>
          <w:rFonts w:eastAsia="Times New Roman" w:cs="Times New Roman"/>
          <w:lang w:eastAsia="en-GB"/>
        </w:rPr>
        <w:t xml:space="preserve"> </w:t>
      </w:r>
      <w:r w:rsidR="00B53354">
        <w:rPr>
          <w:rFonts w:eastAsia="Times New Roman" w:cs="Times New Roman"/>
          <w:lang w:eastAsia="en-GB"/>
        </w:rPr>
        <w:t xml:space="preserve">and </w:t>
      </w:r>
      <w:r w:rsidRPr="00BC0359">
        <w:rPr>
          <w:rFonts w:eastAsia="Times New Roman" w:cs="Times New Roman"/>
        </w:rPr>
        <w:t>Samtskhe-Javakheti State University</w:t>
      </w:r>
      <w:r w:rsidRPr="00553DD8">
        <w:rPr>
          <w:rFonts w:eastAsia="Times New Roman" w:cs="Times New Roman"/>
          <w:lang w:eastAsia="en-GB"/>
        </w:rPr>
        <w:t xml:space="preserve"> </w:t>
      </w:r>
      <w:r w:rsidR="00B53354">
        <w:rPr>
          <w:rFonts w:eastAsia="Times New Roman" w:cs="Times New Roman"/>
          <w:lang w:eastAsia="en-GB"/>
        </w:rPr>
        <w:t>(where it was</w:t>
      </w:r>
      <w:r>
        <w:rPr>
          <w:rFonts w:eastAsia="Times New Roman" w:cs="Times New Roman"/>
          <w:lang w:eastAsia="en-GB"/>
        </w:rPr>
        <w:t xml:space="preserve"> confirmed that </w:t>
      </w:r>
      <w:r w:rsidR="00B53354">
        <w:rPr>
          <w:rFonts w:eastAsia="Times New Roman" w:cs="Times New Roman"/>
          <w:lang w:eastAsia="en-GB"/>
        </w:rPr>
        <w:t xml:space="preserve">no </w:t>
      </w:r>
      <w:r>
        <w:rPr>
          <w:rFonts w:eastAsia="Times New Roman" w:cs="Times New Roman"/>
          <w:lang w:eastAsia="en-GB"/>
        </w:rPr>
        <w:t xml:space="preserve">support </w:t>
      </w:r>
      <w:r w:rsidR="00B53354">
        <w:rPr>
          <w:rFonts w:eastAsia="Times New Roman" w:cs="Times New Roman"/>
          <w:lang w:eastAsia="en-GB"/>
        </w:rPr>
        <w:t xml:space="preserve">had been provided </w:t>
      </w:r>
      <w:r>
        <w:rPr>
          <w:rFonts w:eastAsia="Times New Roman" w:cs="Times New Roman"/>
          <w:lang w:eastAsia="en-GB"/>
        </w:rPr>
        <w:t xml:space="preserve">to their Career Centre and the corresponding employees </w:t>
      </w:r>
      <w:r w:rsidR="00B53354">
        <w:rPr>
          <w:rFonts w:eastAsia="Times New Roman" w:cs="Times New Roman"/>
          <w:lang w:eastAsia="en-GB"/>
        </w:rPr>
        <w:t xml:space="preserve">since a TEMPUS project at </w:t>
      </w:r>
      <w:r>
        <w:rPr>
          <w:rFonts w:eastAsia="Times New Roman" w:cs="Times New Roman"/>
          <w:lang w:eastAsia="en-GB"/>
        </w:rPr>
        <w:t>the end of the last decade</w:t>
      </w:r>
      <w:r w:rsidR="00B53354">
        <w:rPr>
          <w:rFonts w:eastAsia="Times New Roman" w:cs="Times New Roman"/>
          <w:lang w:eastAsia="en-GB"/>
        </w:rPr>
        <w:t>)</w:t>
      </w:r>
      <w:r>
        <w:rPr>
          <w:rFonts w:eastAsia="Times New Roman" w:cs="Times New Roman"/>
          <w:lang w:eastAsia="en-GB"/>
        </w:rPr>
        <w:t xml:space="preserve">. </w:t>
      </w:r>
    </w:p>
    <w:p w14:paraId="5D9DB6CB" w14:textId="77777777" w:rsidR="002E3BE4" w:rsidRDefault="002E3BE4" w:rsidP="009E3730">
      <w:pPr>
        <w:widowControl w:val="0"/>
        <w:suppressAutoHyphens/>
        <w:rPr>
          <w:rFonts w:eastAsia="Times New Roman" w:cs="Times New Roman"/>
          <w:lang w:eastAsia="en-GB"/>
        </w:rPr>
      </w:pPr>
    </w:p>
    <w:p w14:paraId="278C1C47" w14:textId="1C9FCA7B" w:rsidR="00F46037" w:rsidRPr="00F46037" w:rsidRDefault="00786199" w:rsidP="009E3730">
      <w:pPr>
        <w:widowControl w:val="0"/>
        <w:suppressAutoHyphens/>
        <w:rPr>
          <w:rFonts w:eastAsia="Times New Roman" w:cs="Times New Roman"/>
          <w:lang w:eastAsia="en-GB"/>
        </w:rPr>
      </w:pPr>
      <w:r w:rsidRPr="00553DD8">
        <w:rPr>
          <w:rFonts w:eastAsia="Times New Roman" w:cs="Times New Roman"/>
          <w:lang w:eastAsia="en-GB"/>
        </w:rPr>
        <w:t xml:space="preserve">It should </w:t>
      </w:r>
      <w:r w:rsidR="00F46037">
        <w:rPr>
          <w:rFonts w:eastAsia="Times New Roman" w:cs="Times New Roman"/>
          <w:lang w:eastAsia="en-GB"/>
        </w:rPr>
        <w:t xml:space="preserve">perhaps </w:t>
      </w:r>
      <w:r w:rsidRPr="00553DD8">
        <w:rPr>
          <w:rFonts w:eastAsia="Times New Roman" w:cs="Times New Roman"/>
          <w:lang w:eastAsia="en-GB"/>
        </w:rPr>
        <w:t xml:space="preserve">be noted that the new approach </w:t>
      </w:r>
      <w:r w:rsidR="00F46037">
        <w:rPr>
          <w:rFonts w:eastAsia="Times New Roman" w:cs="Times New Roman"/>
          <w:lang w:eastAsia="en-GB"/>
        </w:rPr>
        <w:t xml:space="preserve">to POCG </w:t>
      </w:r>
      <w:r w:rsidRPr="00553DD8">
        <w:rPr>
          <w:rFonts w:eastAsia="Times New Roman" w:cs="Times New Roman"/>
          <w:lang w:eastAsia="en-GB"/>
        </w:rPr>
        <w:t>covers not just VET colleges but also SSA ESS offices and MoSYA regional centres (although establishment of these in 2015 was postponed).</w:t>
      </w:r>
      <w:r w:rsidR="00F46037">
        <w:rPr>
          <w:rFonts w:eastAsia="Times New Roman" w:cs="Times New Roman"/>
          <w:lang w:eastAsia="en-GB"/>
        </w:rPr>
        <w:t xml:space="preserve"> </w:t>
      </w:r>
      <w:r w:rsidR="00F46037">
        <w:t xml:space="preserve">Links to MoSYA's </w:t>
      </w:r>
      <w:r w:rsidR="008B79DD" w:rsidRPr="001B1D09">
        <w:rPr>
          <w:rStyle w:val="Hyperlink"/>
        </w:rPr>
        <w:t>Myprofession.ge</w:t>
      </w:r>
      <w:r w:rsidR="00F46037">
        <w:t xml:space="preserve">, MoLHSA's </w:t>
      </w:r>
      <w:r w:rsidR="00F46037" w:rsidRPr="001B1D09">
        <w:rPr>
          <w:rStyle w:val="Hyperlink"/>
        </w:rPr>
        <w:t>worknet.ge</w:t>
      </w:r>
      <w:r w:rsidR="00F46037">
        <w:t xml:space="preserve"> and through MoES's </w:t>
      </w:r>
      <w:r w:rsidR="00F46037" w:rsidRPr="001B1D09">
        <w:rPr>
          <w:rStyle w:val="Hyperlink"/>
        </w:rPr>
        <w:t>vet.ge</w:t>
      </w:r>
      <w:r w:rsidR="00F46037">
        <w:t xml:space="preserve"> to information on colleges and VET programmes are provided in the LMIS (see Specific Condition 1.1) making it a major source of information for potential VET applicants, students and graduates to support career decisions, and a resource for POCG consultants. </w:t>
      </w:r>
    </w:p>
    <w:p w14:paraId="79D868FA" w14:textId="77777777" w:rsidR="00786199" w:rsidRDefault="00786199" w:rsidP="009E3730">
      <w:pPr>
        <w:widowControl w:val="0"/>
        <w:suppressAutoHyphens/>
        <w:rPr>
          <w:lang w:eastAsia="en-GB"/>
        </w:rPr>
      </w:pPr>
    </w:p>
    <w:p w14:paraId="1A9E1A8C" w14:textId="3ED48A3C" w:rsidR="009601AE" w:rsidRDefault="009601AE" w:rsidP="009E3730">
      <w:pPr>
        <w:widowControl w:val="0"/>
        <w:suppressAutoHyphens/>
        <w:rPr>
          <w:lang w:eastAsia="en-GB"/>
        </w:rPr>
      </w:pPr>
      <w:r>
        <w:rPr>
          <w:i/>
        </w:rPr>
        <w:t>Standards for career guidance</w:t>
      </w:r>
      <w:r>
        <w:t xml:space="preserve">, were approved by Government Decree No.676 of 30th December 2015. The standards covered activities of three ministries: MoES, MoLHSA, and MoSYA. Substandards for the application of these standards through SSA employment support services were developed and included by MoLHSA in the Government Decree. MoSYA determined that substandards were premature as the development of proposed regional youth centres which would provide career guidance was postponed due to lack of funding, without them the main activity covered by the Decree relating to the careers website </w:t>
      </w:r>
      <w:r w:rsidR="008B79DD" w:rsidRPr="00AA21FA">
        <w:rPr>
          <w:rStyle w:val="Hyperlink"/>
        </w:rPr>
        <w:t>Myprofession.ge</w:t>
      </w:r>
      <w:r>
        <w:t xml:space="preserve">. MoES </w:t>
      </w:r>
      <w:r w:rsidR="001D26D9">
        <w:t>has r</w:t>
      </w:r>
      <w:r w:rsidR="006639F1">
        <w:t>epeatedly stated that they woul</w:t>
      </w:r>
      <w:r w:rsidR="001D26D9">
        <w:t xml:space="preserve">d </w:t>
      </w:r>
      <w:r>
        <w:t xml:space="preserve">produce substandards covering the delivery of career guidance and counselling services through state VET institutions, but </w:t>
      </w:r>
      <w:r w:rsidR="001D26D9">
        <w:t>as of the Final Review in April 2017</w:t>
      </w:r>
      <w:r>
        <w:t xml:space="preserve"> no such substandards had been produced. </w:t>
      </w:r>
    </w:p>
    <w:p w14:paraId="601E5281" w14:textId="77777777" w:rsidR="001D26D9" w:rsidRPr="00553DD8" w:rsidRDefault="001D26D9" w:rsidP="009E3730">
      <w:pPr>
        <w:widowControl w:val="0"/>
        <w:suppressAutoHyphens/>
        <w:rPr>
          <w:rFonts w:eastAsia="Times New Roman" w:cs="Times New Roman"/>
          <w:lang w:eastAsia="en-GB"/>
        </w:rPr>
      </w:pPr>
    </w:p>
    <w:p w14:paraId="0650025F" w14:textId="78D3D911" w:rsidR="001D26D9" w:rsidRPr="005D6BEA" w:rsidRDefault="001D26D9" w:rsidP="009E3730">
      <w:pPr>
        <w:widowControl w:val="0"/>
        <w:suppressAutoHyphens/>
        <w:rPr>
          <w:rFonts w:eastAsia="Times New Roman"/>
        </w:rPr>
      </w:pPr>
      <w:r w:rsidRPr="00553DD8">
        <w:rPr>
          <w:rFonts w:eastAsia="Times New Roman" w:cs="Times New Roman"/>
        </w:rPr>
        <w:t xml:space="preserve">In </w:t>
      </w:r>
      <w:r>
        <w:rPr>
          <w:rFonts w:eastAsia="Times New Roman" w:cs="Times New Roman"/>
        </w:rPr>
        <w:t xml:space="preserve">September </w:t>
      </w:r>
      <w:r w:rsidRPr="00553DD8">
        <w:rPr>
          <w:rFonts w:eastAsia="Times New Roman" w:cs="Times New Roman"/>
        </w:rPr>
        <w:t xml:space="preserve">2015, a </w:t>
      </w:r>
      <w:r w:rsidRPr="00553DD8">
        <w:rPr>
          <w:rFonts w:eastAsia="Times New Roman" w:cs="Times New Roman"/>
          <w:i/>
        </w:rPr>
        <w:t xml:space="preserve">Manual of Procedures for Careers Counsellors, </w:t>
      </w:r>
      <w:r w:rsidRPr="00553DD8">
        <w:rPr>
          <w:rFonts w:eastAsia="Times New Roman" w:cs="Times New Roman"/>
        </w:rPr>
        <w:t xml:space="preserve">providing practical step-by-step procedures for career guidance advisors to follow (but not specific to the Georgian situation and the different levels of career guidance counsellors envisaged), </w:t>
      </w:r>
      <w:r w:rsidRPr="000878D0">
        <w:rPr>
          <w:rFonts w:eastAsia="Times New Roman" w:cs="Times New Roman"/>
        </w:rPr>
        <w:t>and in November 2015</w:t>
      </w:r>
      <w:r>
        <w:rPr>
          <w:rFonts w:eastAsia="Times New Roman" w:cs="Times New Roman"/>
          <w:i/>
        </w:rPr>
        <w:t xml:space="preserve"> </w:t>
      </w:r>
      <w:r w:rsidRPr="00553DD8">
        <w:rPr>
          <w:rFonts w:eastAsia="Times New Roman" w:cs="Times New Roman"/>
        </w:rPr>
        <w:t xml:space="preserve">a </w:t>
      </w:r>
      <w:r w:rsidRPr="00553DD8">
        <w:rPr>
          <w:rFonts w:eastAsia="Times New Roman" w:cs="Times New Roman"/>
          <w:i/>
        </w:rPr>
        <w:t xml:space="preserve">Handbook for Career Guidance, </w:t>
      </w:r>
      <w:r w:rsidRPr="00553DD8">
        <w:rPr>
          <w:rFonts w:eastAsia="Times New Roman" w:cs="Times New Roman"/>
        </w:rPr>
        <w:t>a general guide to career guidance rather than a working manual translated into Georgian,</w:t>
      </w:r>
      <w:r w:rsidRPr="00553DD8">
        <w:rPr>
          <w:rFonts w:eastAsia="Times New Roman" w:cs="Times New Roman"/>
          <w:i/>
        </w:rPr>
        <w:t xml:space="preserve"> </w:t>
      </w:r>
      <w:r w:rsidRPr="00553DD8">
        <w:rPr>
          <w:rFonts w:eastAsia="Times New Roman" w:cs="Times New Roman"/>
        </w:rPr>
        <w:t xml:space="preserve">were produced with the support of the EU </w:t>
      </w:r>
      <w:r w:rsidR="00B520E5">
        <w:rPr>
          <w:rFonts w:eastAsia="Times New Roman" w:cs="Times New Roman"/>
        </w:rPr>
        <w:t>VEGE</w:t>
      </w:r>
      <w:r w:rsidRPr="00553DD8">
        <w:rPr>
          <w:rFonts w:eastAsia="Times New Roman" w:cs="Times New Roman"/>
        </w:rPr>
        <w:t xml:space="preserve"> TA to cover career guidance procedures and techniques. In addition</w:t>
      </w:r>
      <w:r w:rsidRPr="00553DD8">
        <w:rPr>
          <w:rFonts w:eastAsia="Times New Roman" w:cs="Times New Roman"/>
          <w:i/>
        </w:rPr>
        <w:t xml:space="preserve">, </w:t>
      </w:r>
      <w:r w:rsidRPr="00553DD8">
        <w:rPr>
          <w:rFonts w:eastAsia="Times New Roman" w:cs="Times New Roman"/>
        </w:rPr>
        <w:t xml:space="preserve">a </w:t>
      </w:r>
      <w:r w:rsidRPr="00553DD8">
        <w:rPr>
          <w:rFonts w:eastAsia="Times New Roman" w:cs="Times New Roman"/>
          <w:i/>
        </w:rPr>
        <w:t>T</w:t>
      </w:r>
      <w:r>
        <w:rPr>
          <w:rFonts w:eastAsia="Times New Roman" w:cs="Times New Roman"/>
          <w:i/>
        </w:rPr>
        <w:t>rainers T</w:t>
      </w:r>
      <w:r w:rsidRPr="00553DD8">
        <w:rPr>
          <w:rFonts w:eastAsia="Times New Roman" w:cs="Times New Roman"/>
          <w:i/>
        </w:rPr>
        <w:t>oolkit for Careers Education</w:t>
      </w:r>
      <w:r w:rsidRPr="00553DD8">
        <w:rPr>
          <w:rFonts w:eastAsia="Times New Roman" w:cs="Times New Roman"/>
        </w:rPr>
        <w:t xml:space="preserve"> was produced </w:t>
      </w:r>
      <w:r>
        <w:rPr>
          <w:rFonts w:eastAsia="Times New Roman" w:cs="Times New Roman"/>
        </w:rPr>
        <w:t xml:space="preserve">in March 2016 </w:t>
      </w:r>
      <w:r w:rsidRPr="00553DD8">
        <w:rPr>
          <w:rFonts w:eastAsia="Times New Roman" w:cs="Times New Roman"/>
        </w:rPr>
        <w:t xml:space="preserve">with the MCA-G project to support the training of trainers for careers education and guidance </w:t>
      </w:r>
      <w:r w:rsidRPr="005D6BEA">
        <w:rPr>
          <w:rFonts w:eastAsia="Times New Roman"/>
        </w:rPr>
        <w:t>specialists at different levels of education. The same project produced also a</w:t>
      </w:r>
      <w:r w:rsidRPr="005D6BEA">
        <w:rPr>
          <w:bCs/>
        </w:rPr>
        <w:t xml:space="preserve"> revised </w:t>
      </w:r>
      <w:r w:rsidRPr="005D6BEA">
        <w:rPr>
          <w:bCs/>
          <w:i/>
        </w:rPr>
        <w:t>Careers Education Policy Guidelines for Schools and VET colleges in Georgia</w:t>
      </w:r>
      <w:r w:rsidRPr="005D6BEA">
        <w:rPr>
          <w:bCs/>
        </w:rPr>
        <w:t xml:space="preserve"> in December 2016.</w:t>
      </w:r>
    </w:p>
    <w:p w14:paraId="518C3ABD" w14:textId="0BB64C5D" w:rsidR="001D26D9" w:rsidRDefault="001D26D9" w:rsidP="009E3730">
      <w:pPr>
        <w:widowControl w:val="0"/>
        <w:suppressAutoHyphens/>
      </w:pPr>
    </w:p>
    <w:p w14:paraId="79031218" w14:textId="723B5E4E" w:rsidR="001D26D9" w:rsidRPr="00553DD8" w:rsidRDefault="007B3291" w:rsidP="009E3730">
      <w:pPr>
        <w:widowControl w:val="0"/>
        <w:suppressAutoHyphens/>
        <w:rPr>
          <w:rFonts w:eastAsia="Times New Roman" w:cs="Times New Roman"/>
        </w:rPr>
      </w:pPr>
      <w:r>
        <w:rPr>
          <w:rFonts w:eastAsia="Times New Roman"/>
        </w:rPr>
        <w:t>Although the AAP2013 EVET Specific Conditions envisaged piloting in 2015 (Third Instalment Indicator 3.1.2) to enable full-fledged implementation in 2016 as required by this Fourth Instalment Indicator, a</w:t>
      </w:r>
      <w:r w:rsidR="001D26D9" w:rsidRPr="00553DD8">
        <w:rPr>
          <w:rFonts w:eastAsia="Times New Roman" w:cs="Times New Roman"/>
        </w:rPr>
        <w:t xml:space="preserve"> draft action plan for a nine-month piloting of the new career guidance techniques in 18 state VET colleges and 5 ESS offices was </w:t>
      </w:r>
      <w:r>
        <w:rPr>
          <w:rFonts w:eastAsia="Times New Roman" w:cs="Times New Roman"/>
        </w:rPr>
        <w:t xml:space="preserve">only </w:t>
      </w:r>
      <w:r w:rsidR="001D26D9" w:rsidRPr="00553DD8">
        <w:rPr>
          <w:rFonts w:eastAsia="Times New Roman" w:cs="Times New Roman"/>
        </w:rPr>
        <w:t xml:space="preserve">produced with the support of the EU </w:t>
      </w:r>
      <w:r w:rsidR="00B520E5">
        <w:rPr>
          <w:rFonts w:eastAsia="Times New Roman" w:cs="Times New Roman"/>
        </w:rPr>
        <w:t>VEGE</w:t>
      </w:r>
      <w:r w:rsidR="001D26D9" w:rsidRPr="00553DD8">
        <w:rPr>
          <w:rFonts w:eastAsia="Times New Roman" w:cs="Times New Roman"/>
        </w:rPr>
        <w:t xml:space="preserve"> TA in December 2015.</w:t>
      </w:r>
      <w:r w:rsidR="001D26D9">
        <w:rPr>
          <w:rFonts w:eastAsia="Times New Roman" w:cs="Times New Roman"/>
        </w:rPr>
        <w:t xml:space="preserve"> </w:t>
      </w:r>
      <w:r>
        <w:rPr>
          <w:rFonts w:eastAsia="Times New Roman" w:cs="Times New Roman"/>
        </w:rPr>
        <w:t xml:space="preserve">The action plan assumed the pilot would run for nine months from the second quarter of 2016 (although a Gant diagram in the document indicated implementation activities over the second and third quarters). </w:t>
      </w:r>
      <w:r w:rsidR="001D26D9" w:rsidRPr="00553DD8">
        <w:rPr>
          <w:rFonts w:eastAsia="Times New Roman" w:cs="Times New Roman"/>
        </w:rPr>
        <w:t xml:space="preserve">The pilot, together with the new career guidance approaches, was presented to career guidance professionals on December 15th 2015. Training of trainers for careers education under the MCA-G project took place in January and February 2016, and training of VET college career guidance counsellors, as well as administrative staff from the other agencies, was conducted in February </w:t>
      </w:r>
      <w:r w:rsidR="001D26D9">
        <w:rPr>
          <w:rFonts w:eastAsia="Times New Roman" w:cs="Times New Roman"/>
        </w:rPr>
        <w:t xml:space="preserve">and April </w:t>
      </w:r>
      <w:r w:rsidR="001D26D9" w:rsidRPr="00553DD8">
        <w:rPr>
          <w:rFonts w:eastAsia="Times New Roman" w:cs="Times New Roman"/>
        </w:rPr>
        <w:t xml:space="preserve">2016. Recruitment and training of five career guidance specialists for regional ESS offices was conducted in March 2016, the number subsequently being increased by a further three. </w:t>
      </w:r>
    </w:p>
    <w:p w14:paraId="05DA2147" w14:textId="77777777" w:rsidR="001D26D9" w:rsidRPr="00553DD8" w:rsidRDefault="001D26D9" w:rsidP="009E3730">
      <w:pPr>
        <w:widowControl w:val="0"/>
        <w:suppressAutoHyphens/>
        <w:rPr>
          <w:rFonts w:eastAsia="Times New Roman" w:cs="Times New Roman"/>
          <w:lang w:eastAsia="en-GB"/>
        </w:rPr>
      </w:pPr>
    </w:p>
    <w:p w14:paraId="1C3B4C54" w14:textId="6A9DBD5C" w:rsidR="001D26D9" w:rsidRPr="00553DD8" w:rsidRDefault="001D26D9" w:rsidP="009E3730">
      <w:pPr>
        <w:widowControl w:val="0"/>
        <w:suppressAutoHyphens/>
        <w:rPr>
          <w:rFonts w:eastAsia="Times New Roman" w:cs="Times New Roman"/>
          <w:sz w:val="18"/>
          <w:lang w:val="mk-MK"/>
        </w:rPr>
      </w:pPr>
      <w:r w:rsidRPr="00553DD8">
        <w:rPr>
          <w:rFonts w:eastAsia="Times New Roman" w:cs="Times New Roman"/>
        </w:rPr>
        <w:t xml:space="preserve">Over 2016, the EU </w:t>
      </w:r>
      <w:r w:rsidR="00B520E5">
        <w:rPr>
          <w:rFonts w:eastAsia="Times New Roman" w:cs="Times New Roman"/>
        </w:rPr>
        <w:t>VEGE</w:t>
      </w:r>
      <w:r w:rsidRPr="00553DD8">
        <w:rPr>
          <w:rFonts w:eastAsia="Times New Roman" w:cs="Times New Roman"/>
        </w:rPr>
        <w:t xml:space="preserve"> TA trained a number of career consultants</w:t>
      </w:r>
      <w:r w:rsidR="00675C30">
        <w:rPr>
          <w:rFonts w:eastAsia="Times New Roman" w:cs="Times New Roman"/>
        </w:rPr>
        <w:t xml:space="preserve">, the training being organized to be delivered in a number of phases, with on-the-job training </w:t>
      </w:r>
      <w:r w:rsidR="005537A3">
        <w:rPr>
          <w:rFonts w:eastAsia="Times New Roman" w:cs="Times New Roman"/>
        </w:rPr>
        <w:t xml:space="preserve">as consultants interacted with students </w:t>
      </w:r>
      <w:r w:rsidR="00675C30">
        <w:rPr>
          <w:rFonts w:eastAsia="Times New Roman" w:cs="Times New Roman"/>
        </w:rPr>
        <w:t>in the interim</w:t>
      </w:r>
      <w:r w:rsidR="00C3085E">
        <w:rPr>
          <w:rFonts w:eastAsia="Times New Roman" w:cs="Times New Roman"/>
        </w:rPr>
        <w:t xml:space="preserve">. Although the TA indicated </w:t>
      </w:r>
      <w:r w:rsidR="006A22B0">
        <w:rPr>
          <w:rFonts w:eastAsia="Times New Roman" w:cs="Times New Roman"/>
        </w:rPr>
        <w:t xml:space="preserve">to the Interim Review in December 2016 </w:t>
      </w:r>
      <w:r w:rsidR="00C3085E">
        <w:rPr>
          <w:rFonts w:eastAsia="Times New Roman" w:cs="Times New Roman"/>
        </w:rPr>
        <w:t xml:space="preserve">that the emphasis </w:t>
      </w:r>
      <w:r w:rsidR="006A22B0">
        <w:rPr>
          <w:rFonts w:eastAsia="Times New Roman" w:cs="Times New Roman"/>
        </w:rPr>
        <w:t xml:space="preserve">of their POCG training in 2016 </w:t>
      </w:r>
      <w:r w:rsidR="00C3085E">
        <w:rPr>
          <w:rFonts w:eastAsia="Times New Roman" w:cs="Times New Roman"/>
        </w:rPr>
        <w:t xml:space="preserve">had been on those </w:t>
      </w:r>
      <w:r w:rsidRPr="00553DD8">
        <w:rPr>
          <w:rFonts w:eastAsia="Times New Roman" w:cs="Times New Roman"/>
        </w:rPr>
        <w:t>from local employment offices</w:t>
      </w:r>
      <w:r>
        <w:rPr>
          <w:rFonts w:eastAsia="Times New Roman" w:cs="Times New Roman"/>
        </w:rPr>
        <w:t xml:space="preserve"> (</w:t>
      </w:r>
      <w:r w:rsidR="006A22B0">
        <w:rPr>
          <w:rFonts w:eastAsia="Times New Roman" w:cs="Times New Roman"/>
        </w:rPr>
        <w:t>initially</w:t>
      </w:r>
      <w:r w:rsidR="00C3085E">
        <w:rPr>
          <w:rFonts w:eastAsia="Times New Roman" w:cs="Times New Roman"/>
        </w:rPr>
        <w:t xml:space="preserve"> </w:t>
      </w:r>
      <w:r>
        <w:rPr>
          <w:rFonts w:eastAsia="Times New Roman" w:cs="Times New Roman"/>
        </w:rPr>
        <w:t>in March 2016)</w:t>
      </w:r>
      <w:r w:rsidRPr="00553DD8">
        <w:rPr>
          <w:rFonts w:eastAsia="Times New Roman" w:cs="Times New Roman"/>
        </w:rPr>
        <w:t xml:space="preserve"> </w:t>
      </w:r>
      <w:r w:rsidR="00C3085E">
        <w:rPr>
          <w:rFonts w:eastAsia="Times New Roman" w:cs="Times New Roman"/>
        </w:rPr>
        <w:t>with few participants</w:t>
      </w:r>
      <w:r>
        <w:rPr>
          <w:rFonts w:eastAsia="Times New Roman" w:cs="Times New Roman"/>
        </w:rPr>
        <w:t xml:space="preserve"> </w:t>
      </w:r>
      <w:r w:rsidRPr="00553DD8">
        <w:rPr>
          <w:rFonts w:eastAsia="Times New Roman" w:cs="Times New Roman"/>
        </w:rPr>
        <w:t>from VET colleges</w:t>
      </w:r>
      <w:r w:rsidR="006A22B0">
        <w:rPr>
          <w:rFonts w:eastAsia="Times New Roman" w:cs="Times New Roman"/>
        </w:rPr>
        <w:t xml:space="preserve">, and that the main round of training would commence in 2017, the Final Review was informed that career guidance officers from 19 VET </w:t>
      </w:r>
      <w:r w:rsidR="00C3085E">
        <w:rPr>
          <w:rFonts w:eastAsia="Times New Roman" w:cs="Times New Roman"/>
        </w:rPr>
        <w:t xml:space="preserve">colleges </w:t>
      </w:r>
      <w:r w:rsidR="006A22B0">
        <w:rPr>
          <w:rFonts w:eastAsia="Times New Roman" w:cs="Times New Roman"/>
        </w:rPr>
        <w:t xml:space="preserve">had participated in training </w:t>
      </w:r>
      <w:r w:rsidR="00C3085E">
        <w:rPr>
          <w:rFonts w:eastAsia="Times New Roman" w:cs="Times New Roman"/>
        </w:rPr>
        <w:t xml:space="preserve">on </w:t>
      </w:r>
      <w:r>
        <w:rPr>
          <w:rFonts w:eastAsia="Times New Roman" w:cs="Times New Roman"/>
        </w:rPr>
        <w:t>9</w:t>
      </w:r>
      <w:r w:rsidR="00C3085E">
        <w:rPr>
          <w:rFonts w:eastAsia="Times New Roman" w:cs="Times New Roman"/>
        </w:rPr>
        <w:t xml:space="preserve">th to </w:t>
      </w:r>
      <w:r>
        <w:rPr>
          <w:rFonts w:eastAsia="Times New Roman" w:cs="Times New Roman"/>
        </w:rPr>
        <w:t>12</w:t>
      </w:r>
      <w:r w:rsidR="00C3085E">
        <w:rPr>
          <w:rFonts w:eastAsia="Times New Roman" w:cs="Times New Roman"/>
        </w:rPr>
        <w:t>th</w:t>
      </w:r>
      <w:r>
        <w:rPr>
          <w:rFonts w:eastAsia="Times New Roman" w:cs="Times New Roman"/>
        </w:rPr>
        <w:t xml:space="preserve"> February</w:t>
      </w:r>
      <w:r w:rsidR="00675C30">
        <w:rPr>
          <w:rFonts w:eastAsia="Times New Roman" w:cs="Times New Roman"/>
        </w:rPr>
        <w:t xml:space="preserve"> 2016</w:t>
      </w:r>
      <w:r>
        <w:rPr>
          <w:rFonts w:eastAsia="Times New Roman" w:cs="Times New Roman"/>
        </w:rPr>
        <w:t xml:space="preserve">, </w:t>
      </w:r>
      <w:r w:rsidR="006A22B0">
        <w:rPr>
          <w:rFonts w:eastAsia="Times New Roman" w:cs="Times New Roman"/>
        </w:rPr>
        <w:t xml:space="preserve">from </w:t>
      </w:r>
      <w:r>
        <w:rPr>
          <w:rFonts w:eastAsia="Times New Roman" w:cs="Times New Roman"/>
        </w:rPr>
        <w:t>9 colleges on 8</w:t>
      </w:r>
      <w:r w:rsidR="00C3085E">
        <w:rPr>
          <w:rFonts w:eastAsia="Times New Roman" w:cs="Times New Roman"/>
        </w:rPr>
        <w:t xml:space="preserve">th to </w:t>
      </w:r>
      <w:r>
        <w:rPr>
          <w:rFonts w:eastAsia="Times New Roman" w:cs="Times New Roman"/>
        </w:rPr>
        <w:t>10</w:t>
      </w:r>
      <w:r w:rsidR="00C3085E">
        <w:rPr>
          <w:rFonts w:eastAsia="Times New Roman" w:cs="Times New Roman"/>
        </w:rPr>
        <w:t>th</w:t>
      </w:r>
      <w:r>
        <w:rPr>
          <w:rFonts w:eastAsia="Times New Roman" w:cs="Times New Roman"/>
        </w:rPr>
        <w:t xml:space="preserve"> June</w:t>
      </w:r>
      <w:r w:rsidR="00675C30">
        <w:rPr>
          <w:rFonts w:eastAsia="Times New Roman" w:cs="Times New Roman"/>
        </w:rPr>
        <w:t xml:space="preserve"> 2016</w:t>
      </w:r>
      <w:r w:rsidR="006A22B0">
        <w:rPr>
          <w:rFonts w:eastAsia="Times New Roman" w:cs="Times New Roman"/>
        </w:rPr>
        <w:t>,</w:t>
      </w:r>
      <w:r>
        <w:rPr>
          <w:rFonts w:eastAsia="Times New Roman" w:cs="Times New Roman"/>
        </w:rPr>
        <w:t xml:space="preserve"> and </w:t>
      </w:r>
      <w:r w:rsidR="006A22B0">
        <w:rPr>
          <w:rFonts w:eastAsia="Times New Roman" w:cs="Times New Roman"/>
        </w:rPr>
        <w:t xml:space="preserve">from </w:t>
      </w:r>
      <w:r>
        <w:rPr>
          <w:rFonts w:eastAsia="Times New Roman" w:cs="Times New Roman"/>
        </w:rPr>
        <w:t>16 colleges on 15</w:t>
      </w:r>
      <w:r w:rsidR="00C3085E">
        <w:rPr>
          <w:rFonts w:eastAsia="Times New Roman" w:cs="Times New Roman"/>
        </w:rPr>
        <w:t>th</w:t>
      </w:r>
      <w:r>
        <w:rPr>
          <w:rFonts w:eastAsia="Times New Roman" w:cs="Times New Roman"/>
        </w:rPr>
        <w:t xml:space="preserve"> December</w:t>
      </w:r>
      <w:r w:rsidR="00675C30">
        <w:rPr>
          <w:rFonts w:eastAsia="Times New Roman" w:cs="Times New Roman"/>
        </w:rPr>
        <w:t xml:space="preserve"> 2106</w:t>
      </w:r>
      <w:r>
        <w:rPr>
          <w:rFonts w:eastAsia="Times New Roman" w:cs="Times New Roman"/>
        </w:rPr>
        <w:t>. Another</w:t>
      </w:r>
      <w:r w:rsidRPr="00553DD8">
        <w:rPr>
          <w:rFonts w:eastAsia="Times New Roman" w:cs="Times New Roman"/>
        </w:rPr>
        <w:t xml:space="preserve"> round of training start</w:t>
      </w:r>
      <w:r>
        <w:rPr>
          <w:rFonts w:eastAsia="Times New Roman" w:cs="Times New Roman"/>
        </w:rPr>
        <w:t>ed</w:t>
      </w:r>
      <w:r w:rsidRPr="00553DD8">
        <w:rPr>
          <w:rFonts w:eastAsia="Times New Roman" w:cs="Times New Roman"/>
        </w:rPr>
        <w:t xml:space="preserve"> in January 2017</w:t>
      </w:r>
      <w:r w:rsidR="00675C30">
        <w:rPr>
          <w:rFonts w:eastAsia="Times New Roman" w:cs="Times New Roman"/>
        </w:rPr>
        <w:t xml:space="preserve"> with participation of 12</w:t>
      </w:r>
      <w:r>
        <w:rPr>
          <w:rFonts w:eastAsia="Times New Roman" w:cs="Times New Roman"/>
        </w:rPr>
        <w:t xml:space="preserve"> representatives from the pilot colleges</w:t>
      </w:r>
      <w:r w:rsidR="00222BD2">
        <w:rPr>
          <w:rFonts w:eastAsia="Times New Roman" w:cs="Times New Roman"/>
        </w:rPr>
        <w:t>, and f</w:t>
      </w:r>
      <w:r>
        <w:rPr>
          <w:rFonts w:eastAsia="Times New Roman" w:cs="Times New Roman"/>
        </w:rPr>
        <w:t>urther training</w:t>
      </w:r>
      <w:r w:rsidR="00222BD2">
        <w:rPr>
          <w:rFonts w:eastAsia="Times New Roman" w:cs="Times New Roman"/>
        </w:rPr>
        <w:t xml:space="preserve"> was</w:t>
      </w:r>
      <w:r>
        <w:rPr>
          <w:rFonts w:eastAsia="Times New Roman" w:cs="Times New Roman"/>
        </w:rPr>
        <w:t xml:space="preserve"> planned for 24</w:t>
      </w:r>
      <w:r w:rsidR="00222BD2">
        <w:rPr>
          <w:rFonts w:eastAsia="Times New Roman" w:cs="Times New Roman"/>
        </w:rPr>
        <w:t xml:space="preserve">th to </w:t>
      </w:r>
      <w:r>
        <w:rPr>
          <w:rFonts w:eastAsia="Times New Roman" w:cs="Times New Roman"/>
        </w:rPr>
        <w:t>27</w:t>
      </w:r>
      <w:r w:rsidR="00222BD2">
        <w:rPr>
          <w:rFonts w:eastAsia="Times New Roman" w:cs="Times New Roman"/>
        </w:rPr>
        <w:t>th</w:t>
      </w:r>
      <w:r>
        <w:rPr>
          <w:rFonts w:eastAsia="Times New Roman" w:cs="Times New Roman"/>
        </w:rPr>
        <w:t xml:space="preserve"> April</w:t>
      </w:r>
      <w:r w:rsidR="00222BD2">
        <w:rPr>
          <w:rFonts w:eastAsia="Times New Roman" w:cs="Times New Roman"/>
        </w:rPr>
        <w:t xml:space="preserve">, </w:t>
      </w:r>
      <w:r w:rsidR="00222BD2">
        <w:rPr>
          <w:rFonts w:eastAsia="Times New Roman" w:cs="Times New Roman"/>
        </w:rPr>
        <w:lastRenderedPageBreak/>
        <w:t>after the Review</w:t>
      </w:r>
      <w:r>
        <w:rPr>
          <w:rFonts w:eastAsia="Times New Roman" w:cs="Times New Roman"/>
        </w:rPr>
        <w:t>.</w:t>
      </w:r>
      <w:r w:rsidRPr="00553DD8">
        <w:rPr>
          <w:rFonts w:eastAsia="Times New Roman" w:cs="Times New Roman"/>
        </w:rPr>
        <w:t xml:space="preserve"> Some training of VET college Career Consultants was also provided by the MCA-G project, some participating in training in Germany. VET college Career Consultants were also trained by the Norwegian project (Introduction of Inclusive Education in VET System of Georgia) on working with students with special educational needs. UNDP awarded a grant to NCEQE to develop modules to be used for professional orientation and career guidance of school pupils mainly in the field of agriculture.</w:t>
      </w:r>
    </w:p>
    <w:p w14:paraId="29EBFA73" w14:textId="77777777" w:rsidR="001D26D9" w:rsidRDefault="001D26D9" w:rsidP="009E3730">
      <w:pPr>
        <w:widowControl w:val="0"/>
        <w:suppressAutoHyphens/>
        <w:rPr>
          <w:rFonts w:eastAsia="Times New Roman" w:cs="Times New Roman"/>
        </w:rPr>
      </w:pPr>
    </w:p>
    <w:p w14:paraId="5CF3CFA3" w14:textId="033F2A02" w:rsidR="001D26D9" w:rsidRPr="00BC0359" w:rsidRDefault="00222BD2" w:rsidP="009E3730">
      <w:pPr>
        <w:widowControl w:val="0"/>
        <w:suppressAutoHyphens/>
        <w:rPr>
          <w:rFonts w:eastAsia="Times New Roman" w:cs="Times New Roman"/>
        </w:rPr>
      </w:pPr>
      <w:r>
        <w:rPr>
          <w:rFonts w:eastAsia="Times New Roman" w:cs="Times New Roman"/>
        </w:rPr>
        <w:t>T</w:t>
      </w:r>
      <w:r w:rsidR="001D26D9" w:rsidRPr="000817E7">
        <w:rPr>
          <w:rFonts w:eastAsia="Times New Roman" w:cs="Times New Roman"/>
        </w:rPr>
        <w:t>he MCA</w:t>
      </w:r>
      <w:r>
        <w:rPr>
          <w:rFonts w:eastAsia="Times New Roman" w:cs="Times New Roman"/>
        </w:rPr>
        <w:t>-G</w:t>
      </w:r>
      <w:r w:rsidR="001D26D9" w:rsidRPr="000817E7">
        <w:rPr>
          <w:rFonts w:eastAsia="Times New Roman" w:cs="Times New Roman"/>
        </w:rPr>
        <w:t xml:space="preserve"> project </w:t>
      </w:r>
      <w:r>
        <w:rPr>
          <w:rFonts w:eastAsia="Times New Roman" w:cs="Times New Roman"/>
        </w:rPr>
        <w:t xml:space="preserve">during 2016 </w:t>
      </w:r>
      <w:r w:rsidR="001D26D9" w:rsidRPr="000817E7">
        <w:rPr>
          <w:rFonts w:eastAsia="Times New Roman" w:cs="Times New Roman"/>
        </w:rPr>
        <w:t>also support</w:t>
      </w:r>
      <w:r>
        <w:rPr>
          <w:rFonts w:eastAsia="Times New Roman" w:cs="Times New Roman"/>
        </w:rPr>
        <w:t>ed</w:t>
      </w:r>
      <w:r w:rsidR="001D26D9" w:rsidRPr="000817E7">
        <w:rPr>
          <w:rFonts w:eastAsia="Times New Roman" w:cs="Times New Roman"/>
        </w:rPr>
        <w:t xml:space="preserve"> POCG activities</w:t>
      </w:r>
      <w:r>
        <w:rPr>
          <w:rFonts w:eastAsia="Times New Roman" w:cs="Times New Roman"/>
        </w:rPr>
        <w:t xml:space="preserve"> in secondary</w:t>
      </w:r>
      <w:r w:rsidR="001D26D9" w:rsidRPr="000817E7">
        <w:rPr>
          <w:rFonts w:eastAsia="Times New Roman" w:cs="Times New Roman"/>
        </w:rPr>
        <w:t xml:space="preserve"> schools</w:t>
      </w:r>
      <w:r>
        <w:rPr>
          <w:rFonts w:eastAsia="Times New Roman" w:cs="Times New Roman"/>
        </w:rPr>
        <w:t>,</w:t>
      </w:r>
      <w:r w:rsidR="001D26D9">
        <w:rPr>
          <w:rFonts w:eastAsia="Times New Roman" w:cs="Times New Roman"/>
        </w:rPr>
        <w:t xml:space="preserve"> attempting to a</w:t>
      </w:r>
      <w:r w:rsidR="001D26D9" w:rsidRPr="000817E7">
        <w:rPr>
          <w:rFonts w:eastAsia="Times New Roman" w:cs="Times New Roman"/>
        </w:rPr>
        <w:t>ddress the situation whe</w:t>
      </w:r>
      <w:r>
        <w:rPr>
          <w:rFonts w:eastAsia="Times New Roman" w:cs="Times New Roman"/>
        </w:rPr>
        <w:t>reby</w:t>
      </w:r>
      <w:r w:rsidR="001D26D9" w:rsidRPr="000817E7">
        <w:rPr>
          <w:rFonts w:eastAsia="Times New Roman" w:cs="Times New Roman"/>
        </w:rPr>
        <w:t xml:space="preserve"> schools discourage 9</w:t>
      </w:r>
      <w:r w:rsidR="001D26D9" w:rsidRPr="000817E7">
        <w:rPr>
          <w:rFonts w:eastAsia="Times New Roman" w:cs="Times New Roman"/>
          <w:vertAlign w:val="superscript"/>
        </w:rPr>
        <w:t>th</w:t>
      </w:r>
      <w:r w:rsidR="001D26D9" w:rsidRPr="000817E7">
        <w:rPr>
          <w:rFonts w:eastAsia="Times New Roman" w:cs="Times New Roman"/>
        </w:rPr>
        <w:t xml:space="preserve"> grade graduates to </w:t>
      </w:r>
      <w:r>
        <w:rPr>
          <w:rFonts w:eastAsia="Times New Roman" w:cs="Times New Roman"/>
        </w:rPr>
        <w:t xml:space="preserve">apply to </w:t>
      </w:r>
      <w:r w:rsidR="001D26D9" w:rsidRPr="000817E7">
        <w:rPr>
          <w:rFonts w:eastAsia="Times New Roman" w:cs="Times New Roman"/>
        </w:rPr>
        <w:t xml:space="preserve">VET colleges (due to </w:t>
      </w:r>
      <w:r>
        <w:rPr>
          <w:rFonts w:eastAsia="Times New Roman" w:cs="Times New Roman"/>
        </w:rPr>
        <w:t xml:space="preserve">the effect on school funding of the </w:t>
      </w:r>
      <w:r w:rsidR="001D26D9" w:rsidRPr="000817E7">
        <w:rPr>
          <w:rFonts w:eastAsia="Times New Roman" w:cs="Times New Roman"/>
        </w:rPr>
        <w:t xml:space="preserve">“loss” of </w:t>
      </w:r>
      <w:r>
        <w:rPr>
          <w:rFonts w:eastAsia="Times New Roman" w:cs="Times New Roman"/>
        </w:rPr>
        <w:t>such pupils’ vouchers</w:t>
      </w:r>
      <w:r w:rsidR="001D26D9" w:rsidRPr="000817E7">
        <w:rPr>
          <w:rFonts w:eastAsia="Times New Roman" w:cs="Times New Roman"/>
        </w:rPr>
        <w:t>).</w:t>
      </w:r>
      <w:r w:rsidR="001D26D9" w:rsidRPr="002409E9">
        <w:rPr>
          <w:rFonts w:eastAsia="Times New Roman" w:cs="Times New Roman"/>
        </w:rPr>
        <w:t xml:space="preserve"> </w:t>
      </w:r>
      <w:r w:rsidR="001D26D9">
        <w:rPr>
          <w:rFonts w:eastAsia="Times New Roman" w:cs="Times New Roman"/>
        </w:rPr>
        <w:t>MCA</w:t>
      </w:r>
      <w:r w:rsidR="0077533C">
        <w:rPr>
          <w:rFonts w:eastAsia="Times New Roman" w:cs="Times New Roman"/>
        </w:rPr>
        <w:t>-G indicated that it would</w:t>
      </w:r>
      <w:r w:rsidR="001D26D9">
        <w:rPr>
          <w:rFonts w:eastAsia="Times New Roman" w:cs="Times New Roman"/>
        </w:rPr>
        <w:t xml:space="preserve"> continue </w:t>
      </w:r>
      <w:r w:rsidR="0077533C">
        <w:rPr>
          <w:rFonts w:eastAsia="Times New Roman" w:cs="Times New Roman"/>
        </w:rPr>
        <w:t xml:space="preserve">to </w:t>
      </w:r>
      <w:r w:rsidR="001D26D9">
        <w:rPr>
          <w:rFonts w:eastAsia="Times New Roman" w:cs="Times New Roman"/>
        </w:rPr>
        <w:t>support VET colleges to establish education-business partnership</w:t>
      </w:r>
      <w:r w:rsidR="0077533C">
        <w:rPr>
          <w:rFonts w:eastAsia="Times New Roman" w:cs="Times New Roman"/>
        </w:rPr>
        <w:t>s</w:t>
      </w:r>
      <w:r w:rsidR="001D26D9">
        <w:rPr>
          <w:rFonts w:eastAsia="Times New Roman" w:cs="Times New Roman"/>
        </w:rPr>
        <w:t xml:space="preserve"> and better adapt VET courses to local </w:t>
      </w:r>
      <w:r w:rsidR="0077533C">
        <w:rPr>
          <w:rFonts w:eastAsia="Times New Roman" w:cs="Times New Roman"/>
        </w:rPr>
        <w:t>labour market</w:t>
      </w:r>
      <w:r w:rsidR="001D26D9">
        <w:rPr>
          <w:rFonts w:eastAsia="Times New Roman" w:cs="Times New Roman"/>
        </w:rPr>
        <w:t xml:space="preserve"> needs. The project </w:t>
      </w:r>
      <w:r w:rsidR="0077533C">
        <w:rPr>
          <w:rFonts w:eastAsia="Times New Roman" w:cs="Times New Roman"/>
        </w:rPr>
        <w:t>had also been</w:t>
      </w:r>
      <w:r w:rsidR="001D26D9">
        <w:rPr>
          <w:rFonts w:eastAsia="Times New Roman" w:cs="Times New Roman"/>
        </w:rPr>
        <w:t xml:space="preserve"> requested by MoES to concentrate more efforts on supporting the “marketing” and “branding” of the VET system and individual colleges</w:t>
      </w:r>
      <w:r w:rsidR="0077533C">
        <w:rPr>
          <w:rFonts w:eastAsia="Times New Roman" w:cs="Times New Roman"/>
        </w:rPr>
        <w:t>,</w:t>
      </w:r>
      <w:r w:rsidR="001D26D9">
        <w:rPr>
          <w:rFonts w:eastAsia="Times New Roman" w:cs="Times New Roman"/>
        </w:rPr>
        <w:t xml:space="preserve"> the </w:t>
      </w:r>
      <w:r w:rsidR="0077533C">
        <w:rPr>
          <w:rFonts w:eastAsia="Times New Roman" w:cs="Times New Roman"/>
        </w:rPr>
        <w:t xml:space="preserve">Ministry's </w:t>
      </w:r>
      <w:r w:rsidR="001D26D9">
        <w:rPr>
          <w:rFonts w:eastAsia="Times New Roman" w:cs="Times New Roman"/>
        </w:rPr>
        <w:t>new approach to POCG</w:t>
      </w:r>
      <w:r w:rsidR="0077533C">
        <w:rPr>
          <w:rFonts w:eastAsia="Times New Roman" w:cs="Times New Roman"/>
        </w:rPr>
        <w:t>, though this would seem to undermine the individual focus of the new POCG approach</w:t>
      </w:r>
      <w:r w:rsidR="001D26D9">
        <w:rPr>
          <w:rFonts w:eastAsia="Times New Roman" w:cs="Times New Roman"/>
        </w:rPr>
        <w:t xml:space="preserve">. </w:t>
      </w:r>
    </w:p>
    <w:p w14:paraId="10719375" w14:textId="77777777" w:rsidR="001D26D9" w:rsidRDefault="001D26D9" w:rsidP="009E3730">
      <w:pPr>
        <w:widowControl w:val="0"/>
        <w:suppressAutoHyphens/>
        <w:rPr>
          <w:rFonts w:eastAsia="Times New Roman" w:cs="Times New Roman"/>
        </w:rPr>
      </w:pPr>
    </w:p>
    <w:p w14:paraId="7032B0EA" w14:textId="6BA6808D" w:rsidR="001D26D9" w:rsidRDefault="001D26D9" w:rsidP="009E3730">
      <w:pPr>
        <w:widowControl w:val="0"/>
        <w:suppressAutoHyphens/>
        <w:rPr>
          <w:rFonts w:eastAsia="Times New Roman" w:cs="Times New Roman"/>
        </w:rPr>
      </w:pPr>
      <w:r>
        <w:rPr>
          <w:rFonts w:eastAsia="Times New Roman" w:cs="Times New Roman"/>
        </w:rPr>
        <w:t>The UNDP/SDC project also targeted general schools (8</w:t>
      </w:r>
      <w:r w:rsidRPr="009E69E9">
        <w:rPr>
          <w:rFonts w:eastAsia="Times New Roman" w:cs="Times New Roman"/>
          <w:vertAlign w:val="superscript"/>
        </w:rPr>
        <w:t>th</w:t>
      </w:r>
      <w:r>
        <w:rPr>
          <w:rFonts w:eastAsia="Times New Roman" w:cs="Times New Roman"/>
        </w:rPr>
        <w:t xml:space="preserve"> and 9</w:t>
      </w:r>
      <w:r w:rsidRPr="009E69E9">
        <w:rPr>
          <w:rFonts w:eastAsia="Times New Roman" w:cs="Times New Roman"/>
          <w:vertAlign w:val="superscript"/>
        </w:rPr>
        <w:t>th</w:t>
      </w:r>
      <w:r>
        <w:rPr>
          <w:rFonts w:eastAsia="Times New Roman" w:cs="Times New Roman"/>
        </w:rPr>
        <w:t xml:space="preserve"> graders)</w:t>
      </w:r>
      <w:r w:rsidR="0077533C">
        <w:rPr>
          <w:rFonts w:eastAsia="Times New Roman" w:cs="Times New Roman"/>
        </w:rPr>
        <w:t xml:space="preserve">, particularly </w:t>
      </w:r>
      <w:r>
        <w:rPr>
          <w:rFonts w:eastAsia="Times New Roman" w:cs="Times New Roman"/>
        </w:rPr>
        <w:t xml:space="preserve">to direct </w:t>
      </w:r>
      <w:r w:rsidR="0077533C">
        <w:rPr>
          <w:rFonts w:eastAsia="Times New Roman" w:cs="Times New Roman"/>
        </w:rPr>
        <w:t>students towards</w:t>
      </w:r>
      <w:r>
        <w:rPr>
          <w:rFonts w:eastAsia="Times New Roman" w:cs="Times New Roman"/>
        </w:rPr>
        <w:t xml:space="preserve"> agricultural </w:t>
      </w:r>
      <w:r w:rsidR="0077533C">
        <w:rPr>
          <w:rFonts w:eastAsia="Times New Roman" w:cs="Times New Roman"/>
        </w:rPr>
        <w:t>and</w:t>
      </w:r>
      <w:r>
        <w:rPr>
          <w:rFonts w:eastAsia="Times New Roman" w:cs="Times New Roman"/>
        </w:rPr>
        <w:t xml:space="preserve"> agro-related VET. A programme “Professional orientation and preparation” was implemented with </w:t>
      </w:r>
      <w:r w:rsidR="0077533C">
        <w:rPr>
          <w:rFonts w:eastAsia="Times New Roman" w:cs="Times New Roman"/>
        </w:rPr>
        <w:t xml:space="preserve">some </w:t>
      </w:r>
      <w:r>
        <w:rPr>
          <w:rFonts w:eastAsia="Times New Roman" w:cs="Times New Roman"/>
        </w:rPr>
        <w:t>VET colleges provid</w:t>
      </w:r>
      <w:r w:rsidR="0077533C">
        <w:rPr>
          <w:rFonts w:eastAsia="Times New Roman" w:cs="Times New Roman"/>
        </w:rPr>
        <w:t>ing</w:t>
      </w:r>
      <w:r w:rsidRPr="000817E7">
        <w:rPr>
          <w:rFonts w:eastAsia="Times New Roman" w:cs="Times New Roman"/>
        </w:rPr>
        <w:t xml:space="preserve"> </w:t>
      </w:r>
      <w:r>
        <w:rPr>
          <w:rFonts w:eastAsia="Times New Roman" w:cs="Times New Roman"/>
        </w:rPr>
        <w:t>premises</w:t>
      </w:r>
      <w:r w:rsidRPr="000817E7">
        <w:rPr>
          <w:rFonts w:eastAsia="Times New Roman" w:cs="Times New Roman"/>
        </w:rPr>
        <w:t xml:space="preserve"> for PO events </w:t>
      </w:r>
      <w:r w:rsidR="0077533C">
        <w:rPr>
          <w:rFonts w:eastAsia="Times New Roman" w:cs="Times New Roman"/>
        </w:rPr>
        <w:t>and supporting</w:t>
      </w:r>
      <w:r>
        <w:rPr>
          <w:rFonts w:eastAsia="Times New Roman" w:cs="Times New Roman"/>
        </w:rPr>
        <w:t xml:space="preserve"> training</w:t>
      </w:r>
      <w:r w:rsidR="0077533C">
        <w:rPr>
          <w:rFonts w:eastAsia="Times New Roman" w:cs="Times New Roman"/>
        </w:rPr>
        <w:t xml:space="preserve"> in</w:t>
      </w:r>
      <w:r>
        <w:rPr>
          <w:rFonts w:eastAsia="Times New Roman" w:cs="Times New Roman"/>
        </w:rPr>
        <w:t xml:space="preserve"> some very basic skills. For these activities, </w:t>
      </w:r>
      <w:r w:rsidR="0077533C">
        <w:rPr>
          <w:rFonts w:eastAsia="Times New Roman" w:cs="Times New Roman"/>
        </w:rPr>
        <w:t xml:space="preserve">four </w:t>
      </w:r>
      <w:r>
        <w:rPr>
          <w:rFonts w:eastAsia="Times New Roman" w:cs="Times New Roman"/>
        </w:rPr>
        <w:t xml:space="preserve">PO </w:t>
      </w:r>
      <w:r w:rsidR="003853D4">
        <w:rPr>
          <w:rFonts w:eastAsia="Times New Roman" w:cs="Times New Roman"/>
        </w:rPr>
        <w:t xml:space="preserve">50 hour </w:t>
      </w:r>
      <w:r>
        <w:rPr>
          <w:rFonts w:eastAsia="Times New Roman" w:cs="Times New Roman"/>
        </w:rPr>
        <w:t xml:space="preserve">modules (carpenter, plumbing, cookery, farm-running) were developed </w:t>
      </w:r>
      <w:r w:rsidR="003853D4">
        <w:rPr>
          <w:rFonts w:eastAsia="Times New Roman" w:cs="Times New Roman"/>
        </w:rPr>
        <w:t>to</w:t>
      </w:r>
      <w:r>
        <w:rPr>
          <w:rFonts w:eastAsia="Times New Roman" w:cs="Times New Roman"/>
        </w:rPr>
        <w:t xml:space="preserve"> be implemented from April 2017.</w:t>
      </w:r>
    </w:p>
    <w:p w14:paraId="5D42BBF8" w14:textId="77777777" w:rsidR="005A25CD" w:rsidRDefault="005A25CD" w:rsidP="009E3730">
      <w:pPr>
        <w:widowControl w:val="0"/>
        <w:suppressAutoHyphens/>
        <w:rPr>
          <w:rFonts w:eastAsia="Times New Roman" w:cs="Times New Roman"/>
        </w:rPr>
      </w:pPr>
    </w:p>
    <w:p w14:paraId="76EF23F6" w14:textId="0450F0A9" w:rsidR="00475E63" w:rsidRPr="004D62C9" w:rsidRDefault="00475E63" w:rsidP="009E3730">
      <w:pPr>
        <w:widowControl w:val="0"/>
        <w:suppressAutoHyphens/>
        <w:rPr>
          <w:rFonts w:asciiTheme="majorHAnsi" w:hAnsiTheme="majorHAnsi" w:cs="Times New Roman"/>
        </w:rPr>
      </w:pPr>
      <w:r>
        <w:rPr>
          <w:rFonts w:eastAsia="Times New Roman" w:cs="Times New Roman"/>
          <w:lang w:eastAsia="en-GB"/>
        </w:rPr>
        <w:t xml:space="preserve">MoES provided reports of 19 VET colleges on implementation of the POCG activities but </w:t>
      </w:r>
      <w:r w:rsidR="005A25CD">
        <w:rPr>
          <w:rFonts w:eastAsia="Times New Roman" w:cs="Times New Roman"/>
          <w:lang w:eastAsia="en-GB"/>
        </w:rPr>
        <w:t xml:space="preserve">as </w:t>
      </w:r>
      <w:r>
        <w:rPr>
          <w:rFonts w:eastAsia="Times New Roman" w:cs="Times New Roman"/>
          <w:lang w:eastAsia="en-GB"/>
        </w:rPr>
        <w:t xml:space="preserve">only a summary produced by MoES </w:t>
      </w:r>
      <w:r w:rsidR="005A25CD">
        <w:rPr>
          <w:rFonts w:eastAsia="Times New Roman" w:cs="Times New Roman"/>
          <w:lang w:eastAsia="en-GB"/>
        </w:rPr>
        <w:t>wa</w:t>
      </w:r>
      <w:r>
        <w:rPr>
          <w:rFonts w:eastAsia="Times New Roman" w:cs="Times New Roman"/>
          <w:lang w:eastAsia="en-GB"/>
        </w:rPr>
        <w:t>s available in English</w:t>
      </w:r>
      <w:r w:rsidR="005A25CD">
        <w:rPr>
          <w:rFonts w:eastAsia="Times New Roman" w:cs="Times New Roman"/>
          <w:lang w:eastAsia="en-GB"/>
        </w:rPr>
        <w:t>, it was difficult from these to judge the way POCG activities had changed</w:t>
      </w:r>
      <w:r>
        <w:rPr>
          <w:rFonts w:eastAsia="Times New Roman" w:cs="Times New Roman"/>
          <w:lang w:eastAsia="en-GB"/>
        </w:rPr>
        <w:t>. T</w:t>
      </w:r>
      <w:r w:rsidR="005A25CD">
        <w:rPr>
          <w:rFonts w:eastAsia="Times New Roman" w:cs="Times New Roman"/>
          <w:lang w:eastAsia="en-GB"/>
        </w:rPr>
        <w:t xml:space="preserve">he Review </w:t>
      </w:r>
      <w:r>
        <w:rPr>
          <w:rFonts w:eastAsia="Times New Roman" w:cs="Times New Roman"/>
          <w:lang w:eastAsia="en-GB"/>
        </w:rPr>
        <w:t>met Career Managers of s</w:t>
      </w:r>
      <w:r w:rsidR="005A25CD">
        <w:rPr>
          <w:rFonts w:eastAsia="Times New Roman" w:cs="Times New Roman"/>
          <w:lang w:eastAsia="en-GB"/>
        </w:rPr>
        <w:t>everal VET</w:t>
      </w:r>
      <w:r>
        <w:rPr>
          <w:rFonts w:eastAsia="Times New Roman" w:cs="Times New Roman"/>
          <w:lang w:eastAsia="en-GB"/>
        </w:rPr>
        <w:t xml:space="preserve"> colleges (</w:t>
      </w:r>
      <w:r w:rsidRPr="00DB79F2">
        <w:rPr>
          <w:rFonts w:eastAsia="Times New Roman" w:cs="Times New Roman"/>
          <w:lang w:eastAsia="en-GB"/>
        </w:rPr>
        <w:t>Rustavi College Modusi, Akhaltsikhe College Opizari, Gori College Gantiadi) and discussed with them the issues of POCG</w:t>
      </w:r>
      <w:r>
        <w:rPr>
          <w:rFonts w:eastAsia="Times New Roman" w:cs="Times New Roman"/>
          <w:lang w:eastAsia="en-GB"/>
        </w:rPr>
        <w:t xml:space="preserve"> related activities</w:t>
      </w:r>
      <w:r w:rsidRPr="00DB79F2">
        <w:rPr>
          <w:rFonts w:eastAsia="Times New Roman" w:cs="Times New Roman"/>
          <w:lang w:eastAsia="en-GB"/>
        </w:rPr>
        <w:t xml:space="preserve"> implementation. Some short reports were</w:t>
      </w:r>
      <w:r>
        <w:rPr>
          <w:rFonts w:eastAsia="Times New Roman" w:cs="Times New Roman"/>
          <w:lang w:eastAsia="en-GB"/>
        </w:rPr>
        <w:t xml:space="preserve"> also requested. They show particularly</w:t>
      </w:r>
      <w:r w:rsidRPr="00DB79F2">
        <w:rPr>
          <w:rFonts w:eastAsia="Times New Roman" w:cs="Times New Roman"/>
          <w:lang w:eastAsia="en-GB"/>
        </w:rPr>
        <w:t xml:space="preserve"> </w:t>
      </w:r>
      <w:r>
        <w:rPr>
          <w:rFonts w:eastAsia="Times New Roman" w:cs="Times New Roman"/>
          <w:lang w:eastAsia="en-GB"/>
        </w:rPr>
        <w:t xml:space="preserve">that although the colleges implement a number of different </w:t>
      </w:r>
      <w:r w:rsidRPr="00DB79F2">
        <w:rPr>
          <w:rFonts w:eastAsia="Times New Roman" w:cs="Times New Roman"/>
          <w:lang w:eastAsia="en-GB"/>
        </w:rPr>
        <w:t>POCG</w:t>
      </w:r>
      <w:r>
        <w:rPr>
          <w:rFonts w:eastAsia="Times New Roman" w:cs="Times New Roman"/>
          <w:lang w:eastAsia="en-GB"/>
        </w:rPr>
        <w:t xml:space="preserve"> activities (mainly based on the knowledge gained by the Career Managers through the </w:t>
      </w:r>
      <w:r w:rsidR="005A25CD">
        <w:rPr>
          <w:rFonts w:eastAsia="Times New Roman" w:cs="Times New Roman"/>
          <w:lang w:eastAsia="en-GB"/>
        </w:rPr>
        <w:t>pilot training</w:t>
      </w:r>
      <w:r>
        <w:rPr>
          <w:rFonts w:eastAsia="Times New Roman" w:cs="Times New Roman"/>
          <w:lang w:eastAsia="en-GB"/>
        </w:rPr>
        <w:t xml:space="preserve">), a systemic (a single concept-based) or more or less integrated/unified approach </w:t>
      </w:r>
      <w:r w:rsidR="00803368">
        <w:rPr>
          <w:rFonts w:eastAsia="Times New Roman" w:cs="Times New Roman"/>
          <w:lang w:eastAsia="en-GB"/>
        </w:rPr>
        <w:t>wa</w:t>
      </w:r>
      <w:r>
        <w:rPr>
          <w:rFonts w:eastAsia="Times New Roman" w:cs="Times New Roman"/>
          <w:lang w:eastAsia="en-GB"/>
        </w:rPr>
        <w:t>s not</w:t>
      </w:r>
      <w:r w:rsidR="00803368">
        <w:rPr>
          <w:rFonts w:eastAsia="Times New Roman" w:cs="Times New Roman"/>
          <w:lang w:eastAsia="en-GB"/>
        </w:rPr>
        <w:t xml:space="preserve">, at the time of the Review, </w:t>
      </w:r>
      <w:r>
        <w:rPr>
          <w:rFonts w:eastAsia="Times New Roman" w:cs="Times New Roman"/>
          <w:lang w:eastAsia="en-GB"/>
        </w:rPr>
        <w:t xml:space="preserve">in place. </w:t>
      </w:r>
      <w:r w:rsidR="00803368">
        <w:rPr>
          <w:rFonts w:eastAsia="Times New Roman" w:cs="Times New Roman"/>
          <w:lang w:eastAsia="en-GB"/>
        </w:rPr>
        <w:t xml:space="preserve">Furthermore, the </w:t>
      </w:r>
      <w:r>
        <w:rPr>
          <w:rFonts w:eastAsia="Times New Roman" w:cs="Times New Roman"/>
        </w:rPr>
        <w:t xml:space="preserve">MoES summary Report on the POCG activities states that the </w:t>
      </w:r>
      <w:r w:rsidRPr="00A87DD6">
        <w:rPr>
          <w:rFonts w:eastAsia="Times New Roman" w:cs="Times New Roman"/>
        </w:rPr>
        <w:t>‘</w:t>
      </w:r>
      <w:r w:rsidRPr="00A87DD6">
        <w:rPr>
          <w:rFonts w:eastAsia="Times New Roman" w:cs="Times New Roman"/>
          <w:i/>
        </w:rPr>
        <w:t>Years 2015, 2016 were dedicated for preparation and piloting phases…</w:t>
      </w:r>
      <w:r>
        <w:rPr>
          <w:rFonts w:eastAsia="Times New Roman" w:cs="Times New Roman"/>
        </w:rPr>
        <w:t>’</w:t>
      </w:r>
      <w:r w:rsidR="00803368">
        <w:rPr>
          <w:rFonts w:eastAsia="Times New Roman" w:cs="Times New Roman"/>
        </w:rPr>
        <w:t xml:space="preserve">. </w:t>
      </w:r>
      <w:r>
        <w:rPr>
          <w:rFonts w:eastAsia="Times New Roman" w:cs="Times New Roman"/>
          <w:lang w:eastAsia="en-GB"/>
        </w:rPr>
        <w:t>The main efforts in the VET colleges are still concentrated on so called “professional orientation” which is mostly understood by them as advertisement of own colleges and direction of the general education pupils/graduates to VET</w:t>
      </w:r>
      <w:r w:rsidR="00010CCE">
        <w:rPr>
          <w:rFonts w:eastAsia="Times New Roman" w:cs="Times New Roman"/>
          <w:lang w:eastAsia="en-GB"/>
        </w:rPr>
        <w:t xml:space="preserve"> (as apparently also understood by MoES)</w:t>
      </w:r>
      <w:r>
        <w:rPr>
          <w:rFonts w:eastAsia="Times New Roman" w:cs="Times New Roman"/>
          <w:lang w:eastAsia="en-GB"/>
        </w:rPr>
        <w:t>, while the part of “career guidance” activities are less pronounced</w:t>
      </w:r>
      <w:r>
        <w:rPr>
          <w:rStyle w:val="FootnoteReference"/>
          <w:rFonts w:eastAsia="Times New Roman"/>
          <w:lang w:eastAsia="en-GB"/>
        </w:rPr>
        <w:footnoteReference w:id="68"/>
      </w:r>
      <w:r>
        <w:rPr>
          <w:rFonts w:eastAsia="Times New Roman" w:cs="Times New Roman"/>
          <w:lang w:eastAsia="en-GB"/>
        </w:rPr>
        <w:t>.</w:t>
      </w:r>
    </w:p>
    <w:p w14:paraId="4F439757" w14:textId="77777777" w:rsidR="00475E63" w:rsidRDefault="00475E63" w:rsidP="009E3730">
      <w:pPr>
        <w:widowControl w:val="0"/>
        <w:suppressAutoHyphens/>
        <w:rPr>
          <w:rFonts w:eastAsia="Times New Roman" w:cs="Times New Roman"/>
        </w:rPr>
      </w:pPr>
    </w:p>
    <w:p w14:paraId="23313242" w14:textId="3FA6D1CB" w:rsidR="00803368" w:rsidRDefault="00803368" w:rsidP="009E3730">
      <w:pPr>
        <w:widowControl w:val="0"/>
        <w:suppressAutoHyphens/>
        <w:rPr>
          <w:rFonts w:eastAsia="Times New Roman" w:cs="Times New Roman"/>
        </w:rPr>
      </w:pPr>
      <w:r w:rsidRPr="005A25CD">
        <w:rPr>
          <w:rFonts w:eastAsia="Times New Roman" w:cs="Times New Roman"/>
        </w:rPr>
        <w:t xml:space="preserve">Based on </w:t>
      </w:r>
      <w:r w:rsidR="00CD2B7A">
        <w:rPr>
          <w:rFonts w:eastAsia="Times New Roman" w:cs="Times New Roman"/>
        </w:rPr>
        <w:t xml:space="preserve">this analysis, </w:t>
      </w:r>
      <w:r w:rsidRPr="005A25CD">
        <w:rPr>
          <w:rFonts w:eastAsia="Times New Roman" w:cs="Times New Roman"/>
        </w:rPr>
        <w:t>the Review's visits to state VET providers</w:t>
      </w:r>
      <w:r w:rsidR="00CD2B7A">
        <w:rPr>
          <w:rFonts w:eastAsia="Times New Roman" w:cs="Times New Roman"/>
        </w:rPr>
        <w:t xml:space="preserve"> (including both colleges and universities)</w:t>
      </w:r>
      <w:r w:rsidRPr="005A25CD">
        <w:rPr>
          <w:rFonts w:eastAsia="Times New Roman" w:cs="Times New Roman"/>
        </w:rPr>
        <w:t xml:space="preserve">, information provided by different stakeholders and donor TA projects, and </w:t>
      </w:r>
      <w:r w:rsidR="00CD2B7A">
        <w:rPr>
          <w:rFonts w:eastAsia="Times New Roman" w:cs="Times New Roman"/>
        </w:rPr>
        <w:t xml:space="preserve">the evidence provided with </w:t>
      </w:r>
      <w:r w:rsidRPr="005A25CD">
        <w:rPr>
          <w:rFonts w:eastAsia="Times New Roman" w:cs="Times New Roman"/>
        </w:rPr>
        <w:t xml:space="preserve">MoES's own self-assessment report, the Review has concluded that implementation of the new career guidance and counselling concepts in </w:t>
      </w:r>
      <w:r w:rsidR="00CD2B7A">
        <w:rPr>
          <w:rFonts w:eastAsia="Times New Roman" w:cs="Times New Roman"/>
        </w:rPr>
        <w:t xml:space="preserve">all </w:t>
      </w:r>
      <w:r w:rsidRPr="005A25CD">
        <w:rPr>
          <w:rFonts w:eastAsia="Times New Roman" w:cs="Times New Roman"/>
        </w:rPr>
        <w:t xml:space="preserve">state VET institutions </w:t>
      </w:r>
      <w:r w:rsidR="00CD2B7A">
        <w:rPr>
          <w:rFonts w:eastAsia="Times New Roman" w:cs="Times New Roman"/>
        </w:rPr>
        <w:t xml:space="preserve">has not been achieved. It is </w:t>
      </w:r>
      <w:r w:rsidRPr="005A25CD">
        <w:rPr>
          <w:rFonts w:eastAsia="Times New Roman" w:cs="Times New Roman"/>
        </w:rPr>
        <w:t>not yet systemic</w:t>
      </w:r>
      <w:r w:rsidR="00EA606A">
        <w:rPr>
          <w:rFonts w:eastAsia="Times New Roman" w:cs="Times New Roman"/>
        </w:rPr>
        <w:t xml:space="preserve">, the continued lack of agreed regulatory </w:t>
      </w:r>
      <w:r w:rsidRPr="005A25CD">
        <w:rPr>
          <w:rFonts w:eastAsia="Times New Roman" w:cs="Times New Roman"/>
        </w:rPr>
        <w:t>s</w:t>
      </w:r>
      <w:r w:rsidRPr="005A25CD" w:rsidDel="00602871">
        <w:rPr>
          <w:rFonts w:eastAsia="Times New Roman" w:cs="Times New Roman"/>
        </w:rPr>
        <w:t xml:space="preserve">ubstandards </w:t>
      </w:r>
      <w:r w:rsidR="00EA606A">
        <w:rPr>
          <w:rFonts w:eastAsia="Times New Roman" w:cs="Times New Roman"/>
        </w:rPr>
        <w:t xml:space="preserve">for the December 2015 Government Decree </w:t>
      </w:r>
      <w:r w:rsidRPr="005A25CD" w:rsidDel="00602871">
        <w:rPr>
          <w:rFonts w:eastAsia="Times New Roman" w:cs="Times New Roman"/>
        </w:rPr>
        <w:t xml:space="preserve">covering the delivery of career guidance and counselling services through state VET institutions </w:t>
      </w:r>
      <w:r w:rsidR="00EA606A">
        <w:rPr>
          <w:rFonts w:eastAsia="Times New Roman" w:cs="Times New Roman"/>
        </w:rPr>
        <w:t>perhaps a symptom of this.</w:t>
      </w:r>
      <w:r w:rsidRPr="005A25CD">
        <w:rPr>
          <w:rFonts w:eastAsia="Times New Roman" w:cs="Times New Roman"/>
        </w:rPr>
        <w:t xml:space="preserve"> </w:t>
      </w:r>
      <w:r w:rsidR="00EA606A">
        <w:rPr>
          <w:rFonts w:eastAsia="Times New Roman" w:cs="Times New Roman"/>
        </w:rPr>
        <w:t>I</w:t>
      </w:r>
      <w:r w:rsidRPr="005A25CD">
        <w:rPr>
          <w:rFonts w:eastAsia="Times New Roman" w:cs="Times New Roman"/>
        </w:rPr>
        <w:t xml:space="preserve">ndeed, the Action Plan for the implementation of the new Professional Orientation </w:t>
      </w:r>
      <w:r w:rsidRPr="005A25CD">
        <w:rPr>
          <w:rFonts w:eastAsia="Times New Roman" w:cs="Times New Roman"/>
        </w:rPr>
        <w:lastRenderedPageBreak/>
        <w:t xml:space="preserve">and Career Guidance approach was </w:t>
      </w:r>
      <w:r w:rsidR="00EA606A">
        <w:rPr>
          <w:rFonts w:eastAsia="Times New Roman" w:cs="Times New Roman"/>
        </w:rPr>
        <w:t xml:space="preserve">reportedly </w:t>
      </w:r>
      <w:r w:rsidRPr="005A25CD">
        <w:rPr>
          <w:rFonts w:eastAsia="Times New Roman" w:cs="Times New Roman"/>
        </w:rPr>
        <w:t xml:space="preserve">still being developed under the EU TA project, including extension of </w:t>
      </w:r>
      <w:r w:rsidR="00EA606A">
        <w:rPr>
          <w:rFonts w:eastAsia="Times New Roman" w:cs="Times New Roman"/>
        </w:rPr>
        <w:t xml:space="preserve">some elements of </w:t>
      </w:r>
      <w:r w:rsidRPr="005A25CD">
        <w:rPr>
          <w:rFonts w:eastAsia="Times New Roman" w:cs="Times New Roman"/>
        </w:rPr>
        <w:t>the pilot phase.</w:t>
      </w:r>
    </w:p>
    <w:p w14:paraId="7DCB2638" w14:textId="77777777" w:rsidR="00EA606A" w:rsidRDefault="00EA606A" w:rsidP="009E3730">
      <w:pPr>
        <w:widowControl w:val="0"/>
        <w:suppressAutoHyphens/>
        <w:rPr>
          <w:rFonts w:eastAsia="Times New Roman" w:cs="Times New Roman"/>
        </w:rPr>
      </w:pPr>
    </w:p>
    <w:p w14:paraId="56984D24" w14:textId="7E692ABB" w:rsidR="00627869" w:rsidRDefault="00627869" w:rsidP="009E3730">
      <w:pPr>
        <w:widowControl w:val="0"/>
        <w:suppressAutoHyphens/>
        <w:rPr>
          <w:rFonts w:eastAsia="Times New Roman" w:cs="Times New Roman"/>
        </w:rPr>
      </w:pPr>
    </w:p>
    <w:p w14:paraId="78EF7893" w14:textId="70C437A5" w:rsidR="00436A4B" w:rsidRDefault="00436A4B" w:rsidP="009E3730">
      <w:pPr>
        <w:widowControl w:val="0"/>
        <w:suppressAutoHyphens/>
        <w:rPr>
          <w:rFonts w:eastAsia="Times New Roman" w:cs="Times New Roman"/>
        </w:rPr>
      </w:pPr>
      <w:r>
        <w:rPr>
          <w:rFonts w:eastAsia="Times New Roman" w:cs="Times New Roman"/>
        </w:rPr>
        <w:t xml:space="preserve">2016 has seen activities to support the new POCG approach agreed in 2015, but these are essentially phased implementation of the pilot, and this has continued into 2017. The </w:t>
      </w:r>
      <w:r w:rsidRPr="00625E7C">
        <w:rPr>
          <w:rFonts w:cs="Arial"/>
        </w:rPr>
        <w:t xml:space="preserve">9-month Action Plan for piloting the CG activities was produced in December 2015 and </w:t>
      </w:r>
      <w:r>
        <w:rPr>
          <w:rFonts w:cs="Arial"/>
        </w:rPr>
        <w:t>essentially</w:t>
      </w:r>
      <w:r w:rsidRPr="00625E7C">
        <w:rPr>
          <w:rFonts w:cs="Arial"/>
        </w:rPr>
        <w:t xml:space="preserve"> applied from the second quarter of 2016</w:t>
      </w:r>
      <w:r>
        <w:rPr>
          <w:rFonts w:cs="Arial"/>
        </w:rPr>
        <w:t xml:space="preserve"> only</w:t>
      </w:r>
      <w:r w:rsidRPr="00625E7C">
        <w:rPr>
          <w:rFonts w:cs="Arial"/>
        </w:rPr>
        <w:t xml:space="preserve">. This means </w:t>
      </w:r>
      <w:r>
        <w:rPr>
          <w:rFonts w:cs="Arial"/>
        </w:rPr>
        <w:t xml:space="preserve">that activities in </w:t>
      </w:r>
      <w:r w:rsidRPr="00625E7C">
        <w:rPr>
          <w:rFonts w:cs="Arial"/>
        </w:rPr>
        <w:t xml:space="preserve">2016 </w:t>
      </w:r>
      <w:r>
        <w:rPr>
          <w:rFonts w:cs="Arial"/>
        </w:rPr>
        <w:t xml:space="preserve">largely concerned implmenetation of the pilot, a situation confirmed by the MoES self-assessment report, which </w:t>
      </w:r>
      <w:r w:rsidRPr="00625E7C">
        <w:rPr>
          <w:rFonts w:cs="Arial"/>
        </w:rPr>
        <w:t>states that the ‘</w:t>
      </w:r>
      <w:r w:rsidRPr="00625E7C">
        <w:rPr>
          <w:rFonts w:cs="Arial"/>
          <w:i/>
        </w:rPr>
        <w:t>Years 2015, 2016 were dedicated for preparation and piloting phases…’</w:t>
      </w:r>
      <w:r>
        <w:rPr>
          <w:rFonts w:cs="Arial"/>
        </w:rPr>
        <w:t xml:space="preserve">, and by the fact that at the time of the Review </w:t>
      </w:r>
      <w:r w:rsidRPr="00625E7C">
        <w:rPr>
          <w:rFonts w:cs="Arial"/>
        </w:rPr>
        <w:t>the Action Plan for the implementation of the new Professional Orientation and Career Guidance approach was reported</w:t>
      </w:r>
      <w:r>
        <w:rPr>
          <w:rFonts w:cs="Arial"/>
        </w:rPr>
        <w:t xml:space="preserve"> as</w:t>
      </w:r>
      <w:r w:rsidRPr="00625E7C">
        <w:rPr>
          <w:rFonts w:cs="Arial"/>
        </w:rPr>
        <w:t xml:space="preserve"> still being developed under the EU TA project</w:t>
      </w:r>
      <w:r>
        <w:rPr>
          <w:rFonts w:cs="Arial"/>
        </w:rPr>
        <w:t>. The fact that t</w:t>
      </w:r>
      <w:r w:rsidRPr="00625E7C">
        <w:rPr>
          <w:rFonts w:cs="Arial"/>
        </w:rPr>
        <w:t>he sub-standards for delivery of career guidance and counselling services through state VET institutions according to the Government Decree No.676 of 30th December 2015 approving</w:t>
      </w:r>
      <w:r w:rsidRPr="00625E7C">
        <w:rPr>
          <w:rFonts w:cs="Arial"/>
          <w:i/>
        </w:rPr>
        <w:t xml:space="preserve"> Standards for career guidance</w:t>
      </w:r>
      <w:r w:rsidRPr="00625E7C">
        <w:rPr>
          <w:rFonts w:cs="Arial"/>
        </w:rPr>
        <w:t xml:space="preserve">, have not been produced and </w:t>
      </w:r>
      <w:r>
        <w:rPr>
          <w:rFonts w:cs="Arial"/>
        </w:rPr>
        <w:t xml:space="preserve">disseminated </w:t>
      </w:r>
      <w:r w:rsidRPr="00625E7C">
        <w:rPr>
          <w:rFonts w:cs="Arial"/>
        </w:rPr>
        <w:t>to the institution</w:t>
      </w:r>
      <w:r>
        <w:rPr>
          <w:rFonts w:cs="Arial"/>
        </w:rPr>
        <w:t xml:space="preserve">s reinforces the belief that </w:t>
      </w:r>
      <w:r w:rsidRPr="00625E7C">
        <w:rPr>
          <w:rFonts w:cs="Arial"/>
          <w:u w:val="single"/>
        </w:rPr>
        <w:t>a systemic new approach</w:t>
      </w:r>
      <w:r w:rsidRPr="00625E7C">
        <w:rPr>
          <w:rFonts w:cs="Arial"/>
        </w:rPr>
        <w:t xml:space="preserve"> based on the st</w:t>
      </w:r>
      <w:r>
        <w:rPr>
          <w:rFonts w:cs="Arial"/>
        </w:rPr>
        <w:t xml:space="preserve">andards, manual and guidelines has yet to be established. Although </w:t>
      </w:r>
      <w:r w:rsidRPr="00625E7C">
        <w:rPr>
          <w:rFonts w:cs="Arial"/>
        </w:rPr>
        <w:t xml:space="preserve">the VET colleges </w:t>
      </w:r>
      <w:r>
        <w:rPr>
          <w:rFonts w:cs="Arial"/>
        </w:rPr>
        <w:t xml:space="preserve">do </w:t>
      </w:r>
      <w:r w:rsidRPr="00625E7C">
        <w:rPr>
          <w:rFonts w:cs="Arial"/>
        </w:rPr>
        <w:t>implement a number of different POCG related activities</w:t>
      </w:r>
      <w:r>
        <w:rPr>
          <w:rFonts w:cs="Arial"/>
        </w:rPr>
        <w:t>,</w:t>
      </w:r>
      <w:r w:rsidRPr="00625E7C">
        <w:rPr>
          <w:rFonts w:cs="Arial"/>
        </w:rPr>
        <w:t xml:space="preserve"> </w:t>
      </w:r>
      <w:r>
        <w:rPr>
          <w:rFonts w:cs="Arial"/>
        </w:rPr>
        <w:t xml:space="preserve">the Review found that </w:t>
      </w:r>
      <w:r w:rsidRPr="00A25548">
        <w:rPr>
          <w:rFonts w:cs="Arial"/>
        </w:rPr>
        <w:t>individual consultations</w:t>
      </w:r>
      <w:r>
        <w:rPr>
          <w:rFonts w:cs="Arial"/>
        </w:rPr>
        <w:t xml:space="preserve"> with students by Career Managers are limited</w:t>
      </w:r>
      <w:r w:rsidRPr="00625E7C">
        <w:rPr>
          <w:rFonts w:cs="Arial"/>
        </w:rPr>
        <w:t xml:space="preserve">, </w:t>
      </w:r>
      <w:r>
        <w:rPr>
          <w:rFonts w:cs="Arial"/>
        </w:rPr>
        <w:t>and whereas some activities</w:t>
      </w:r>
      <w:r w:rsidRPr="00625E7C">
        <w:rPr>
          <w:rFonts w:cs="Arial"/>
        </w:rPr>
        <w:t xml:space="preserve"> are based on knowledge gained </w:t>
      </w:r>
      <w:r>
        <w:rPr>
          <w:rFonts w:cs="Arial"/>
        </w:rPr>
        <w:t>through</w:t>
      </w:r>
      <w:r w:rsidRPr="00625E7C">
        <w:rPr>
          <w:rFonts w:cs="Arial"/>
        </w:rPr>
        <w:t xml:space="preserve"> pilot training</w:t>
      </w:r>
      <w:r>
        <w:rPr>
          <w:rFonts w:cs="Arial"/>
        </w:rPr>
        <w:t xml:space="preserve"> course</w:t>
      </w:r>
      <w:r w:rsidRPr="00625E7C">
        <w:rPr>
          <w:rFonts w:cs="Arial"/>
        </w:rPr>
        <w:t>s</w:t>
      </w:r>
      <w:r>
        <w:rPr>
          <w:rFonts w:cs="Arial"/>
        </w:rPr>
        <w:t xml:space="preserve"> (which did not include on-the-job training)</w:t>
      </w:r>
      <w:r w:rsidRPr="00625E7C">
        <w:rPr>
          <w:rFonts w:cs="Arial"/>
        </w:rPr>
        <w:t xml:space="preserve">, </w:t>
      </w:r>
      <w:r>
        <w:rPr>
          <w:rFonts w:cs="Arial"/>
        </w:rPr>
        <w:t>they do not yet constitute implementation of the proposed new systemic approach.</w:t>
      </w:r>
    </w:p>
    <w:p w14:paraId="15F19A96" w14:textId="77777777" w:rsidR="00436A4B" w:rsidRDefault="00436A4B" w:rsidP="009E3730">
      <w:pPr>
        <w:widowControl w:val="0"/>
        <w:suppressAutoHyphens/>
        <w:rPr>
          <w:rFonts w:eastAsia="Times New Roman" w:cs="Times New Roman"/>
        </w:rPr>
      </w:pPr>
    </w:p>
    <w:p w14:paraId="75862B80" w14:textId="48E1AA5D" w:rsidR="00EA606A" w:rsidRDefault="00436A4B" w:rsidP="009E3730">
      <w:pPr>
        <w:widowControl w:val="0"/>
        <w:suppressAutoHyphens/>
        <w:rPr>
          <w:rFonts w:eastAsia="Times New Roman" w:cs="Times New Roman"/>
        </w:rPr>
      </w:pPr>
      <w:r>
        <w:rPr>
          <w:rFonts w:eastAsia="Times New Roman" w:cs="Times New Roman"/>
        </w:rPr>
        <w:t>T</w:t>
      </w:r>
      <w:r w:rsidR="00EA606A">
        <w:rPr>
          <w:rFonts w:eastAsia="Times New Roman" w:cs="Times New Roman"/>
        </w:rPr>
        <w:t>he Review believes</w:t>
      </w:r>
      <w:r>
        <w:rPr>
          <w:rFonts w:eastAsia="Times New Roman" w:cs="Times New Roman"/>
        </w:rPr>
        <w:t xml:space="preserve">, however, that these findings are </w:t>
      </w:r>
      <w:r w:rsidR="00EA606A">
        <w:rPr>
          <w:rFonts w:eastAsia="Times New Roman" w:cs="Times New Roman"/>
        </w:rPr>
        <w:t xml:space="preserve">relevant to the reassessment of Third Instalment Indicator 3.1.2 </w:t>
      </w:r>
      <w:r w:rsidR="00C82FE2">
        <w:rPr>
          <w:rFonts w:eastAsia="Times New Roman" w:cs="Times New Roman"/>
        </w:rPr>
        <w:t xml:space="preserve">(see below) </w:t>
      </w:r>
      <w:r w:rsidR="00EA606A">
        <w:rPr>
          <w:rFonts w:eastAsia="Times New Roman" w:cs="Times New Roman"/>
        </w:rPr>
        <w:t>and supports the Review</w:t>
      </w:r>
      <w:r w:rsidR="00A83F72">
        <w:rPr>
          <w:rFonts w:eastAsia="Times New Roman" w:cs="Times New Roman"/>
        </w:rPr>
        <w:t>'</w:t>
      </w:r>
      <w:r w:rsidR="00EA606A">
        <w:rPr>
          <w:rFonts w:eastAsia="Times New Roman" w:cs="Times New Roman"/>
        </w:rPr>
        <w:t>s conclusion that the €0.5mn withheld at the time of the Third Instalment release in December 2016</w:t>
      </w:r>
      <w:r w:rsidR="00A83F72">
        <w:rPr>
          <w:rFonts w:eastAsia="Times New Roman" w:cs="Times New Roman"/>
        </w:rPr>
        <w:t xml:space="preserve"> should now be disbursed along with the Fourth Instalment.</w:t>
      </w:r>
    </w:p>
    <w:p w14:paraId="530FE0D5" w14:textId="77777777" w:rsidR="00803368" w:rsidRDefault="00803368" w:rsidP="009E3730">
      <w:pPr>
        <w:widowControl w:val="0"/>
        <w:suppressAutoHyphens/>
        <w:rPr>
          <w:rFonts w:eastAsia="Times New Roman" w:cs="Times New Roman"/>
        </w:rPr>
      </w:pPr>
    </w:p>
    <w:p w14:paraId="3ED00F82" w14:textId="77777777" w:rsidR="009601AE" w:rsidRDefault="009601AE" w:rsidP="009E3730">
      <w:pPr>
        <w:widowControl w:val="0"/>
        <w:suppressAutoHyphens/>
        <w:rPr>
          <w:b/>
          <w:bCs/>
          <w:i/>
          <w:iCs/>
          <w:lang w:eastAsia="en-GB"/>
        </w:rPr>
      </w:pPr>
      <w:r>
        <w:rPr>
          <w:b/>
          <w:bCs/>
          <w:u w:val="single"/>
        </w:rPr>
        <w:t>Indicator 3.1.2</w:t>
      </w:r>
      <w:r>
        <w:rPr>
          <w:b/>
          <w:bCs/>
        </w:rPr>
        <w:t>:</w:t>
      </w:r>
      <w:r>
        <w:rPr>
          <w:b/>
          <w:bCs/>
          <w:lang w:eastAsia="en-GB"/>
        </w:rPr>
        <w:t xml:space="preserve"> </w:t>
      </w:r>
      <w:r>
        <w:rPr>
          <w:b/>
          <w:bCs/>
          <w:i/>
          <w:iCs/>
          <w:lang w:eastAsia="en-GB"/>
        </w:rPr>
        <w:t>Tracer Study of all public VET graduates from 2014-2015 and online publication of information on employment trends (barometer) of main VET qualifications.</w:t>
      </w:r>
    </w:p>
    <w:p w14:paraId="4EEFC059" w14:textId="77777777" w:rsidR="009601AE" w:rsidRDefault="009601AE" w:rsidP="009E3730">
      <w:pPr>
        <w:widowControl w:val="0"/>
        <w:suppressAutoHyphens/>
      </w:pPr>
    </w:p>
    <w:p w14:paraId="5EB2F32B" w14:textId="77777777" w:rsidR="009601AE" w:rsidRDefault="009601AE" w:rsidP="009E3730">
      <w:pPr>
        <w:widowControl w:val="0"/>
        <w:suppressAutoHyphens/>
      </w:pPr>
      <w:r>
        <w:t xml:space="preserve">Source of Verification: </w:t>
      </w:r>
    </w:p>
    <w:p w14:paraId="1227947C" w14:textId="77777777" w:rsidR="009601AE" w:rsidRDefault="009601AE" w:rsidP="009E3730">
      <w:pPr>
        <w:widowControl w:val="0"/>
        <w:numPr>
          <w:ilvl w:val="0"/>
          <w:numId w:val="2"/>
        </w:numPr>
        <w:suppressAutoHyphens/>
        <w:autoSpaceDE w:val="0"/>
        <w:autoSpaceDN w:val="0"/>
        <w:ind w:left="714" w:hanging="357"/>
        <w:rPr>
          <w:lang w:eastAsia="en-GB"/>
        </w:rPr>
      </w:pPr>
      <w:r>
        <w:rPr>
          <w:lang w:eastAsia="en-GB"/>
        </w:rPr>
        <w:t>Report on Tracer Study;</w:t>
      </w:r>
    </w:p>
    <w:p w14:paraId="1378270D" w14:textId="77777777" w:rsidR="009601AE" w:rsidRDefault="009601AE" w:rsidP="009E3730">
      <w:pPr>
        <w:widowControl w:val="0"/>
        <w:numPr>
          <w:ilvl w:val="0"/>
          <w:numId w:val="2"/>
        </w:numPr>
        <w:suppressAutoHyphens/>
        <w:autoSpaceDE w:val="0"/>
        <w:autoSpaceDN w:val="0"/>
        <w:ind w:left="714" w:hanging="357"/>
        <w:rPr>
          <w:lang w:eastAsia="en-GB"/>
        </w:rPr>
      </w:pPr>
      <w:r>
        <w:rPr>
          <w:lang w:eastAsia="en-GB"/>
        </w:rPr>
        <w:t>Online barometer of VET qualifications.</w:t>
      </w:r>
    </w:p>
    <w:p w14:paraId="037ED493" w14:textId="77777777" w:rsidR="009601AE" w:rsidRDefault="009601AE" w:rsidP="009E3730">
      <w:pPr>
        <w:widowControl w:val="0"/>
        <w:suppressAutoHyphens/>
      </w:pPr>
    </w:p>
    <w:p w14:paraId="33ADBD61" w14:textId="554364F7" w:rsidR="009601AE" w:rsidRDefault="009601AE" w:rsidP="009E3730">
      <w:pPr>
        <w:widowControl w:val="0"/>
        <w:suppressAutoHyphens/>
        <w:rPr>
          <w:b/>
          <w:bCs/>
        </w:rPr>
      </w:pPr>
      <w:r>
        <w:rPr>
          <w:b/>
          <w:bCs/>
          <w:u w:val="single"/>
        </w:rPr>
        <w:t>Review Assessment</w:t>
      </w:r>
      <w:r>
        <w:rPr>
          <w:b/>
          <w:bCs/>
        </w:rPr>
        <w:t>: fulfil</w:t>
      </w:r>
      <w:r w:rsidR="006911D7">
        <w:rPr>
          <w:b/>
          <w:bCs/>
        </w:rPr>
        <w:t>led</w:t>
      </w:r>
      <w:r>
        <w:rPr>
          <w:b/>
          <w:bCs/>
        </w:rPr>
        <w:t>.</w:t>
      </w:r>
    </w:p>
    <w:p w14:paraId="2B471200" w14:textId="77777777" w:rsidR="009601AE" w:rsidRDefault="009601AE" w:rsidP="009E3730">
      <w:pPr>
        <w:widowControl w:val="0"/>
        <w:suppressAutoHyphens/>
      </w:pPr>
    </w:p>
    <w:p w14:paraId="53374791" w14:textId="7A7A3692" w:rsidR="00F47ED3" w:rsidRDefault="00F47ED3" w:rsidP="009E3730">
      <w:pPr>
        <w:widowControl w:val="0"/>
        <w:suppressAutoHyphens/>
        <w:rPr>
          <w:rFonts w:eastAsia="Times New Roman" w:cs="Arial"/>
        </w:rPr>
      </w:pPr>
      <w:r>
        <w:rPr>
          <w:rFonts w:eastAsia="Times New Roman" w:cs="Arial"/>
        </w:rPr>
        <w:t>This indicator calls for a third tracer study to be conducted covering graduates from public VET institutions from the 2014/15 academic year. Earlier tracer studies were completed in 2014 on 2012/13 academic year graduates (Second Instalment Indicator 3.1.2) and in 2015 on 2013/14 academic year graduates (</w:t>
      </w:r>
      <w:r w:rsidR="00675C30">
        <w:rPr>
          <w:rFonts w:eastAsia="Times New Roman" w:cs="Arial"/>
        </w:rPr>
        <w:t xml:space="preserve">not included as a </w:t>
      </w:r>
      <w:r>
        <w:rPr>
          <w:rFonts w:eastAsia="Times New Roman" w:cs="Arial"/>
        </w:rPr>
        <w:t>Third Instalment Indicator</w:t>
      </w:r>
      <w:r w:rsidR="00675C30">
        <w:rPr>
          <w:rFonts w:eastAsia="Times New Roman" w:cs="Arial"/>
        </w:rPr>
        <w:t xml:space="preserve">). </w:t>
      </w:r>
      <w:r w:rsidR="0079351B">
        <w:rPr>
          <w:rFonts w:eastAsia="Times New Roman" w:cs="Arial"/>
        </w:rPr>
        <w:t xml:space="preserve">All the studies are based </w:t>
      </w:r>
      <w:r w:rsidR="00532687">
        <w:rPr>
          <w:rFonts w:eastAsia="Times New Roman" w:cs="Arial"/>
        </w:rPr>
        <w:t xml:space="preserve">on </w:t>
      </w:r>
      <w:r w:rsidR="0079351B">
        <w:rPr>
          <w:rFonts w:eastAsia="Times New Roman" w:cs="Arial"/>
        </w:rPr>
        <w:t>responses to a telephone call questionnaire of graduates eighteen months to two years after completing their courses, the success of which is partly based on phone contact details of graduates remaining up-to-date.</w:t>
      </w:r>
      <w:r w:rsidR="00EB08C9">
        <w:rPr>
          <w:rFonts w:eastAsia="Times New Roman" w:cs="Arial"/>
        </w:rPr>
        <w:t xml:space="preserve"> </w:t>
      </w:r>
      <w:r w:rsidR="0079351B">
        <w:rPr>
          <w:rFonts w:eastAsia="Times New Roman" w:cs="Arial"/>
        </w:rPr>
        <w:t xml:space="preserve"> </w:t>
      </w:r>
    </w:p>
    <w:p w14:paraId="4708C958" w14:textId="77777777" w:rsidR="00C04221" w:rsidRDefault="00C04221" w:rsidP="009E3730">
      <w:pPr>
        <w:widowControl w:val="0"/>
        <w:suppressAutoHyphens/>
        <w:rPr>
          <w:rFonts w:eastAsia="Times New Roman" w:cs="Arial"/>
        </w:rPr>
      </w:pPr>
    </w:p>
    <w:p w14:paraId="0AC17925" w14:textId="16A63C0A" w:rsidR="00F47ED3" w:rsidRPr="00F47ED3" w:rsidRDefault="0070073D" w:rsidP="009E3730">
      <w:pPr>
        <w:widowControl w:val="0"/>
        <w:suppressAutoHyphens/>
        <w:rPr>
          <w:rFonts w:cs="Arial"/>
        </w:rPr>
      </w:pPr>
      <w:r>
        <w:rPr>
          <w:rFonts w:cs="Arial"/>
          <w:szCs w:val="20"/>
        </w:rPr>
        <w:t>The 2015 study covering 2013/14 graduates</w:t>
      </w:r>
      <w:r w:rsidR="00C258ED">
        <w:rPr>
          <w:rFonts w:cs="Arial"/>
          <w:szCs w:val="20"/>
        </w:rPr>
        <w:t xml:space="preserve"> </w:t>
      </w:r>
      <w:r>
        <w:rPr>
          <w:rFonts w:cs="Arial"/>
          <w:szCs w:val="20"/>
        </w:rPr>
        <w:t>involve</w:t>
      </w:r>
      <w:r w:rsidR="00DC29D1">
        <w:rPr>
          <w:rFonts w:cs="Arial"/>
          <w:szCs w:val="20"/>
        </w:rPr>
        <w:t>s</w:t>
      </w:r>
      <w:r>
        <w:rPr>
          <w:rFonts w:cs="Arial"/>
          <w:szCs w:val="20"/>
        </w:rPr>
        <w:t xml:space="preserve"> responses from 2591 </w:t>
      </w:r>
      <w:r w:rsidR="00DC29D1">
        <w:rPr>
          <w:rFonts w:cs="Arial"/>
          <w:szCs w:val="20"/>
        </w:rPr>
        <w:t>graduates</w:t>
      </w:r>
      <w:r w:rsidR="00CB523D">
        <w:rPr>
          <w:rFonts w:cs="Arial"/>
          <w:szCs w:val="20"/>
        </w:rPr>
        <w:t xml:space="preserve"> (</w:t>
      </w:r>
      <w:r w:rsidR="00DC29D1">
        <w:rPr>
          <w:rFonts w:cs="Arial"/>
          <w:szCs w:val="20"/>
        </w:rPr>
        <w:t>reported as 39.5</w:t>
      </w:r>
      <w:r>
        <w:rPr>
          <w:rFonts w:cs="Arial"/>
          <w:szCs w:val="20"/>
        </w:rPr>
        <w:t xml:space="preserve">% of </w:t>
      </w:r>
      <w:r w:rsidR="00CB523D">
        <w:rPr>
          <w:rFonts w:cs="Arial"/>
          <w:szCs w:val="20"/>
        </w:rPr>
        <w:t xml:space="preserve">total </w:t>
      </w:r>
      <w:r w:rsidR="00C258ED">
        <w:rPr>
          <w:rFonts w:cs="Arial"/>
          <w:szCs w:val="20"/>
        </w:rPr>
        <w:t>graduates</w:t>
      </w:r>
      <w:r w:rsidR="00CB523D">
        <w:rPr>
          <w:rFonts w:cs="Arial"/>
          <w:szCs w:val="20"/>
        </w:rPr>
        <w:t xml:space="preserve"> - i.e. around 6600, suggesting both</w:t>
      </w:r>
      <w:r w:rsidR="005D0C65">
        <w:rPr>
          <w:rFonts w:cs="Arial"/>
          <w:szCs w:val="20"/>
        </w:rPr>
        <w:t xml:space="preserve"> state</w:t>
      </w:r>
      <w:r w:rsidR="00CB523D">
        <w:rPr>
          <w:rFonts w:cs="Arial"/>
          <w:szCs w:val="20"/>
        </w:rPr>
        <w:t xml:space="preserve"> colleges and </w:t>
      </w:r>
      <w:r w:rsidR="005D0C65">
        <w:rPr>
          <w:rFonts w:cs="Arial"/>
          <w:szCs w:val="20"/>
        </w:rPr>
        <w:t xml:space="preserve">state </w:t>
      </w:r>
      <w:r w:rsidR="00CB523D">
        <w:rPr>
          <w:rFonts w:cs="Arial"/>
          <w:szCs w:val="20"/>
        </w:rPr>
        <w:t xml:space="preserve">higher education institutions and both spring and autumn intake graduates). </w:t>
      </w:r>
      <w:r w:rsidR="00F47ED3" w:rsidRPr="00F47ED3">
        <w:rPr>
          <w:rFonts w:cs="Arial"/>
        </w:rPr>
        <w:t xml:space="preserve">The </w:t>
      </w:r>
      <w:r w:rsidR="00CB523D">
        <w:rPr>
          <w:rFonts w:cs="Arial"/>
        </w:rPr>
        <w:t xml:space="preserve">2016 study </w:t>
      </w:r>
      <w:r w:rsidR="00F47ED3" w:rsidRPr="00F47ED3">
        <w:rPr>
          <w:rFonts w:cs="Arial"/>
        </w:rPr>
        <w:t>of 20</w:t>
      </w:r>
      <w:r w:rsidR="00CB523D">
        <w:rPr>
          <w:rFonts w:cs="Arial"/>
        </w:rPr>
        <w:t>14/</w:t>
      </w:r>
      <w:r w:rsidR="00F47ED3" w:rsidRPr="00F47ED3">
        <w:rPr>
          <w:rFonts w:cs="Arial"/>
        </w:rPr>
        <w:t xml:space="preserve">15 </w:t>
      </w:r>
      <w:r w:rsidR="00CB523D">
        <w:rPr>
          <w:rFonts w:cs="Arial"/>
        </w:rPr>
        <w:t>g</w:t>
      </w:r>
      <w:r w:rsidR="00F47ED3" w:rsidRPr="00F47ED3">
        <w:rPr>
          <w:rFonts w:cs="Arial"/>
        </w:rPr>
        <w:t>raduates</w:t>
      </w:r>
      <w:r w:rsidR="00CB523D">
        <w:rPr>
          <w:rFonts w:cs="Arial"/>
        </w:rPr>
        <w:t>,</w:t>
      </w:r>
      <w:r w:rsidR="00F47ED3" w:rsidRPr="00F47ED3">
        <w:rPr>
          <w:rFonts w:cs="Arial"/>
        </w:rPr>
        <w:t xml:space="preserve"> organised by MoES and implemented by OROEI</w:t>
      </w:r>
      <w:r w:rsidR="00CB523D">
        <w:rPr>
          <w:rFonts w:cs="Arial"/>
        </w:rPr>
        <w:t>,</w:t>
      </w:r>
      <w:r w:rsidR="00F47ED3" w:rsidRPr="00F47ED3">
        <w:rPr>
          <w:rFonts w:cs="Arial"/>
        </w:rPr>
        <w:t xml:space="preserve"> </w:t>
      </w:r>
      <w:r w:rsidR="00CB523D">
        <w:rPr>
          <w:rFonts w:cs="Arial"/>
        </w:rPr>
        <w:t xml:space="preserve">involves </w:t>
      </w:r>
      <w:r w:rsidR="00F47ED3" w:rsidRPr="00F47ED3">
        <w:rPr>
          <w:rFonts w:eastAsia="Calibri" w:cs="Arial"/>
        </w:rPr>
        <w:t>3767 respondents</w:t>
      </w:r>
      <w:r w:rsidR="00CB523D">
        <w:rPr>
          <w:rFonts w:eastAsia="Calibri" w:cs="Arial"/>
        </w:rPr>
        <w:t>, said to</w:t>
      </w:r>
      <w:r w:rsidR="00F47ED3" w:rsidRPr="00F47ED3">
        <w:rPr>
          <w:rFonts w:eastAsia="Calibri" w:cs="Arial"/>
        </w:rPr>
        <w:t xml:space="preserve"> comprise around 54% of 6939 graduate</w:t>
      </w:r>
      <w:r w:rsidR="00CB523D">
        <w:rPr>
          <w:rFonts w:eastAsia="Calibri" w:cs="Arial"/>
        </w:rPr>
        <w:t xml:space="preserve">s, again from both </w:t>
      </w:r>
      <w:r w:rsidR="005D0C65">
        <w:rPr>
          <w:rFonts w:eastAsia="Calibri" w:cs="Arial"/>
        </w:rPr>
        <w:t xml:space="preserve">state </w:t>
      </w:r>
      <w:r w:rsidR="00CB523D">
        <w:rPr>
          <w:rFonts w:eastAsia="Calibri" w:cs="Arial"/>
        </w:rPr>
        <w:t xml:space="preserve">colleges and </w:t>
      </w:r>
      <w:r w:rsidR="005D0C65">
        <w:rPr>
          <w:rFonts w:eastAsia="Calibri" w:cs="Arial"/>
        </w:rPr>
        <w:t xml:space="preserve">state </w:t>
      </w:r>
      <w:r w:rsidR="00CB523D">
        <w:rPr>
          <w:rFonts w:eastAsia="Calibri" w:cs="Arial"/>
        </w:rPr>
        <w:t xml:space="preserve">higher education institutions </w:t>
      </w:r>
      <w:r w:rsidR="005D0C65">
        <w:rPr>
          <w:rFonts w:eastAsia="Calibri" w:cs="Arial"/>
        </w:rPr>
        <w:t>and for both spring and autumn intakes</w:t>
      </w:r>
      <w:r w:rsidR="005D0C65">
        <w:rPr>
          <w:rStyle w:val="FootnoteReference"/>
          <w:rFonts w:eastAsia="Calibri"/>
        </w:rPr>
        <w:footnoteReference w:id="69"/>
      </w:r>
      <w:r w:rsidR="005D0C65">
        <w:rPr>
          <w:rFonts w:eastAsia="Calibri" w:cs="Arial"/>
        </w:rPr>
        <w:t>.</w:t>
      </w:r>
      <w:r w:rsidR="00F47ED3" w:rsidRPr="00F47ED3">
        <w:rPr>
          <w:rFonts w:eastAsia="Calibri" w:cs="Arial"/>
        </w:rPr>
        <w:t xml:space="preserve"> </w:t>
      </w:r>
      <w:r w:rsidR="00D17AF0">
        <w:rPr>
          <w:rFonts w:cs="Arial"/>
          <w:szCs w:val="20"/>
        </w:rPr>
        <w:t xml:space="preserve">The 2014 </w:t>
      </w:r>
      <w:r w:rsidR="00D17AF0">
        <w:rPr>
          <w:rFonts w:cs="Arial"/>
          <w:szCs w:val="20"/>
        </w:rPr>
        <w:lastRenderedPageBreak/>
        <w:t xml:space="preserve">tracer study </w:t>
      </w:r>
      <w:r w:rsidR="00D17AF0">
        <w:rPr>
          <w:rFonts w:cs="Arial"/>
        </w:rPr>
        <w:t xml:space="preserve">covering 2012/13 graduates, reported upon in the Second Instalment Aide Memoire, was based on the responses of 1296 graduates from public VET colleges only, reported as </w:t>
      </w:r>
      <w:r w:rsidR="00D17AF0">
        <w:rPr>
          <w:rFonts w:cs="Arial"/>
          <w:szCs w:val="20"/>
        </w:rPr>
        <w:t>45% of a total of 2881 graduates (but possibly only autumn intake graduates). All</w:t>
      </w:r>
      <w:r w:rsidR="00F47ED3" w:rsidRPr="00F47ED3">
        <w:rPr>
          <w:rFonts w:cs="Arial"/>
        </w:rPr>
        <w:t xml:space="preserve"> reports are published at: </w:t>
      </w:r>
      <w:hyperlink r:id="rId31" w:history="1">
        <w:r w:rsidR="00F47ED3" w:rsidRPr="00D17AF0">
          <w:rPr>
            <w:rStyle w:val="Hyperlink"/>
          </w:rPr>
          <w:t>http://mes.gov.ge/content.php?id=5962&amp;lang=geo</w:t>
        </w:r>
      </w:hyperlink>
      <w:r w:rsidR="00F47ED3" w:rsidRPr="00F47ED3">
        <w:rPr>
          <w:rFonts w:cs="Arial"/>
        </w:rPr>
        <w:t xml:space="preserve">. </w:t>
      </w:r>
      <w:r w:rsidR="008A2762">
        <w:rPr>
          <w:rFonts w:cs="Arial"/>
        </w:rPr>
        <w:t xml:space="preserve">The quality </w:t>
      </w:r>
      <w:r w:rsidR="009A0A68">
        <w:rPr>
          <w:rFonts w:cs="Arial"/>
        </w:rPr>
        <w:t xml:space="preserve">and depth </w:t>
      </w:r>
      <w:r w:rsidR="008A2762">
        <w:rPr>
          <w:rFonts w:cs="Arial"/>
        </w:rPr>
        <w:t xml:space="preserve">of the analysis and design of the report of the 2016 study </w:t>
      </w:r>
      <w:r w:rsidR="009A0A68">
        <w:rPr>
          <w:rFonts w:cs="Arial"/>
        </w:rPr>
        <w:t>have</w:t>
      </w:r>
      <w:r w:rsidR="008A2762">
        <w:rPr>
          <w:rFonts w:cs="Arial"/>
        </w:rPr>
        <w:t xml:space="preserve"> improved since the 2015 study</w:t>
      </w:r>
      <w:r w:rsidR="009A0A68">
        <w:rPr>
          <w:rFonts w:cs="Arial"/>
        </w:rPr>
        <w:t>, and both show a marked development since the 2014 study.</w:t>
      </w:r>
    </w:p>
    <w:p w14:paraId="3B513065" w14:textId="77777777" w:rsidR="00F47ED3" w:rsidRPr="00F47ED3" w:rsidRDefault="00F47ED3" w:rsidP="009E3730">
      <w:pPr>
        <w:widowControl w:val="0"/>
        <w:suppressAutoHyphens/>
        <w:rPr>
          <w:rFonts w:eastAsia="Times New Roman" w:cs="Arial"/>
        </w:rPr>
      </w:pPr>
    </w:p>
    <w:p w14:paraId="34BA761F" w14:textId="72451E93" w:rsidR="00F47ED3" w:rsidRDefault="008A2762" w:rsidP="009E3730">
      <w:pPr>
        <w:widowControl w:val="0"/>
        <w:suppressAutoHyphens/>
        <w:rPr>
          <w:rFonts w:cs="Arial"/>
        </w:rPr>
      </w:pPr>
      <w:r>
        <w:rPr>
          <w:rFonts w:cs="Arial"/>
        </w:rPr>
        <w:t>K</w:t>
      </w:r>
      <w:r w:rsidR="00F47ED3" w:rsidRPr="00F47ED3">
        <w:rPr>
          <w:rFonts w:cs="Arial"/>
        </w:rPr>
        <w:t xml:space="preserve">ey findings of the </w:t>
      </w:r>
      <w:r>
        <w:rPr>
          <w:rFonts w:cs="Arial"/>
        </w:rPr>
        <w:t xml:space="preserve">2016 </w:t>
      </w:r>
      <w:r w:rsidR="00F47ED3" w:rsidRPr="00F47ED3">
        <w:rPr>
          <w:rFonts w:cs="Arial"/>
        </w:rPr>
        <w:t>study</w:t>
      </w:r>
      <w:r>
        <w:rPr>
          <w:rFonts w:cs="Arial"/>
        </w:rPr>
        <w:t>, with 2015 study comparisons) include</w:t>
      </w:r>
    </w:p>
    <w:p w14:paraId="60B2F0FA" w14:textId="77777777" w:rsidR="008A2762" w:rsidRPr="00F47ED3" w:rsidRDefault="008A2762" w:rsidP="009E3730">
      <w:pPr>
        <w:widowControl w:val="0"/>
        <w:suppressAutoHyphens/>
        <w:rPr>
          <w:rFonts w:cs="Arial"/>
        </w:rPr>
      </w:pPr>
    </w:p>
    <w:p w14:paraId="70525E86" w14:textId="0ABFCEE2" w:rsidR="00F47ED3" w:rsidRPr="008A2762" w:rsidRDefault="00F47ED3" w:rsidP="007C295F">
      <w:pPr>
        <w:pStyle w:val="ListParagraph"/>
        <w:widowControl w:val="0"/>
        <w:numPr>
          <w:ilvl w:val="0"/>
          <w:numId w:val="32"/>
        </w:numPr>
        <w:suppressAutoHyphens/>
        <w:spacing w:line="240" w:lineRule="auto"/>
        <w:ind w:left="714" w:hanging="357"/>
        <w:jc w:val="both"/>
        <w:rPr>
          <w:rFonts w:ascii="Arial" w:hAnsi="Arial" w:cs="Arial"/>
        </w:rPr>
      </w:pPr>
      <w:r w:rsidRPr="008A2762">
        <w:rPr>
          <w:rFonts w:ascii="Arial" w:hAnsi="Arial" w:cs="Arial"/>
        </w:rPr>
        <w:t>employment: 34% (30.4% for 2014 graduates) job placed after graduation, 22% (17.2% for 2014 graduates) had been employed prior to graduation (for 2012-2013 graduates, employment comprised 42% without distinction between those who was job placed after graduation or had been employed prior to graduation); average wages 508 GEL;</w:t>
      </w:r>
    </w:p>
    <w:p w14:paraId="7CDBB448" w14:textId="4BCB13F0" w:rsidR="00F47ED3" w:rsidRPr="008A2762" w:rsidRDefault="008A2762" w:rsidP="007C295F">
      <w:pPr>
        <w:pStyle w:val="ListParagraph"/>
        <w:widowControl w:val="0"/>
        <w:numPr>
          <w:ilvl w:val="0"/>
          <w:numId w:val="32"/>
        </w:numPr>
        <w:suppressAutoHyphens/>
        <w:spacing w:line="240" w:lineRule="auto"/>
        <w:ind w:left="714" w:hanging="357"/>
        <w:jc w:val="both"/>
        <w:rPr>
          <w:rFonts w:ascii="Arial" w:hAnsi="Arial" w:cs="Arial"/>
        </w:rPr>
      </w:pPr>
      <w:r>
        <w:rPr>
          <w:rFonts w:ascii="Arial" w:hAnsi="Arial" w:cs="Arial"/>
        </w:rPr>
        <w:t>r</w:t>
      </w:r>
      <w:r w:rsidR="00F47ED3" w:rsidRPr="008A2762">
        <w:rPr>
          <w:rFonts w:ascii="Arial" w:hAnsi="Arial" w:cs="Arial"/>
        </w:rPr>
        <w:t>elevance of the graduates’ employment to their qualification: 48% fully or partially related to the studied profession (65% for 2014 and 43% for 2012-2013);</w:t>
      </w:r>
    </w:p>
    <w:p w14:paraId="31CF0A79" w14:textId="74407064" w:rsidR="00DE0597" w:rsidRPr="008A2762" w:rsidRDefault="00DE0597" w:rsidP="007C295F">
      <w:pPr>
        <w:pStyle w:val="ListParagraph"/>
        <w:widowControl w:val="0"/>
        <w:numPr>
          <w:ilvl w:val="0"/>
          <w:numId w:val="32"/>
        </w:numPr>
        <w:suppressAutoHyphens/>
        <w:spacing w:line="240" w:lineRule="auto"/>
        <w:ind w:left="714" w:hanging="357"/>
        <w:jc w:val="both"/>
        <w:rPr>
          <w:rFonts w:ascii="Arial" w:hAnsi="Arial" w:cs="Arial"/>
        </w:rPr>
      </w:pPr>
      <w:r w:rsidRPr="008A2762">
        <w:rPr>
          <w:rFonts w:ascii="Arial" w:hAnsi="Arial" w:cs="Arial"/>
        </w:rPr>
        <w:t xml:space="preserve">compliance of qualifications </w:t>
      </w:r>
      <w:r>
        <w:rPr>
          <w:rFonts w:ascii="Arial" w:hAnsi="Arial" w:cs="Arial"/>
        </w:rPr>
        <w:t>with</w:t>
      </w:r>
      <w:r w:rsidRPr="008A2762">
        <w:rPr>
          <w:rFonts w:ascii="Arial" w:hAnsi="Arial" w:cs="Arial"/>
        </w:rPr>
        <w:t xml:space="preserve"> employment requirements</w:t>
      </w:r>
      <w:r>
        <w:rPr>
          <w:rFonts w:ascii="Arial" w:hAnsi="Arial" w:cs="Arial"/>
        </w:rPr>
        <w:t>:</w:t>
      </w:r>
      <w:r w:rsidRPr="008A2762">
        <w:rPr>
          <w:rFonts w:ascii="Arial" w:hAnsi="Arial" w:cs="Arial"/>
        </w:rPr>
        <w:t xml:space="preserve"> (57%</w:t>
      </w:r>
      <w:r>
        <w:rPr>
          <w:rFonts w:ascii="Arial" w:hAnsi="Arial" w:cs="Arial"/>
        </w:rPr>
        <w:t xml:space="preserve"> of those in employment</w:t>
      </w:r>
      <w:r w:rsidRPr="008A2762">
        <w:rPr>
          <w:rFonts w:ascii="Arial" w:hAnsi="Arial" w:cs="Arial"/>
        </w:rPr>
        <w:t xml:space="preserve"> </w:t>
      </w:r>
      <w:r w:rsidR="00A168E0">
        <w:rPr>
          <w:rFonts w:ascii="Arial" w:hAnsi="Arial" w:cs="Arial"/>
        </w:rPr>
        <w:t xml:space="preserve">in professions related to their course </w:t>
      </w:r>
      <w:r w:rsidRPr="008A2762">
        <w:rPr>
          <w:rFonts w:ascii="Arial" w:hAnsi="Arial" w:cs="Arial"/>
        </w:rPr>
        <w:t>-</w:t>
      </w:r>
      <w:r>
        <w:rPr>
          <w:rFonts w:ascii="Arial" w:hAnsi="Arial" w:cs="Arial"/>
        </w:rPr>
        <w:t xml:space="preserve"> </w:t>
      </w:r>
      <w:r w:rsidRPr="008A2762">
        <w:rPr>
          <w:rFonts w:ascii="Arial" w:hAnsi="Arial" w:cs="Arial"/>
        </w:rPr>
        <w:t>compliance, 23% - qualifications not related to their jobs, 18% - qualification is higher than the employment requirements, 1.8% - no sufficient qualifications);</w:t>
      </w:r>
    </w:p>
    <w:p w14:paraId="13A030D6" w14:textId="6C7E3356" w:rsidR="00F47ED3" w:rsidRPr="008A2762" w:rsidRDefault="008A2762" w:rsidP="007C295F">
      <w:pPr>
        <w:pStyle w:val="ListParagraph"/>
        <w:widowControl w:val="0"/>
        <w:numPr>
          <w:ilvl w:val="0"/>
          <w:numId w:val="32"/>
        </w:numPr>
        <w:suppressAutoHyphens/>
        <w:spacing w:line="240" w:lineRule="auto"/>
        <w:ind w:left="714" w:hanging="357"/>
        <w:jc w:val="both"/>
        <w:rPr>
          <w:rFonts w:ascii="Arial" w:hAnsi="Arial" w:cs="Arial"/>
        </w:rPr>
      </w:pPr>
      <w:r>
        <w:rPr>
          <w:rFonts w:ascii="Arial" w:hAnsi="Arial" w:cs="Arial"/>
        </w:rPr>
        <w:t>s</w:t>
      </w:r>
      <w:r w:rsidR="00F47ED3" w:rsidRPr="008A2762">
        <w:rPr>
          <w:rFonts w:ascii="Arial" w:hAnsi="Arial" w:cs="Arial"/>
        </w:rPr>
        <w:t xml:space="preserve">atisfaction with their jobs: 66% </w:t>
      </w:r>
      <w:r w:rsidR="00DE0597">
        <w:rPr>
          <w:rFonts w:ascii="Arial" w:hAnsi="Arial" w:cs="Arial"/>
        </w:rPr>
        <w:t xml:space="preserve">of those in employment were </w:t>
      </w:r>
      <w:r w:rsidR="00F47ED3" w:rsidRPr="008A2762">
        <w:rPr>
          <w:rFonts w:ascii="Arial" w:hAnsi="Arial" w:cs="Arial"/>
        </w:rPr>
        <w:t>satisfied with their jobs (58% for 2014, 62.3% for 2012-2013), 28.5% partially satisfied (31.1% for 2012-2013), 5% not satisfied (6.6% for 2012-2013)</w:t>
      </w:r>
      <w:r w:rsidR="00F47ED3" w:rsidRPr="008A2762">
        <w:rPr>
          <w:rStyle w:val="FootnoteReference"/>
          <w:sz w:val="22"/>
          <w:szCs w:val="22"/>
        </w:rPr>
        <w:footnoteReference w:id="70"/>
      </w:r>
      <w:r w:rsidR="00F47ED3" w:rsidRPr="008A2762">
        <w:rPr>
          <w:rFonts w:ascii="Arial" w:hAnsi="Arial" w:cs="Arial"/>
        </w:rPr>
        <w:t>;</w:t>
      </w:r>
    </w:p>
    <w:p w14:paraId="1A8A8581" w14:textId="42B81CB6" w:rsidR="00F47ED3" w:rsidRPr="008A2762" w:rsidRDefault="008A2762" w:rsidP="007C295F">
      <w:pPr>
        <w:pStyle w:val="ListParagraph"/>
        <w:widowControl w:val="0"/>
        <w:numPr>
          <w:ilvl w:val="0"/>
          <w:numId w:val="32"/>
        </w:numPr>
        <w:suppressAutoHyphens/>
        <w:spacing w:line="240" w:lineRule="auto"/>
        <w:ind w:left="714" w:hanging="357"/>
        <w:jc w:val="both"/>
        <w:rPr>
          <w:rFonts w:ascii="Arial" w:hAnsi="Arial" w:cs="Arial"/>
        </w:rPr>
      </w:pPr>
      <w:r>
        <w:rPr>
          <w:rFonts w:ascii="Arial" w:hAnsi="Arial" w:cs="Arial"/>
        </w:rPr>
        <w:t>d</w:t>
      </w:r>
      <w:r w:rsidR="00F47ED3" w:rsidRPr="008A2762">
        <w:rPr>
          <w:rFonts w:ascii="Arial" w:hAnsi="Arial" w:cs="Arial"/>
        </w:rPr>
        <w:t>istribution of the currently employed graduates by professions - the top ten:</w:t>
      </w:r>
    </w:p>
    <w:p w14:paraId="4F305A16" w14:textId="77777777" w:rsidR="00F47ED3" w:rsidRPr="008A2762" w:rsidRDefault="00F47ED3" w:rsidP="007C295F">
      <w:pPr>
        <w:pStyle w:val="ListParagraph"/>
        <w:widowControl w:val="0"/>
        <w:numPr>
          <w:ilvl w:val="1"/>
          <w:numId w:val="33"/>
        </w:numPr>
        <w:suppressAutoHyphens/>
        <w:spacing w:line="240" w:lineRule="auto"/>
        <w:ind w:left="1434" w:right="11" w:hanging="357"/>
        <w:rPr>
          <w:rFonts w:ascii="Arial" w:hAnsi="Arial" w:cs="Arial"/>
        </w:rPr>
      </w:pPr>
      <w:r w:rsidRPr="008A2762">
        <w:rPr>
          <w:rFonts w:ascii="Arial" w:hAnsi="Arial" w:cs="Arial"/>
        </w:rPr>
        <w:t>Accountant;</w:t>
      </w:r>
    </w:p>
    <w:p w14:paraId="0CFCEEFD" w14:textId="77777777" w:rsidR="00F47ED3" w:rsidRPr="008A2762" w:rsidRDefault="00F47ED3" w:rsidP="007C295F">
      <w:pPr>
        <w:pStyle w:val="ListParagraph"/>
        <w:widowControl w:val="0"/>
        <w:numPr>
          <w:ilvl w:val="1"/>
          <w:numId w:val="33"/>
        </w:numPr>
        <w:suppressAutoHyphens/>
        <w:spacing w:line="240" w:lineRule="auto"/>
        <w:ind w:left="1434" w:right="11" w:hanging="357"/>
        <w:rPr>
          <w:rFonts w:ascii="Arial" w:hAnsi="Arial" w:cs="Arial"/>
        </w:rPr>
      </w:pPr>
      <w:r w:rsidRPr="008A2762">
        <w:rPr>
          <w:rFonts w:ascii="Arial" w:hAnsi="Arial" w:cs="Arial"/>
        </w:rPr>
        <w:t>Cook;</w:t>
      </w:r>
    </w:p>
    <w:p w14:paraId="5E691016" w14:textId="77777777" w:rsidR="00F47ED3" w:rsidRPr="008A2762" w:rsidRDefault="00F47ED3" w:rsidP="007C295F">
      <w:pPr>
        <w:pStyle w:val="ListParagraph"/>
        <w:widowControl w:val="0"/>
        <w:numPr>
          <w:ilvl w:val="1"/>
          <w:numId w:val="33"/>
        </w:numPr>
        <w:suppressAutoHyphens/>
        <w:spacing w:line="240" w:lineRule="auto"/>
        <w:ind w:left="1434" w:right="11" w:hanging="357"/>
        <w:rPr>
          <w:rFonts w:ascii="Arial" w:hAnsi="Arial" w:cs="Arial"/>
        </w:rPr>
      </w:pPr>
      <w:r w:rsidRPr="008A2762">
        <w:rPr>
          <w:rFonts w:ascii="Arial" w:hAnsi="Arial" w:cs="Arial"/>
        </w:rPr>
        <w:t>Electrician;</w:t>
      </w:r>
    </w:p>
    <w:p w14:paraId="7F9B1453" w14:textId="77777777" w:rsidR="00F47ED3" w:rsidRPr="008A2762" w:rsidRDefault="00F47ED3" w:rsidP="007C295F">
      <w:pPr>
        <w:pStyle w:val="ListParagraph"/>
        <w:widowControl w:val="0"/>
        <w:numPr>
          <w:ilvl w:val="1"/>
          <w:numId w:val="33"/>
        </w:numPr>
        <w:suppressAutoHyphens/>
        <w:spacing w:line="240" w:lineRule="auto"/>
        <w:ind w:left="1434" w:right="11" w:hanging="357"/>
        <w:rPr>
          <w:rFonts w:ascii="Arial" w:hAnsi="Arial" w:cs="Arial"/>
        </w:rPr>
      </w:pPr>
      <w:r w:rsidRPr="008A2762">
        <w:rPr>
          <w:rFonts w:ascii="Arial" w:hAnsi="Arial" w:cs="Arial"/>
        </w:rPr>
        <w:t>Hotel manager;</w:t>
      </w:r>
    </w:p>
    <w:p w14:paraId="7B67A969" w14:textId="77777777" w:rsidR="00F47ED3" w:rsidRPr="008A2762" w:rsidRDefault="00F47ED3" w:rsidP="007C295F">
      <w:pPr>
        <w:pStyle w:val="ListParagraph"/>
        <w:widowControl w:val="0"/>
        <w:numPr>
          <w:ilvl w:val="1"/>
          <w:numId w:val="33"/>
        </w:numPr>
        <w:suppressAutoHyphens/>
        <w:spacing w:line="240" w:lineRule="auto"/>
        <w:ind w:left="1434" w:right="11" w:hanging="357"/>
        <w:rPr>
          <w:rFonts w:ascii="Arial" w:hAnsi="Arial" w:cs="Arial"/>
        </w:rPr>
      </w:pPr>
      <w:r w:rsidRPr="008A2762">
        <w:rPr>
          <w:rFonts w:ascii="Arial" w:hAnsi="Arial" w:cs="Arial"/>
        </w:rPr>
        <w:t>Office manager (Secretary);</w:t>
      </w:r>
    </w:p>
    <w:p w14:paraId="52DB2BB0" w14:textId="77777777" w:rsidR="00F47ED3" w:rsidRPr="008A2762" w:rsidRDefault="00F47ED3" w:rsidP="007C295F">
      <w:pPr>
        <w:pStyle w:val="ListParagraph"/>
        <w:widowControl w:val="0"/>
        <w:numPr>
          <w:ilvl w:val="1"/>
          <w:numId w:val="33"/>
        </w:numPr>
        <w:suppressAutoHyphens/>
        <w:spacing w:line="240" w:lineRule="auto"/>
        <w:ind w:left="1434" w:right="11" w:hanging="357"/>
        <w:rPr>
          <w:rFonts w:ascii="Arial" w:hAnsi="Arial" w:cs="Arial"/>
        </w:rPr>
      </w:pPr>
      <w:r w:rsidRPr="008A2762">
        <w:rPr>
          <w:rFonts w:ascii="Arial" w:hAnsi="Arial" w:cs="Arial"/>
        </w:rPr>
        <w:t>Information technologist;</w:t>
      </w:r>
    </w:p>
    <w:p w14:paraId="3D27D33B" w14:textId="77777777" w:rsidR="00F47ED3" w:rsidRPr="008A2762" w:rsidRDefault="00F47ED3" w:rsidP="007C295F">
      <w:pPr>
        <w:pStyle w:val="ListParagraph"/>
        <w:widowControl w:val="0"/>
        <w:numPr>
          <w:ilvl w:val="1"/>
          <w:numId w:val="33"/>
        </w:numPr>
        <w:suppressAutoHyphens/>
        <w:spacing w:line="240" w:lineRule="auto"/>
        <w:ind w:left="1434" w:right="11" w:hanging="357"/>
        <w:rPr>
          <w:rFonts w:ascii="Arial" w:hAnsi="Arial" w:cs="Arial"/>
        </w:rPr>
      </w:pPr>
      <w:r w:rsidRPr="008A2762">
        <w:rPr>
          <w:rFonts w:ascii="Arial" w:hAnsi="Arial" w:cs="Arial"/>
        </w:rPr>
        <w:t>Welder;</w:t>
      </w:r>
    </w:p>
    <w:p w14:paraId="3BDF6589" w14:textId="77777777" w:rsidR="00F47ED3" w:rsidRPr="008A2762" w:rsidRDefault="00F47ED3" w:rsidP="007C295F">
      <w:pPr>
        <w:pStyle w:val="ListParagraph"/>
        <w:widowControl w:val="0"/>
        <w:numPr>
          <w:ilvl w:val="1"/>
          <w:numId w:val="33"/>
        </w:numPr>
        <w:suppressAutoHyphens/>
        <w:spacing w:line="240" w:lineRule="auto"/>
        <w:ind w:left="1434" w:right="11" w:hanging="357"/>
        <w:rPr>
          <w:rFonts w:ascii="Arial" w:hAnsi="Arial" w:cs="Arial"/>
        </w:rPr>
      </w:pPr>
      <w:r w:rsidRPr="008A2762">
        <w:rPr>
          <w:rFonts w:ascii="Arial" w:hAnsi="Arial" w:cs="Arial"/>
        </w:rPr>
        <w:t>Stylist (women, men);</w:t>
      </w:r>
    </w:p>
    <w:p w14:paraId="04471037" w14:textId="77777777" w:rsidR="00F47ED3" w:rsidRPr="008A2762" w:rsidRDefault="00F47ED3" w:rsidP="007C295F">
      <w:pPr>
        <w:pStyle w:val="ListParagraph"/>
        <w:widowControl w:val="0"/>
        <w:numPr>
          <w:ilvl w:val="1"/>
          <w:numId w:val="33"/>
        </w:numPr>
        <w:suppressAutoHyphens/>
        <w:spacing w:line="240" w:lineRule="auto"/>
        <w:ind w:left="1434" w:right="11" w:hanging="357"/>
        <w:rPr>
          <w:rFonts w:ascii="Arial" w:hAnsi="Arial" w:cs="Arial"/>
        </w:rPr>
      </w:pPr>
      <w:r w:rsidRPr="008A2762">
        <w:rPr>
          <w:rFonts w:ascii="Arial" w:hAnsi="Arial" w:cs="Arial"/>
        </w:rPr>
        <w:t>Textile products specialist;</w:t>
      </w:r>
    </w:p>
    <w:p w14:paraId="3545C07C" w14:textId="77777777" w:rsidR="00F47ED3" w:rsidRPr="008A2762" w:rsidRDefault="00F47ED3" w:rsidP="007C295F">
      <w:pPr>
        <w:pStyle w:val="ListParagraph"/>
        <w:widowControl w:val="0"/>
        <w:numPr>
          <w:ilvl w:val="1"/>
          <w:numId w:val="33"/>
        </w:numPr>
        <w:suppressAutoHyphens/>
        <w:spacing w:line="240" w:lineRule="auto"/>
        <w:ind w:left="1434" w:right="11" w:hanging="357"/>
        <w:rPr>
          <w:rFonts w:ascii="Arial" w:hAnsi="Arial" w:cs="Arial"/>
        </w:rPr>
      </w:pPr>
      <w:r w:rsidRPr="008A2762">
        <w:rPr>
          <w:rFonts w:ascii="Arial" w:hAnsi="Arial" w:cs="Arial"/>
        </w:rPr>
        <w:t>Computer networks and systems technician.</w:t>
      </w:r>
    </w:p>
    <w:p w14:paraId="7B09C7FE" w14:textId="77777777" w:rsidR="00DE0597" w:rsidRPr="008A2762" w:rsidRDefault="00DE0597" w:rsidP="007C295F">
      <w:pPr>
        <w:pStyle w:val="ListParagraph"/>
        <w:widowControl w:val="0"/>
        <w:numPr>
          <w:ilvl w:val="0"/>
          <w:numId w:val="32"/>
        </w:numPr>
        <w:suppressAutoHyphens/>
        <w:spacing w:line="240" w:lineRule="auto"/>
        <w:ind w:left="714" w:hanging="357"/>
        <w:jc w:val="both"/>
        <w:rPr>
          <w:rFonts w:ascii="Arial" w:hAnsi="Arial" w:cs="Arial"/>
        </w:rPr>
      </w:pPr>
      <w:r>
        <w:rPr>
          <w:rFonts w:ascii="Arial" w:hAnsi="Arial" w:cs="Arial"/>
        </w:rPr>
        <w:t>s</w:t>
      </w:r>
      <w:r w:rsidRPr="008A2762">
        <w:rPr>
          <w:rFonts w:ascii="Arial" w:hAnsi="Arial" w:cs="Arial"/>
        </w:rPr>
        <w:t>atisfaction with their institution: 93.5% would choose the same institution (94.7% for 2014 graduates and 92.2% for 2012-2013 graduates), and 6.5% would not; 81.3% would choose the same profession (87% for 2014 graduates and 84.9% for 2012-2013);</w:t>
      </w:r>
    </w:p>
    <w:p w14:paraId="4FF618DB" w14:textId="77777777" w:rsidR="00F47ED3" w:rsidRPr="00F47ED3" w:rsidRDefault="00F47ED3" w:rsidP="009E3730">
      <w:pPr>
        <w:widowControl w:val="0"/>
        <w:suppressAutoHyphens/>
        <w:rPr>
          <w:rFonts w:cs="Arial"/>
        </w:rPr>
      </w:pPr>
    </w:p>
    <w:p w14:paraId="243C5840" w14:textId="77777777" w:rsidR="00F47ED3" w:rsidRPr="00F47ED3" w:rsidRDefault="00F47ED3" w:rsidP="009E3730">
      <w:pPr>
        <w:widowControl w:val="0"/>
        <w:suppressAutoHyphens/>
        <w:rPr>
          <w:rFonts w:cs="Arial"/>
        </w:rPr>
      </w:pPr>
      <w:r w:rsidRPr="00F47ED3">
        <w:rPr>
          <w:rFonts w:cs="Arial"/>
        </w:rPr>
        <w:t xml:space="preserve">A Barometer of Occupations developed by the MoES reflects rating of occupations by the number of graduates for the years 2013-2015, fast growing (for white and blues collars) and fast declining jobs which should suggest the VET applicants to make more informed choices. The Barometer is available at: </w:t>
      </w:r>
    </w:p>
    <w:p w14:paraId="3A12626C" w14:textId="77777777" w:rsidR="00F47ED3" w:rsidRPr="00F47ED3" w:rsidRDefault="006D7B13" w:rsidP="009E3730">
      <w:pPr>
        <w:widowControl w:val="0"/>
        <w:suppressAutoHyphens/>
        <w:rPr>
          <w:rFonts w:cs="Arial"/>
        </w:rPr>
      </w:pPr>
      <w:hyperlink r:id="rId32" w:history="1">
        <w:r w:rsidR="00F47ED3" w:rsidRPr="00F47ED3">
          <w:rPr>
            <w:rStyle w:val="Hyperlink"/>
            <w:sz w:val="22"/>
            <w:szCs w:val="22"/>
          </w:rPr>
          <w:t>http://vet.ge/en/</w:t>
        </w:r>
        <w:r w:rsidR="00F47ED3" w:rsidRPr="00F47ED3">
          <w:rPr>
            <w:rStyle w:val="Hyperlink"/>
            <w:rFonts w:ascii="Sylfaen" w:hAnsi="Sylfaen" w:cs="Sylfaen"/>
            <w:sz w:val="22"/>
            <w:szCs w:val="22"/>
          </w:rPr>
          <w:t>სიახლეები</w:t>
        </w:r>
        <w:r w:rsidR="00F47ED3" w:rsidRPr="00F47ED3">
          <w:rPr>
            <w:rStyle w:val="Hyperlink"/>
            <w:sz w:val="22"/>
            <w:szCs w:val="22"/>
          </w:rPr>
          <w:t>-</w:t>
        </w:r>
        <w:r w:rsidR="00F47ED3" w:rsidRPr="00F47ED3">
          <w:rPr>
            <w:rStyle w:val="Hyperlink"/>
            <w:rFonts w:ascii="Sylfaen" w:hAnsi="Sylfaen" w:cs="Sylfaen"/>
            <w:sz w:val="22"/>
            <w:szCs w:val="22"/>
          </w:rPr>
          <w:t>და</w:t>
        </w:r>
        <w:r w:rsidR="00F47ED3" w:rsidRPr="00F47ED3">
          <w:rPr>
            <w:rStyle w:val="Hyperlink"/>
            <w:sz w:val="22"/>
            <w:szCs w:val="22"/>
          </w:rPr>
          <w:t>-</w:t>
        </w:r>
        <w:r w:rsidR="00F47ED3" w:rsidRPr="00F47ED3">
          <w:rPr>
            <w:rStyle w:val="Hyperlink"/>
            <w:rFonts w:ascii="Sylfaen" w:hAnsi="Sylfaen" w:cs="Sylfaen"/>
            <w:sz w:val="22"/>
            <w:szCs w:val="22"/>
          </w:rPr>
          <w:t>მულტიმედია</w:t>
        </w:r>
        <w:r w:rsidR="00F47ED3" w:rsidRPr="00F47ED3">
          <w:rPr>
            <w:rStyle w:val="Hyperlink"/>
            <w:sz w:val="22"/>
            <w:szCs w:val="22"/>
          </w:rPr>
          <w:t>/</w:t>
        </w:r>
        <w:r w:rsidR="00F47ED3" w:rsidRPr="00F47ED3">
          <w:rPr>
            <w:rStyle w:val="Hyperlink"/>
            <w:rFonts w:ascii="Sylfaen" w:hAnsi="Sylfaen" w:cs="Sylfaen"/>
            <w:sz w:val="22"/>
            <w:szCs w:val="22"/>
          </w:rPr>
          <w:t>რესურსები</w:t>
        </w:r>
        <w:r w:rsidR="00F47ED3" w:rsidRPr="00F47ED3">
          <w:rPr>
            <w:rStyle w:val="Hyperlink"/>
            <w:sz w:val="22"/>
            <w:szCs w:val="22"/>
          </w:rPr>
          <w:t>/</w:t>
        </w:r>
        <w:r w:rsidR="00F47ED3" w:rsidRPr="00F47ED3">
          <w:rPr>
            <w:rStyle w:val="Hyperlink"/>
            <w:rFonts w:ascii="Sylfaen" w:hAnsi="Sylfaen" w:cs="Sylfaen"/>
            <w:sz w:val="22"/>
            <w:szCs w:val="22"/>
          </w:rPr>
          <w:t>კვლევები</w:t>
        </w:r>
        <w:r w:rsidR="00F47ED3" w:rsidRPr="00F47ED3">
          <w:rPr>
            <w:rStyle w:val="Hyperlink"/>
            <w:sz w:val="22"/>
            <w:szCs w:val="22"/>
          </w:rPr>
          <w:t>/</w:t>
        </w:r>
        <w:r w:rsidR="00F47ED3" w:rsidRPr="00F47ED3">
          <w:rPr>
            <w:rStyle w:val="Hyperlink"/>
            <w:rFonts w:ascii="Sylfaen" w:hAnsi="Sylfaen" w:cs="Sylfaen"/>
            <w:sz w:val="22"/>
            <w:szCs w:val="22"/>
          </w:rPr>
          <w:t>პროფესიათა</w:t>
        </w:r>
        <w:r w:rsidR="00F47ED3" w:rsidRPr="00F47ED3">
          <w:rPr>
            <w:rStyle w:val="Hyperlink"/>
            <w:sz w:val="22"/>
            <w:szCs w:val="22"/>
          </w:rPr>
          <w:t>-</w:t>
        </w:r>
        <w:r w:rsidR="00F47ED3" w:rsidRPr="00F47ED3">
          <w:rPr>
            <w:rStyle w:val="Hyperlink"/>
            <w:rFonts w:ascii="Sylfaen" w:hAnsi="Sylfaen" w:cs="Sylfaen"/>
            <w:sz w:val="22"/>
            <w:szCs w:val="22"/>
          </w:rPr>
          <w:t>რეიტინგი</w:t>
        </w:r>
        <w:r w:rsidR="00F47ED3" w:rsidRPr="00F47ED3">
          <w:rPr>
            <w:rStyle w:val="Hyperlink"/>
            <w:sz w:val="22"/>
            <w:szCs w:val="22"/>
          </w:rPr>
          <w:t>-2015-</w:t>
        </w:r>
        <w:r w:rsidR="00F47ED3" w:rsidRPr="00F47ED3">
          <w:rPr>
            <w:rStyle w:val="Hyperlink"/>
            <w:rFonts w:ascii="Sylfaen" w:hAnsi="Sylfaen" w:cs="Sylfaen"/>
            <w:sz w:val="22"/>
            <w:szCs w:val="22"/>
          </w:rPr>
          <w:t>წლი</w:t>
        </w:r>
        <w:r w:rsidR="00F47ED3" w:rsidRPr="00F47ED3">
          <w:rPr>
            <w:rStyle w:val="Hyperlink"/>
            <w:sz w:val="22"/>
            <w:szCs w:val="22"/>
          </w:rPr>
          <w:t>-2/</w:t>
        </w:r>
      </w:hyperlink>
    </w:p>
    <w:p w14:paraId="0353AD2E" w14:textId="77777777" w:rsidR="009601AE" w:rsidRPr="00144350" w:rsidRDefault="009601AE" w:rsidP="009E3730">
      <w:pPr>
        <w:widowControl w:val="0"/>
        <w:suppressAutoHyphens/>
        <w:rPr>
          <w:highlight w:val="yellow"/>
        </w:rPr>
      </w:pPr>
    </w:p>
    <w:p w14:paraId="13F2831D" w14:textId="2E9F99EF" w:rsidR="00CC7721" w:rsidRDefault="009601AE" w:rsidP="009E3730">
      <w:pPr>
        <w:widowControl w:val="0"/>
        <w:suppressAutoHyphens/>
      </w:pPr>
      <w:r w:rsidRPr="00EE66E6">
        <w:lastRenderedPageBreak/>
        <w:t>A</w:t>
      </w:r>
      <w:r w:rsidR="00A57443">
        <w:t>n analysis of the EU VEGE TA based on 2015 figures from EMIS found that a</w:t>
      </w:r>
      <w:r w:rsidRPr="00EE66E6">
        <w:t xml:space="preserve">lthough passage into VET after completing the compulsory Grade 9 in secondary school was an emphasis in early VET Strategy, 90% of </w:t>
      </w:r>
      <w:r w:rsidR="003A0C37" w:rsidRPr="00EE66E6">
        <w:t xml:space="preserve">such secondary school </w:t>
      </w:r>
      <w:r w:rsidRPr="00EE66E6">
        <w:t>pupils continue</w:t>
      </w:r>
      <w:r w:rsidR="003A0C37" w:rsidRPr="00EE66E6">
        <w:t>d</w:t>
      </w:r>
      <w:r w:rsidRPr="00EE66E6">
        <w:t xml:space="preserve"> in general education Grade 10 and only 1.07% passed into VET programmes (the balance of 15-19 year olds (about 8%) drop out and appear as neither in education and training or employment - i.e. NEETs). </w:t>
      </w:r>
      <w:r w:rsidR="00A57443">
        <w:t>The</w:t>
      </w:r>
      <w:r w:rsidR="008A7B43">
        <w:t xml:space="preserve">study </w:t>
      </w:r>
      <w:r w:rsidR="00A57443">
        <w:t>reported that</w:t>
      </w:r>
      <w:r w:rsidR="008A7B43">
        <w:t xml:space="preserve"> about 24% of </w:t>
      </w:r>
      <w:r w:rsidR="00A57443">
        <w:t xml:space="preserve">VET </w:t>
      </w:r>
      <w:r w:rsidR="008A7B43">
        <w:t xml:space="preserve">students were aged 19 and under on enrolment, </w:t>
      </w:r>
      <w:r w:rsidR="000576BE" w:rsidRPr="00EE66E6">
        <w:t>3</w:t>
      </w:r>
      <w:r w:rsidR="008A7B43">
        <w:t>1%</w:t>
      </w:r>
      <w:r w:rsidR="000576BE" w:rsidRPr="00EE66E6">
        <w:t xml:space="preserve"> were aged 20-24, 1</w:t>
      </w:r>
      <w:r w:rsidR="008A7B43">
        <w:t>0%</w:t>
      </w:r>
      <w:r w:rsidR="000576BE" w:rsidRPr="00EE66E6">
        <w:t xml:space="preserve"> aged 25-29, the remainder (about 35</w:t>
      </w:r>
      <w:r w:rsidR="008A7B43">
        <w:t>%</w:t>
      </w:r>
      <w:r w:rsidR="000576BE" w:rsidRPr="00EE66E6">
        <w:t xml:space="preserve">) progressively decreasing over subsequent age groups to age 60-70. </w:t>
      </w:r>
      <w:r w:rsidR="000576BE">
        <w:t>EMIS</w:t>
      </w:r>
      <w:r w:rsidR="0046691B">
        <w:t xml:space="preserve"> on the other hand</w:t>
      </w:r>
      <w:r w:rsidR="000576BE">
        <w:t>, report</w:t>
      </w:r>
      <w:r w:rsidR="00A57443">
        <w:t>ed</w:t>
      </w:r>
      <w:r w:rsidR="000576BE">
        <w:t xml:space="preserve"> that </w:t>
      </w:r>
      <w:r w:rsidR="008A7B43">
        <w:t>of 17547 registrants</w:t>
      </w:r>
      <w:r w:rsidR="00A57443">
        <w:t>/applicants</w:t>
      </w:r>
      <w:r w:rsidR="008A7B43">
        <w:t xml:space="preserve"> </w:t>
      </w:r>
      <w:r w:rsidR="000576BE">
        <w:t>i</w:t>
      </w:r>
      <w:r w:rsidRPr="00EE66E6">
        <w:t>n 2015</w:t>
      </w:r>
      <w:r w:rsidR="008A7B43">
        <w:t>,</w:t>
      </w:r>
      <w:r w:rsidRPr="00EE66E6">
        <w:t xml:space="preserve"> </w:t>
      </w:r>
      <w:r w:rsidR="000576BE">
        <w:t>5806</w:t>
      </w:r>
      <w:r w:rsidRPr="00EE66E6">
        <w:t xml:space="preserve"> </w:t>
      </w:r>
      <w:r w:rsidR="008A7B43">
        <w:t>(or 33%) were aged 15-19</w:t>
      </w:r>
      <w:r w:rsidRPr="00EE66E6">
        <w:t xml:space="preserve">, </w:t>
      </w:r>
      <w:r w:rsidR="000576BE">
        <w:t>5663</w:t>
      </w:r>
      <w:r w:rsidRPr="00EE66E6">
        <w:t xml:space="preserve"> </w:t>
      </w:r>
      <w:r w:rsidR="008A7B43">
        <w:t xml:space="preserve">(or 32%) </w:t>
      </w:r>
      <w:r w:rsidRPr="00EE66E6">
        <w:t xml:space="preserve">were aged 20-24, </w:t>
      </w:r>
      <w:r w:rsidR="000576BE">
        <w:t>2441</w:t>
      </w:r>
      <w:r w:rsidRPr="00EE66E6">
        <w:t xml:space="preserve"> </w:t>
      </w:r>
      <w:r w:rsidR="008A7B43">
        <w:t xml:space="preserve">(or 14%) </w:t>
      </w:r>
      <w:r w:rsidRPr="00EE66E6">
        <w:t xml:space="preserve">aged 25-29, </w:t>
      </w:r>
      <w:r w:rsidR="000576BE">
        <w:t xml:space="preserve">and </w:t>
      </w:r>
      <w:r w:rsidRPr="00EE66E6">
        <w:t>the remainder (3</w:t>
      </w:r>
      <w:r w:rsidR="008A7B43">
        <w:t>637 or 21%</w:t>
      </w:r>
      <w:r w:rsidRPr="00EE66E6">
        <w:t xml:space="preserve">) </w:t>
      </w:r>
      <w:r w:rsidR="008A7B43">
        <w:t xml:space="preserve">aged over 30 (mainly 30s and 40s but </w:t>
      </w:r>
      <w:r w:rsidR="00936712">
        <w:t>including significant numbers in their 50s and 60s and some even over 70)</w:t>
      </w:r>
      <w:r w:rsidR="00CC7721">
        <w:t xml:space="preserve">. Comparing the figures suggests </w:t>
      </w:r>
      <w:r w:rsidR="00936712">
        <w:t>that many younger applicants either fail to get places, or opt for alternative pathways</w:t>
      </w:r>
      <w:r w:rsidRPr="00EE66E6">
        <w:t xml:space="preserve">. </w:t>
      </w:r>
    </w:p>
    <w:p w14:paraId="67F009BA" w14:textId="77777777" w:rsidR="00CC7721" w:rsidRDefault="00CC7721" w:rsidP="009E3730">
      <w:pPr>
        <w:widowControl w:val="0"/>
        <w:suppressAutoHyphens/>
      </w:pPr>
    </w:p>
    <w:p w14:paraId="2CB33837" w14:textId="3BE134E0" w:rsidR="00EE66E6" w:rsidRPr="00EE66E6" w:rsidRDefault="009601AE" w:rsidP="009E3730">
      <w:pPr>
        <w:widowControl w:val="0"/>
        <w:suppressAutoHyphens/>
      </w:pPr>
      <w:r w:rsidRPr="00EE66E6">
        <w:t>With m</w:t>
      </w:r>
      <w:r w:rsidR="00CC7721">
        <w:t>any</w:t>
      </w:r>
      <w:r w:rsidRPr="00EE66E6">
        <w:t xml:space="preserve"> courses of a duration of less than one year, the age distribution of graduates </w:t>
      </w:r>
      <w:r w:rsidR="003A0C37" w:rsidRPr="00EE66E6">
        <w:t xml:space="preserve">would </w:t>
      </w:r>
      <w:r w:rsidRPr="00EE66E6">
        <w:t>be expected to be similar</w:t>
      </w:r>
      <w:r w:rsidR="00936712">
        <w:t xml:space="preserve"> to that for enrolled students</w:t>
      </w:r>
      <w:r w:rsidRPr="00EE66E6">
        <w:t xml:space="preserve">, a feature that is likely to impact on post-graduate employment patterns. </w:t>
      </w:r>
      <w:r w:rsidR="003A0C37" w:rsidRPr="00EE66E6">
        <w:t>T</w:t>
      </w:r>
      <w:r w:rsidRPr="00EE66E6">
        <w:t>he tracer study</w:t>
      </w:r>
      <w:r w:rsidR="003A0C37" w:rsidRPr="00EE66E6">
        <w:t>,</w:t>
      </w:r>
      <w:r w:rsidRPr="00EE66E6">
        <w:t xml:space="preserve"> </w:t>
      </w:r>
      <w:r w:rsidR="003A0C37" w:rsidRPr="00EE66E6">
        <w:t>however, showed only 22% of students had employment prior to their course</w:t>
      </w:r>
      <w:r w:rsidR="006B1CD6" w:rsidRPr="00EE66E6">
        <w:t>, whereas the EU VEG</w:t>
      </w:r>
      <w:r w:rsidR="0046691B">
        <w:t>E</w:t>
      </w:r>
      <w:r w:rsidR="006B1CD6" w:rsidRPr="00EE66E6">
        <w:t xml:space="preserve"> TA study had nearly 70% aged over 20, 45% over 25. Although not all older students may have been in previous employment, this discrepancy suggests that the students that responded to the </w:t>
      </w:r>
      <w:r w:rsidR="00F84FD8">
        <w:t>tracer study</w:t>
      </w:r>
      <w:r w:rsidR="003A0C37" w:rsidRPr="00EE66E6">
        <w:t xml:space="preserve"> </w:t>
      </w:r>
      <w:r w:rsidR="006B1CD6" w:rsidRPr="00EE66E6">
        <w:t xml:space="preserve">were disproportionately biased towards the younger age groups, raising doubts as to relevance of some conclusions on the value of VET courses. The tracer study reported that only 34% of respondents had gained employment since completing their course a year to eighteen months earlier, but it can be expected that reemployment rates among older </w:t>
      </w:r>
      <w:r w:rsidR="00DE0597" w:rsidRPr="00EE66E6">
        <w:t>graduates not covered by the study would have been higher</w:t>
      </w:r>
      <w:r w:rsidR="00A168E0" w:rsidRPr="00EE66E6">
        <w:t xml:space="preserve"> (older students with previous employment history should be better able to get better paid jobs after skills enhancement)</w:t>
      </w:r>
      <w:r w:rsidR="00DE0597" w:rsidRPr="00EE66E6">
        <w:t xml:space="preserve">. Still this is a relatively poor outcome. Furthermore, </w:t>
      </w:r>
      <w:r w:rsidR="00AF768E" w:rsidRPr="00EE66E6">
        <w:t xml:space="preserve">of those employed, only 48% reported that their employment related to the qualifications gained and only 57% </w:t>
      </w:r>
      <w:r w:rsidR="00A168E0" w:rsidRPr="00EE66E6">
        <w:t xml:space="preserve">of those </w:t>
      </w:r>
      <w:r w:rsidR="00AF768E" w:rsidRPr="00EE66E6">
        <w:t xml:space="preserve">reported that such qualifications complied with the requirements of the employment pursued. </w:t>
      </w:r>
      <w:r w:rsidR="00A168E0" w:rsidRPr="00EE66E6">
        <w:t xml:space="preserve">In other words, only 16% of respondents gained employment in jobs related to the qualifications they pursued, and for only 9% did those qualifications respond in whole or in part to the requirements of the job. While inclusion of </w:t>
      </w:r>
      <w:r w:rsidR="00532687">
        <w:t xml:space="preserve">a larger proportion of </w:t>
      </w:r>
      <w:r w:rsidR="00A168E0" w:rsidRPr="00EE66E6">
        <w:t xml:space="preserve">older students could be expected to improve these figures, they are nonetheless a terrible indictment of the VET system, which in any case caters for only 1% of school-leavers, but then the tracer study suggests that perhaps the other 99% are making the right decision. </w:t>
      </w:r>
    </w:p>
    <w:p w14:paraId="420FB6D4" w14:textId="77777777" w:rsidR="00EE66E6" w:rsidRPr="00EE66E6" w:rsidRDefault="00EE66E6" w:rsidP="009E3730">
      <w:pPr>
        <w:widowControl w:val="0"/>
        <w:suppressAutoHyphens/>
      </w:pPr>
    </w:p>
    <w:p w14:paraId="1F761E62" w14:textId="3CB2D454" w:rsidR="00A168E0" w:rsidRPr="00EE66E6" w:rsidRDefault="00EE66E6" w:rsidP="009E3730">
      <w:pPr>
        <w:widowControl w:val="0"/>
        <w:suppressAutoHyphens/>
      </w:pPr>
      <w:r w:rsidRPr="00EE66E6">
        <w:t>This means that t</w:t>
      </w:r>
      <w:r w:rsidR="00A168E0" w:rsidRPr="00EE66E6">
        <w:t>here are important lessons to be learned</w:t>
      </w:r>
      <w:r w:rsidRPr="00EE66E6">
        <w:t xml:space="preserve"> from the tracer study (lessons that were also evident from earlier studies</w:t>
      </w:r>
      <w:r w:rsidR="00E03F71">
        <w:t>)</w:t>
      </w:r>
      <w:r w:rsidR="00A168E0" w:rsidRPr="00EE66E6">
        <w:t>.</w:t>
      </w:r>
      <w:r w:rsidRPr="00EE66E6">
        <w:t xml:space="preserve"> The study should not be considered an academic exercise undertaken to meet EU programme but an important input into both policy decisions and the practical application of the process of determination of occupational standards, curricula, workplace learning and teacher training. Further, there is a need to radically overhaul the approach to conducting tracer studies to ensure better coverage and more balanced spread of respondents, and greater in-depth analysis of results and honesty in interpreting the implications.</w:t>
      </w:r>
    </w:p>
    <w:p w14:paraId="127AE0C7" w14:textId="77777777" w:rsidR="009601AE" w:rsidRDefault="009601AE" w:rsidP="009E3730">
      <w:pPr>
        <w:widowControl w:val="0"/>
        <w:suppressAutoHyphens/>
      </w:pPr>
    </w:p>
    <w:p w14:paraId="0F0DEC97" w14:textId="77777777" w:rsidR="009601AE" w:rsidRDefault="009601AE" w:rsidP="009E3730">
      <w:pPr>
        <w:pStyle w:val="Heading3"/>
        <w:widowControl w:val="0"/>
        <w:suppressAutoHyphens/>
      </w:pPr>
      <w:bookmarkStart w:id="67" w:name="_Toc404511349"/>
      <w:bookmarkStart w:id="68" w:name="_Toc413019056"/>
      <w:bookmarkStart w:id="69" w:name="_Toc486837769"/>
      <w:r>
        <w:t>ii)</w:t>
      </w:r>
      <w:r>
        <w:tab/>
        <w:t>Specific Condition 3.2:</w:t>
      </w:r>
      <w:r>
        <w:rPr>
          <w:lang w:eastAsia="en-GB"/>
        </w:rPr>
        <w:t xml:space="preserve"> Increased awareness of VET amongst potential students and employers.</w:t>
      </w:r>
      <w:bookmarkEnd w:id="67"/>
      <w:bookmarkEnd w:id="68"/>
      <w:bookmarkEnd w:id="69"/>
    </w:p>
    <w:p w14:paraId="243A1C79" w14:textId="77777777" w:rsidR="009601AE" w:rsidRDefault="009601AE" w:rsidP="009E3730">
      <w:pPr>
        <w:widowControl w:val="0"/>
        <w:suppressAutoHyphens/>
      </w:pPr>
    </w:p>
    <w:p w14:paraId="64630999" w14:textId="77777777" w:rsidR="009601AE" w:rsidRPr="006B1542" w:rsidRDefault="009601AE" w:rsidP="009E3730">
      <w:pPr>
        <w:widowControl w:val="0"/>
        <w:suppressAutoHyphens/>
      </w:pPr>
      <w:r w:rsidRPr="006B1542">
        <w:rPr>
          <w:bCs/>
        </w:rPr>
        <w:t>Potential value: €1.0mn.</w:t>
      </w:r>
    </w:p>
    <w:p w14:paraId="467422E6" w14:textId="77777777" w:rsidR="009601AE" w:rsidRDefault="009601AE" w:rsidP="009E3730">
      <w:pPr>
        <w:widowControl w:val="0"/>
        <w:suppressAutoHyphens/>
      </w:pPr>
    </w:p>
    <w:p w14:paraId="706BB61B" w14:textId="15854BF2" w:rsidR="009601AE" w:rsidRDefault="009601AE" w:rsidP="009E3730">
      <w:pPr>
        <w:widowControl w:val="0"/>
        <w:suppressAutoHyphens/>
        <w:ind w:right="580"/>
        <w:rPr>
          <w:b/>
          <w:bCs/>
          <w:i/>
          <w:iCs/>
          <w:sz w:val="24"/>
          <w:szCs w:val="24"/>
        </w:rPr>
      </w:pPr>
      <w:r>
        <w:rPr>
          <w:b/>
          <w:bCs/>
          <w:u w:val="single"/>
        </w:rPr>
        <w:t>Review Assessment</w:t>
      </w:r>
      <w:r>
        <w:rPr>
          <w:b/>
          <w:bCs/>
        </w:rPr>
        <w:t>: compliance.</w:t>
      </w:r>
    </w:p>
    <w:p w14:paraId="35BF5230" w14:textId="77777777" w:rsidR="006911D7" w:rsidRDefault="006911D7" w:rsidP="009E3730">
      <w:pPr>
        <w:widowControl w:val="0"/>
        <w:suppressAutoHyphens/>
      </w:pPr>
    </w:p>
    <w:p w14:paraId="6F3620DE" w14:textId="07C0DC06" w:rsidR="009601AE" w:rsidRDefault="006911D7" w:rsidP="009E3730">
      <w:pPr>
        <w:widowControl w:val="0"/>
        <w:suppressAutoHyphens/>
        <w:ind w:left="1134" w:right="580" w:hanging="1134"/>
      </w:pPr>
      <w:r>
        <w:t>Score: 1.00. Recommended disbursement: €1.0mn.</w:t>
      </w:r>
    </w:p>
    <w:p w14:paraId="0CC58AD4" w14:textId="77777777" w:rsidR="006911D7" w:rsidRDefault="006911D7" w:rsidP="009E3730">
      <w:pPr>
        <w:widowControl w:val="0"/>
        <w:suppressAutoHyphens/>
        <w:ind w:left="1134" w:right="580" w:hanging="1134"/>
        <w:rPr>
          <w:b/>
          <w:bCs/>
          <w:i/>
          <w:iCs/>
          <w:sz w:val="24"/>
          <w:szCs w:val="24"/>
        </w:rPr>
      </w:pPr>
    </w:p>
    <w:p w14:paraId="0A97D69E" w14:textId="77777777" w:rsidR="009601AE" w:rsidRDefault="009601AE" w:rsidP="009E3730">
      <w:pPr>
        <w:widowControl w:val="0"/>
        <w:suppressAutoHyphens/>
        <w:rPr>
          <w:b/>
          <w:bCs/>
          <w:i/>
          <w:iCs/>
          <w:lang w:eastAsia="en-GB"/>
        </w:rPr>
      </w:pPr>
      <w:r>
        <w:rPr>
          <w:b/>
          <w:bCs/>
          <w:u w:val="single"/>
        </w:rPr>
        <w:t>Indicator 3.2.1</w:t>
      </w:r>
      <w:r>
        <w:rPr>
          <w:b/>
          <w:bCs/>
        </w:rPr>
        <w:t xml:space="preserve">: </w:t>
      </w:r>
      <w:r>
        <w:rPr>
          <w:b/>
          <w:bCs/>
          <w:i/>
          <w:iCs/>
          <w:lang w:eastAsia="en-GB"/>
        </w:rPr>
        <w:t xml:space="preserve">10% increase in student application to VET courses over the period </w:t>
      </w:r>
      <w:r>
        <w:rPr>
          <w:b/>
          <w:bCs/>
          <w:i/>
          <w:iCs/>
          <w:lang w:eastAsia="en-GB"/>
        </w:rPr>
        <w:lastRenderedPageBreak/>
        <w:t>compared to the baseline data of 31.12.2013.</w:t>
      </w:r>
    </w:p>
    <w:p w14:paraId="7E112983" w14:textId="77777777" w:rsidR="009601AE" w:rsidRDefault="009601AE" w:rsidP="009E3730">
      <w:pPr>
        <w:widowControl w:val="0"/>
        <w:suppressAutoHyphens/>
        <w:rPr>
          <w:i/>
          <w:iCs/>
          <w:lang w:eastAsia="en-GB"/>
        </w:rPr>
      </w:pPr>
    </w:p>
    <w:p w14:paraId="737276AE" w14:textId="77777777" w:rsidR="009601AE" w:rsidRDefault="009601AE" w:rsidP="009E3730">
      <w:pPr>
        <w:widowControl w:val="0"/>
        <w:suppressAutoHyphens/>
      </w:pPr>
      <w:r>
        <w:t xml:space="preserve">Source of Verification: </w:t>
      </w:r>
    </w:p>
    <w:p w14:paraId="093FE73A" w14:textId="77777777" w:rsidR="009601AE" w:rsidRDefault="009601AE" w:rsidP="009E3730">
      <w:pPr>
        <w:widowControl w:val="0"/>
        <w:numPr>
          <w:ilvl w:val="0"/>
          <w:numId w:val="1"/>
        </w:numPr>
        <w:suppressAutoHyphens/>
        <w:autoSpaceDE w:val="0"/>
        <w:autoSpaceDN w:val="0"/>
        <w:ind w:left="714" w:hanging="357"/>
        <w:rPr>
          <w:lang w:eastAsia="en-GB"/>
        </w:rPr>
      </w:pPr>
      <w:r>
        <w:rPr>
          <w:lang w:eastAsia="en-GB"/>
        </w:rPr>
        <w:t>MoES Annual Report;</w:t>
      </w:r>
    </w:p>
    <w:p w14:paraId="739652D7" w14:textId="77777777" w:rsidR="009601AE" w:rsidRDefault="009601AE" w:rsidP="009E3730">
      <w:pPr>
        <w:widowControl w:val="0"/>
        <w:numPr>
          <w:ilvl w:val="0"/>
          <w:numId w:val="1"/>
        </w:numPr>
        <w:suppressAutoHyphens/>
        <w:autoSpaceDE w:val="0"/>
        <w:autoSpaceDN w:val="0"/>
        <w:ind w:left="714" w:hanging="357"/>
        <w:rPr>
          <w:lang w:eastAsia="en-GB"/>
        </w:rPr>
      </w:pPr>
      <w:r>
        <w:rPr>
          <w:lang w:eastAsia="en-GB"/>
        </w:rPr>
        <w:t>Info-Centres Reports.</w:t>
      </w:r>
    </w:p>
    <w:p w14:paraId="68F4F9D7" w14:textId="77777777" w:rsidR="009601AE" w:rsidRDefault="009601AE" w:rsidP="009E3730">
      <w:pPr>
        <w:widowControl w:val="0"/>
        <w:suppressAutoHyphens/>
        <w:ind w:right="580"/>
        <w:rPr>
          <w:b/>
          <w:bCs/>
          <w:i/>
          <w:iCs/>
        </w:rPr>
      </w:pPr>
    </w:p>
    <w:p w14:paraId="19219123" w14:textId="551AD12C" w:rsidR="009601AE" w:rsidRDefault="009601AE" w:rsidP="009E3730">
      <w:pPr>
        <w:widowControl w:val="0"/>
        <w:suppressAutoHyphens/>
        <w:ind w:right="580"/>
        <w:rPr>
          <w:b/>
          <w:bCs/>
          <w:i/>
          <w:iCs/>
        </w:rPr>
      </w:pPr>
      <w:r>
        <w:rPr>
          <w:b/>
          <w:bCs/>
          <w:u w:val="single"/>
        </w:rPr>
        <w:t>Review Assessment</w:t>
      </w:r>
      <w:r>
        <w:rPr>
          <w:b/>
          <w:bCs/>
        </w:rPr>
        <w:t>: fulfilled.</w:t>
      </w:r>
    </w:p>
    <w:p w14:paraId="37C9B200" w14:textId="77777777" w:rsidR="009601AE" w:rsidRDefault="009601AE" w:rsidP="009E3730">
      <w:pPr>
        <w:widowControl w:val="0"/>
        <w:suppressAutoHyphens/>
      </w:pPr>
    </w:p>
    <w:p w14:paraId="05B96FAE" w14:textId="49B1CB93" w:rsidR="00E03F71" w:rsidRDefault="00E03F71" w:rsidP="009E3730">
      <w:pPr>
        <w:widowControl w:val="0"/>
        <w:suppressAutoHyphens/>
        <w:rPr>
          <w:rFonts w:eastAsia="Times New Roman" w:cs="Times New Roman"/>
        </w:rPr>
      </w:pPr>
      <w:r>
        <w:rPr>
          <w:rFonts w:eastAsia="Times New Roman" w:cs="Times New Roman"/>
        </w:rPr>
        <w:t>T</w:t>
      </w:r>
      <w:r w:rsidRPr="00553DD8">
        <w:rPr>
          <w:rFonts w:eastAsia="Times New Roman" w:cs="Times New Roman"/>
        </w:rPr>
        <w:t xml:space="preserve">here </w:t>
      </w:r>
      <w:r>
        <w:rPr>
          <w:rFonts w:eastAsia="Times New Roman" w:cs="Times New Roman"/>
        </w:rPr>
        <w:t>are</w:t>
      </w:r>
      <w:r w:rsidRPr="00553DD8">
        <w:rPr>
          <w:rFonts w:eastAsia="Times New Roman" w:cs="Times New Roman"/>
        </w:rPr>
        <w:t xml:space="preserve"> three stages in application to VET colleges. Those interested in undertaking VET courses first register their interest with the colleges</w:t>
      </w:r>
      <w:r>
        <w:rPr>
          <w:rStyle w:val="FootnoteReference"/>
          <w:rFonts w:eastAsia="Times New Roman"/>
        </w:rPr>
        <w:footnoteReference w:id="71"/>
      </w:r>
      <w:r>
        <w:rPr>
          <w:rFonts w:eastAsia="Times New Roman" w:cs="Times New Roman"/>
        </w:rPr>
        <w:t xml:space="preserve"> </w:t>
      </w:r>
      <w:r w:rsidRPr="00553DD8">
        <w:rPr>
          <w:rFonts w:eastAsia="Times New Roman" w:cs="Times New Roman"/>
        </w:rPr>
        <w:t xml:space="preserve">and are known in the EMIS database as registrants. Such registrants </w:t>
      </w:r>
      <w:r>
        <w:rPr>
          <w:rFonts w:eastAsia="Times New Roman" w:cs="Times New Roman"/>
        </w:rPr>
        <w:t xml:space="preserve">(or “applicants” in MoES terminology) </w:t>
      </w:r>
      <w:r w:rsidRPr="00553DD8">
        <w:rPr>
          <w:rFonts w:eastAsia="Times New Roman" w:cs="Times New Roman"/>
        </w:rPr>
        <w:t xml:space="preserve">must then pass the entry exams qualifying their eligibility to take up such courses. Those successful in their exams become students once they are selected and signed by the college, a function not simply of their eligibility but of the decision of colleges </w:t>
      </w:r>
      <w:r>
        <w:rPr>
          <w:rFonts w:eastAsia="Times New Roman" w:cs="Times New Roman"/>
        </w:rPr>
        <w:t xml:space="preserve">(based on the competition results and the registrants’/applicants’ priorities) </w:t>
      </w:r>
      <w:r w:rsidRPr="00553DD8">
        <w:rPr>
          <w:rFonts w:eastAsia="Times New Roman" w:cs="Times New Roman"/>
        </w:rPr>
        <w:t xml:space="preserve">on which courses and the number of places they will in practice deliver. </w:t>
      </w:r>
      <w:r>
        <w:rPr>
          <w:rFonts w:eastAsia="Times New Roman" w:cs="Times New Roman"/>
        </w:rPr>
        <w:t xml:space="preserve">For 2016 EMIS reported </w:t>
      </w:r>
      <w:r w:rsidR="00AB38C8">
        <w:rPr>
          <w:rFonts w:eastAsia="Times New Roman" w:cs="Times New Roman"/>
        </w:rPr>
        <w:t>that there were 19523 registrants, of whom 15085 (or 77%) took the entry exam</w:t>
      </w:r>
      <w:r w:rsidR="00AB38C8">
        <w:rPr>
          <w:rStyle w:val="FootnoteReference"/>
          <w:rFonts w:eastAsia="Times New Roman"/>
        </w:rPr>
        <w:footnoteReference w:id="72"/>
      </w:r>
      <w:r w:rsidR="00AB38C8">
        <w:rPr>
          <w:rFonts w:eastAsia="Times New Roman" w:cs="Times New Roman"/>
        </w:rPr>
        <w:t xml:space="preserve">. 11124 of these (57% of registrants, 74% of those who took the exam) gained a place on a VET course. </w:t>
      </w:r>
      <w:r w:rsidR="00F46EEE">
        <w:rPr>
          <w:rFonts w:eastAsia="Times New Roman" w:cs="Times New Roman"/>
        </w:rPr>
        <w:t xml:space="preserve">Comparable figures for 2015 </w:t>
      </w:r>
      <w:r w:rsidR="00DB08EE">
        <w:rPr>
          <w:rFonts w:eastAsia="Times New Roman" w:cs="Times New Roman"/>
        </w:rPr>
        <w:t xml:space="preserve">show </w:t>
      </w:r>
      <w:r w:rsidR="00F46EEE">
        <w:rPr>
          <w:rFonts w:eastAsia="Times New Roman" w:cs="Times New Roman"/>
        </w:rPr>
        <w:t>a similar</w:t>
      </w:r>
      <w:r w:rsidR="00DB08EE">
        <w:rPr>
          <w:rFonts w:eastAsia="Times New Roman" w:cs="Times New Roman"/>
        </w:rPr>
        <w:t xml:space="preserve"> pattern</w:t>
      </w:r>
      <w:r w:rsidR="00F46EEE">
        <w:rPr>
          <w:rFonts w:eastAsia="Times New Roman" w:cs="Times New Roman"/>
        </w:rPr>
        <w:t>: 17547 registrants, of whom 13207 (or 75%) took the exam, and 10405 (59% of registrants, 79% of exam entrants) gained places.</w:t>
      </w:r>
    </w:p>
    <w:p w14:paraId="17FDEB56" w14:textId="77777777" w:rsidR="00AD5633" w:rsidRDefault="00AD5633" w:rsidP="009E3730">
      <w:pPr>
        <w:widowControl w:val="0"/>
        <w:suppressAutoHyphens/>
        <w:rPr>
          <w:rFonts w:eastAsia="Times New Roman" w:cs="Times New Roman"/>
        </w:rPr>
      </w:pPr>
    </w:p>
    <w:p w14:paraId="0339F26D" w14:textId="338869DE" w:rsidR="00AD5633" w:rsidRPr="00553DD8" w:rsidRDefault="00AD5633" w:rsidP="009E3730">
      <w:pPr>
        <w:widowControl w:val="0"/>
        <w:suppressAutoHyphens/>
        <w:rPr>
          <w:rFonts w:eastAsia="Times New Roman" w:cs="Times New Roman"/>
        </w:rPr>
      </w:pPr>
      <w:r>
        <w:rPr>
          <w:rFonts w:eastAsia="Times New Roman" w:cs="Times New Roman"/>
        </w:rPr>
        <w:t>MoES considers that compliance with this indicator relates to the number of those that register, and calls these applicants. However, only those that take the exam could properly be called applicants. Registrants register an interest in a VET course, but only those that take th</w:t>
      </w:r>
      <w:r w:rsidR="00D957FC">
        <w:rPr>
          <w:rFonts w:eastAsia="Times New Roman" w:cs="Times New Roman"/>
        </w:rPr>
        <w:t>e</w:t>
      </w:r>
      <w:r>
        <w:rPr>
          <w:rFonts w:eastAsia="Times New Roman" w:cs="Times New Roman"/>
        </w:rPr>
        <w:t xml:space="preserve"> exam could be said to be seriously intending to take a course. Unfortunately the Review does not have the breakdown of registrants in 2013, the baseline, into those that took the exam and those that did not. However, the number who sat the exam in 2016 showed a 14.2% increase on those that took it in 2015, suggesting that, given the year-on-year increase in registrants (see below), even without comparable 2013 baseline figures the 10% increase required to fulfil the Indicator has been exceeded.</w:t>
      </w:r>
    </w:p>
    <w:p w14:paraId="408BA69A" w14:textId="77777777" w:rsidR="00ED6DEF" w:rsidRPr="00553DD8" w:rsidRDefault="00ED6DEF" w:rsidP="009E3730">
      <w:pPr>
        <w:widowControl w:val="0"/>
        <w:suppressAutoHyphens/>
        <w:rPr>
          <w:rFonts w:eastAsia="Times New Roman" w:cs="Times New Roman"/>
        </w:rPr>
      </w:pPr>
    </w:p>
    <w:p w14:paraId="2BB13147" w14:textId="49B6410D" w:rsidR="008A143C" w:rsidRPr="00553DD8" w:rsidRDefault="00ED6DEF" w:rsidP="009E3730">
      <w:pPr>
        <w:widowControl w:val="0"/>
        <w:suppressAutoHyphens/>
        <w:ind w:right="26"/>
        <w:rPr>
          <w:rFonts w:eastAsia="Times New Roman" w:cs="Times New Roman"/>
        </w:rPr>
      </w:pPr>
      <w:r w:rsidRPr="00553DD8">
        <w:rPr>
          <w:rFonts w:eastAsia="Times New Roman" w:cs="Times New Roman"/>
        </w:rPr>
        <w:t xml:space="preserve">Information provided by the MoES statistical bulletin for 2013-2015 (see </w:t>
      </w:r>
      <w:r w:rsidR="008A143C">
        <w:rPr>
          <w:rFonts w:eastAsia="Times New Roman" w:cs="Times New Roman"/>
        </w:rPr>
        <w:t xml:space="preserve">Third Instalment </w:t>
      </w:r>
      <w:r w:rsidRPr="00553DD8">
        <w:rPr>
          <w:rFonts w:eastAsia="Times New Roman" w:cs="Times New Roman"/>
        </w:rPr>
        <w:t>Specific Condition 1.1, Indicator 1.1.2) gives the total number of registrants as 12876 in 2013, 15379 in 2014, and 17547 in 2015, suggesting an increase of 19.4% in 2014 and 14.1% in 2015, with an overall increase between 2013 and 2015 of 36.3%. The number of applicants, i.e. those eligible for places having passed the entry exam, does not appear to be reported in the bulletin, and was not made available to the Review through other sources.</w:t>
      </w:r>
      <w:r w:rsidR="008A143C">
        <w:rPr>
          <w:rFonts w:eastAsia="Times New Roman" w:cs="Times New Roman"/>
        </w:rPr>
        <w:t xml:space="preserve"> The figure for registrants reported by EMIS</w:t>
      </w:r>
      <w:r w:rsidR="008A143C" w:rsidRPr="00553DD8">
        <w:rPr>
          <w:rFonts w:eastAsia="Times New Roman" w:cs="Times New Roman"/>
        </w:rPr>
        <w:t xml:space="preserve"> </w:t>
      </w:r>
      <w:r w:rsidR="008A143C">
        <w:rPr>
          <w:rFonts w:eastAsia="Times New Roman" w:cs="Times New Roman"/>
        </w:rPr>
        <w:t xml:space="preserve">for 2016 of 19523 (MoES reported </w:t>
      </w:r>
      <w:r w:rsidR="008A143C" w:rsidRPr="00553DD8">
        <w:rPr>
          <w:rFonts w:eastAsia="Times New Roman" w:cs="Times New Roman"/>
        </w:rPr>
        <w:t>2058</w:t>
      </w:r>
      <w:r w:rsidR="008A143C">
        <w:rPr>
          <w:rFonts w:eastAsia="Times New Roman" w:cs="Times New Roman"/>
        </w:rPr>
        <w:t>0</w:t>
      </w:r>
      <w:r w:rsidR="003E2895">
        <w:rPr>
          <w:rFonts w:eastAsia="Times New Roman" w:cs="Times New Roman"/>
        </w:rPr>
        <w:t xml:space="preserve"> in its self-assessment report, but this is not verified by EMIS</w:t>
      </w:r>
      <w:r w:rsidR="008A143C">
        <w:rPr>
          <w:rFonts w:eastAsia="Times New Roman" w:cs="Times New Roman"/>
        </w:rPr>
        <w:t>)</w:t>
      </w:r>
      <w:r w:rsidR="008A143C" w:rsidRPr="00553DD8">
        <w:rPr>
          <w:rFonts w:eastAsia="Times New Roman" w:cs="Times New Roman"/>
        </w:rPr>
        <w:t xml:space="preserve"> </w:t>
      </w:r>
      <w:r w:rsidR="008A143C">
        <w:rPr>
          <w:rFonts w:eastAsia="Times New Roman" w:cs="Times New Roman"/>
        </w:rPr>
        <w:t xml:space="preserve">represents an 11.3% increase on 2015 and a 51.6% increase on the figure for 2013, again well above </w:t>
      </w:r>
      <w:r w:rsidR="00E55184">
        <w:rPr>
          <w:rFonts w:eastAsia="Times New Roman" w:cs="Times New Roman"/>
        </w:rPr>
        <w:t xml:space="preserve">the 10% requirement (see Table </w:t>
      </w:r>
      <w:r w:rsidR="00F46A5A">
        <w:rPr>
          <w:rFonts w:eastAsia="Times New Roman" w:cs="Times New Roman"/>
        </w:rPr>
        <w:t>8</w:t>
      </w:r>
      <w:r w:rsidR="008A143C">
        <w:rPr>
          <w:rFonts w:eastAsia="Times New Roman" w:cs="Times New Roman"/>
        </w:rPr>
        <w:t>)</w:t>
      </w:r>
      <w:r w:rsidR="008A143C" w:rsidRPr="00553DD8">
        <w:rPr>
          <w:rFonts w:eastAsia="Times New Roman" w:cs="Times New Roman"/>
        </w:rPr>
        <w:t xml:space="preserve">. </w:t>
      </w:r>
    </w:p>
    <w:p w14:paraId="488338F0" w14:textId="385EE62D" w:rsidR="00ED6DEF" w:rsidRPr="00553DD8" w:rsidRDefault="00ED6DEF" w:rsidP="009E3730">
      <w:pPr>
        <w:widowControl w:val="0"/>
        <w:suppressAutoHyphens/>
        <w:rPr>
          <w:rFonts w:eastAsia="Times New Roman" w:cs="Times New Roman"/>
        </w:rPr>
      </w:pPr>
    </w:p>
    <w:p w14:paraId="2F78E720" w14:textId="6FEA7B18" w:rsidR="009601AE" w:rsidRPr="00D72B08" w:rsidRDefault="009601AE" w:rsidP="009E3730">
      <w:pPr>
        <w:widowControl w:val="0"/>
        <w:suppressAutoHyphens/>
        <w:ind w:right="26"/>
        <w:jc w:val="center"/>
        <w:rPr>
          <w:b/>
        </w:rPr>
      </w:pPr>
      <w:r w:rsidRPr="00D72B08">
        <w:rPr>
          <w:b/>
        </w:rPr>
        <w:t xml:space="preserve">Table </w:t>
      </w:r>
      <w:r w:rsidR="00F46A5A">
        <w:rPr>
          <w:b/>
        </w:rPr>
        <w:t>8</w:t>
      </w:r>
      <w:r w:rsidRPr="00D72B08">
        <w:rPr>
          <w:b/>
        </w:rPr>
        <w:t>: State VET Providers: Applicants and Students 2013-2016</w:t>
      </w:r>
    </w:p>
    <w:p w14:paraId="4C47897F" w14:textId="77777777" w:rsidR="009601AE" w:rsidRDefault="009601AE" w:rsidP="009E3730">
      <w:pPr>
        <w:widowControl w:val="0"/>
        <w:suppressAutoHyphens/>
        <w:ind w:right="26"/>
      </w:pPr>
    </w:p>
    <w:tbl>
      <w:tblPr>
        <w:tblStyle w:val="TableGrid"/>
        <w:tblW w:w="0" w:type="auto"/>
        <w:jc w:val="center"/>
        <w:tblInd w:w="817" w:type="dxa"/>
        <w:tblLook w:val="04A0" w:firstRow="1" w:lastRow="0" w:firstColumn="1" w:lastColumn="0" w:noHBand="0" w:noVBand="1"/>
      </w:tblPr>
      <w:tblGrid>
        <w:gridCol w:w="843"/>
        <w:gridCol w:w="1410"/>
        <w:gridCol w:w="1125"/>
        <w:gridCol w:w="1271"/>
        <w:gridCol w:w="1369"/>
        <w:gridCol w:w="1125"/>
        <w:gridCol w:w="1343"/>
      </w:tblGrid>
      <w:tr w:rsidR="009601AE" w:rsidRPr="001E3C47" w14:paraId="715D1E70" w14:textId="77777777" w:rsidTr="00C90833">
        <w:trPr>
          <w:jc w:val="center"/>
        </w:trPr>
        <w:tc>
          <w:tcPr>
            <w:tcW w:w="843" w:type="dxa"/>
          </w:tcPr>
          <w:p w14:paraId="6F72A2ED" w14:textId="77777777" w:rsidR="009601AE" w:rsidRPr="001E3C47" w:rsidRDefault="009601AE" w:rsidP="009E3730">
            <w:pPr>
              <w:widowControl w:val="0"/>
              <w:suppressAutoHyphens/>
              <w:ind w:right="26"/>
              <w:jc w:val="center"/>
              <w:rPr>
                <w:rFonts w:ascii="Arial" w:hAnsi="Arial" w:cs="Arial"/>
                <w:b/>
              </w:rPr>
            </w:pPr>
          </w:p>
        </w:tc>
        <w:tc>
          <w:tcPr>
            <w:tcW w:w="1411" w:type="dxa"/>
          </w:tcPr>
          <w:p w14:paraId="1BE15D7A" w14:textId="77777777" w:rsidR="009601AE" w:rsidRPr="001E3C47" w:rsidRDefault="009601AE" w:rsidP="009E3730">
            <w:pPr>
              <w:widowControl w:val="0"/>
              <w:suppressAutoHyphens/>
              <w:ind w:right="26"/>
              <w:jc w:val="center"/>
              <w:rPr>
                <w:rFonts w:ascii="Arial" w:hAnsi="Arial" w:cs="Arial"/>
                <w:b/>
              </w:rPr>
            </w:pPr>
            <w:r w:rsidRPr="001E3C47">
              <w:rPr>
                <w:rFonts w:ascii="Arial" w:hAnsi="Arial" w:cs="Arial"/>
                <w:b/>
              </w:rPr>
              <w:t>Registrants,</w:t>
            </w:r>
          </w:p>
          <w:p w14:paraId="2FCBE312" w14:textId="77777777" w:rsidR="009601AE" w:rsidRPr="001E3C47" w:rsidRDefault="009601AE" w:rsidP="009E3730">
            <w:pPr>
              <w:widowControl w:val="0"/>
              <w:suppressAutoHyphens/>
              <w:ind w:right="26"/>
              <w:jc w:val="center"/>
              <w:rPr>
                <w:rFonts w:ascii="Arial" w:hAnsi="Arial" w:cs="Arial"/>
                <w:b/>
              </w:rPr>
            </w:pPr>
            <w:r w:rsidRPr="001E3C47">
              <w:rPr>
                <w:rFonts w:ascii="Arial" w:hAnsi="Arial" w:cs="Arial"/>
                <w:b/>
              </w:rPr>
              <w:t>Applicants</w:t>
            </w:r>
          </w:p>
        </w:tc>
        <w:tc>
          <w:tcPr>
            <w:tcW w:w="1129" w:type="dxa"/>
          </w:tcPr>
          <w:p w14:paraId="3BD2E389" w14:textId="77777777" w:rsidR="009601AE" w:rsidRPr="001E3C47" w:rsidRDefault="009601AE" w:rsidP="009E3730">
            <w:pPr>
              <w:widowControl w:val="0"/>
              <w:suppressAutoHyphens/>
              <w:ind w:right="26"/>
              <w:jc w:val="center"/>
              <w:rPr>
                <w:rFonts w:ascii="Arial" w:hAnsi="Arial" w:cs="Arial"/>
                <w:b/>
              </w:rPr>
            </w:pPr>
            <w:r w:rsidRPr="001E3C47">
              <w:rPr>
                <w:rFonts w:ascii="Arial" w:hAnsi="Arial" w:cs="Arial"/>
                <w:b/>
              </w:rPr>
              <w:t>% ch. previous year</w:t>
            </w:r>
          </w:p>
        </w:tc>
        <w:tc>
          <w:tcPr>
            <w:tcW w:w="1318" w:type="dxa"/>
          </w:tcPr>
          <w:p w14:paraId="246FC8E0" w14:textId="7AC7FEBA" w:rsidR="009601AE" w:rsidRPr="001E3C47" w:rsidRDefault="009601AE" w:rsidP="009E3730">
            <w:pPr>
              <w:widowControl w:val="0"/>
              <w:suppressAutoHyphens/>
              <w:ind w:right="26"/>
              <w:jc w:val="center"/>
              <w:rPr>
                <w:rFonts w:ascii="Arial" w:hAnsi="Arial" w:cs="Arial"/>
                <w:b/>
              </w:rPr>
            </w:pPr>
            <w:r w:rsidRPr="001E3C47">
              <w:rPr>
                <w:rFonts w:ascii="Arial" w:hAnsi="Arial" w:cs="Arial"/>
                <w:b/>
              </w:rPr>
              <w:t>% ch.</w:t>
            </w:r>
            <w:r w:rsidR="008B79DD">
              <w:rPr>
                <w:rFonts w:ascii="Arial" w:hAnsi="Arial" w:cs="Arial"/>
                <w:b/>
              </w:rPr>
              <w:t xml:space="preserve"> </w:t>
            </w:r>
            <w:r w:rsidRPr="001E3C47">
              <w:rPr>
                <w:rFonts w:ascii="Arial" w:hAnsi="Arial" w:cs="Arial"/>
                <w:b/>
              </w:rPr>
              <w:t>on 2013</w:t>
            </w:r>
          </w:p>
        </w:tc>
        <w:tc>
          <w:tcPr>
            <w:tcW w:w="1391" w:type="dxa"/>
          </w:tcPr>
          <w:p w14:paraId="6F7A0580" w14:textId="77777777" w:rsidR="009601AE" w:rsidRPr="001E3C47" w:rsidRDefault="009601AE" w:rsidP="009E3730">
            <w:pPr>
              <w:widowControl w:val="0"/>
              <w:suppressAutoHyphens/>
              <w:ind w:right="26"/>
              <w:jc w:val="center"/>
              <w:rPr>
                <w:rFonts w:ascii="Arial" w:hAnsi="Arial" w:cs="Arial"/>
                <w:b/>
              </w:rPr>
            </w:pPr>
            <w:r w:rsidRPr="001E3C47">
              <w:rPr>
                <w:rFonts w:ascii="Arial" w:hAnsi="Arial" w:cs="Arial"/>
                <w:b/>
              </w:rPr>
              <w:t>Enrolled Students</w:t>
            </w:r>
          </w:p>
        </w:tc>
        <w:tc>
          <w:tcPr>
            <w:tcW w:w="1129" w:type="dxa"/>
          </w:tcPr>
          <w:p w14:paraId="3731EE52" w14:textId="77777777" w:rsidR="009601AE" w:rsidRPr="001E3C47" w:rsidRDefault="009601AE" w:rsidP="009E3730">
            <w:pPr>
              <w:widowControl w:val="0"/>
              <w:suppressAutoHyphens/>
              <w:ind w:right="26"/>
              <w:jc w:val="center"/>
              <w:rPr>
                <w:rFonts w:ascii="Arial" w:hAnsi="Arial" w:cs="Arial"/>
                <w:b/>
              </w:rPr>
            </w:pPr>
            <w:r w:rsidRPr="001E3C47">
              <w:rPr>
                <w:rFonts w:ascii="Arial" w:hAnsi="Arial" w:cs="Arial"/>
                <w:b/>
              </w:rPr>
              <w:t>% ch. previous year</w:t>
            </w:r>
          </w:p>
        </w:tc>
        <w:tc>
          <w:tcPr>
            <w:tcW w:w="1265" w:type="dxa"/>
          </w:tcPr>
          <w:p w14:paraId="11908C25" w14:textId="44EC6665" w:rsidR="009601AE" w:rsidRPr="001E3C47" w:rsidRDefault="009601AE" w:rsidP="009E3730">
            <w:pPr>
              <w:widowControl w:val="0"/>
              <w:suppressAutoHyphens/>
              <w:ind w:right="26"/>
              <w:jc w:val="center"/>
              <w:rPr>
                <w:rFonts w:ascii="Arial" w:hAnsi="Arial" w:cs="Arial"/>
                <w:b/>
              </w:rPr>
            </w:pPr>
            <w:r w:rsidRPr="001E3C47">
              <w:rPr>
                <w:rFonts w:ascii="Arial" w:hAnsi="Arial" w:cs="Arial"/>
                <w:b/>
              </w:rPr>
              <w:t xml:space="preserve">Students as % </w:t>
            </w:r>
            <w:r w:rsidR="00802DA6">
              <w:rPr>
                <w:rFonts w:ascii="Arial" w:hAnsi="Arial" w:cs="Arial"/>
                <w:b/>
              </w:rPr>
              <w:t>Registrants</w:t>
            </w:r>
          </w:p>
        </w:tc>
      </w:tr>
      <w:tr w:rsidR="009601AE" w:rsidRPr="001E3C47" w14:paraId="6AAD2917" w14:textId="77777777" w:rsidTr="00C90833">
        <w:trPr>
          <w:jc w:val="center"/>
        </w:trPr>
        <w:tc>
          <w:tcPr>
            <w:tcW w:w="843" w:type="dxa"/>
          </w:tcPr>
          <w:p w14:paraId="1C6594F8" w14:textId="77777777" w:rsidR="009601AE" w:rsidRPr="001E3C47" w:rsidRDefault="009601AE" w:rsidP="009E3730">
            <w:pPr>
              <w:widowControl w:val="0"/>
              <w:suppressAutoHyphens/>
              <w:ind w:right="26"/>
              <w:rPr>
                <w:rFonts w:ascii="Arial" w:hAnsi="Arial" w:cs="Arial"/>
                <w:b/>
              </w:rPr>
            </w:pPr>
            <w:r w:rsidRPr="001E3C47">
              <w:rPr>
                <w:rFonts w:ascii="Arial" w:hAnsi="Arial" w:cs="Arial"/>
                <w:b/>
              </w:rPr>
              <w:t>2013</w:t>
            </w:r>
          </w:p>
        </w:tc>
        <w:tc>
          <w:tcPr>
            <w:tcW w:w="1411" w:type="dxa"/>
          </w:tcPr>
          <w:p w14:paraId="00109F53" w14:textId="77777777" w:rsidR="009601AE" w:rsidRPr="001E3C47" w:rsidRDefault="009601AE" w:rsidP="009E3730">
            <w:pPr>
              <w:widowControl w:val="0"/>
              <w:suppressAutoHyphens/>
              <w:ind w:right="26"/>
              <w:jc w:val="center"/>
              <w:rPr>
                <w:rFonts w:ascii="Arial" w:hAnsi="Arial" w:cs="Arial"/>
              </w:rPr>
            </w:pPr>
            <w:r w:rsidRPr="001E3C47">
              <w:rPr>
                <w:rFonts w:ascii="Arial" w:hAnsi="Arial" w:cs="Arial"/>
              </w:rPr>
              <w:t>12876</w:t>
            </w:r>
          </w:p>
        </w:tc>
        <w:tc>
          <w:tcPr>
            <w:tcW w:w="1129" w:type="dxa"/>
          </w:tcPr>
          <w:p w14:paraId="18BCF398" w14:textId="77777777" w:rsidR="009601AE" w:rsidRPr="001E3C47" w:rsidRDefault="009601AE" w:rsidP="009E3730">
            <w:pPr>
              <w:widowControl w:val="0"/>
              <w:suppressAutoHyphens/>
              <w:ind w:right="26"/>
              <w:jc w:val="center"/>
              <w:rPr>
                <w:rFonts w:ascii="Arial" w:hAnsi="Arial" w:cs="Arial"/>
              </w:rPr>
            </w:pPr>
          </w:p>
        </w:tc>
        <w:tc>
          <w:tcPr>
            <w:tcW w:w="1318" w:type="dxa"/>
          </w:tcPr>
          <w:p w14:paraId="23D9C9CA" w14:textId="77777777" w:rsidR="009601AE" w:rsidRPr="001E3C47" w:rsidRDefault="009601AE" w:rsidP="009E3730">
            <w:pPr>
              <w:widowControl w:val="0"/>
              <w:suppressAutoHyphens/>
              <w:ind w:right="26"/>
              <w:jc w:val="center"/>
              <w:rPr>
                <w:rFonts w:ascii="Arial" w:hAnsi="Arial" w:cs="Arial"/>
              </w:rPr>
            </w:pPr>
          </w:p>
        </w:tc>
        <w:tc>
          <w:tcPr>
            <w:tcW w:w="1391" w:type="dxa"/>
          </w:tcPr>
          <w:p w14:paraId="751F1B05" w14:textId="77777777" w:rsidR="009601AE" w:rsidRPr="001E3C47" w:rsidRDefault="009601AE" w:rsidP="009E3730">
            <w:pPr>
              <w:widowControl w:val="0"/>
              <w:suppressAutoHyphens/>
              <w:ind w:right="26"/>
              <w:jc w:val="center"/>
              <w:rPr>
                <w:rFonts w:ascii="Arial" w:hAnsi="Arial" w:cs="Arial"/>
              </w:rPr>
            </w:pPr>
            <w:r w:rsidRPr="001E3C47">
              <w:rPr>
                <w:rFonts w:ascii="Arial" w:hAnsi="Arial" w:cs="Arial"/>
              </w:rPr>
              <w:t>8871</w:t>
            </w:r>
          </w:p>
        </w:tc>
        <w:tc>
          <w:tcPr>
            <w:tcW w:w="1129" w:type="dxa"/>
          </w:tcPr>
          <w:p w14:paraId="455C983C" w14:textId="77777777" w:rsidR="009601AE" w:rsidRPr="001E3C47" w:rsidRDefault="009601AE" w:rsidP="009E3730">
            <w:pPr>
              <w:widowControl w:val="0"/>
              <w:suppressAutoHyphens/>
              <w:ind w:right="26"/>
              <w:jc w:val="center"/>
              <w:rPr>
                <w:rFonts w:ascii="Arial" w:hAnsi="Arial" w:cs="Arial"/>
              </w:rPr>
            </w:pPr>
          </w:p>
        </w:tc>
        <w:tc>
          <w:tcPr>
            <w:tcW w:w="1265" w:type="dxa"/>
          </w:tcPr>
          <w:p w14:paraId="0C4914BC" w14:textId="77777777" w:rsidR="009601AE" w:rsidRPr="001E3C47" w:rsidRDefault="009601AE" w:rsidP="009E3730">
            <w:pPr>
              <w:widowControl w:val="0"/>
              <w:suppressAutoHyphens/>
              <w:ind w:right="26"/>
              <w:jc w:val="center"/>
              <w:rPr>
                <w:rFonts w:ascii="Arial" w:hAnsi="Arial" w:cs="Arial"/>
              </w:rPr>
            </w:pPr>
            <w:r w:rsidRPr="001E3C47">
              <w:rPr>
                <w:rFonts w:ascii="Arial" w:hAnsi="Arial" w:cs="Arial"/>
              </w:rPr>
              <w:t>68.9</w:t>
            </w:r>
          </w:p>
        </w:tc>
      </w:tr>
      <w:tr w:rsidR="009601AE" w:rsidRPr="001E3C47" w14:paraId="46B70F98" w14:textId="77777777" w:rsidTr="00C90833">
        <w:trPr>
          <w:jc w:val="center"/>
        </w:trPr>
        <w:tc>
          <w:tcPr>
            <w:tcW w:w="843" w:type="dxa"/>
          </w:tcPr>
          <w:p w14:paraId="100E4B6C" w14:textId="77777777" w:rsidR="009601AE" w:rsidRPr="001E3C47" w:rsidRDefault="009601AE" w:rsidP="009E3730">
            <w:pPr>
              <w:widowControl w:val="0"/>
              <w:suppressAutoHyphens/>
              <w:ind w:right="26"/>
              <w:rPr>
                <w:rFonts w:ascii="Arial" w:hAnsi="Arial" w:cs="Arial"/>
                <w:b/>
              </w:rPr>
            </w:pPr>
            <w:r w:rsidRPr="001E3C47">
              <w:rPr>
                <w:rFonts w:ascii="Arial" w:hAnsi="Arial" w:cs="Arial"/>
                <w:b/>
              </w:rPr>
              <w:t>2014</w:t>
            </w:r>
          </w:p>
        </w:tc>
        <w:tc>
          <w:tcPr>
            <w:tcW w:w="1411" w:type="dxa"/>
          </w:tcPr>
          <w:p w14:paraId="0F702F93" w14:textId="77777777" w:rsidR="009601AE" w:rsidRPr="001E3C47" w:rsidRDefault="009601AE" w:rsidP="009E3730">
            <w:pPr>
              <w:widowControl w:val="0"/>
              <w:suppressAutoHyphens/>
              <w:ind w:right="26"/>
              <w:jc w:val="center"/>
              <w:rPr>
                <w:rFonts w:ascii="Arial" w:hAnsi="Arial" w:cs="Arial"/>
              </w:rPr>
            </w:pPr>
            <w:r w:rsidRPr="001E3C47">
              <w:rPr>
                <w:rFonts w:ascii="Arial" w:hAnsi="Arial" w:cs="Arial"/>
              </w:rPr>
              <w:t>15379</w:t>
            </w:r>
          </w:p>
        </w:tc>
        <w:tc>
          <w:tcPr>
            <w:tcW w:w="1129" w:type="dxa"/>
          </w:tcPr>
          <w:p w14:paraId="5DDDDCDD" w14:textId="77777777" w:rsidR="009601AE" w:rsidRPr="001E3C47" w:rsidRDefault="009601AE" w:rsidP="009E3730">
            <w:pPr>
              <w:widowControl w:val="0"/>
              <w:suppressAutoHyphens/>
              <w:ind w:right="26"/>
              <w:jc w:val="center"/>
              <w:rPr>
                <w:rFonts w:ascii="Arial" w:hAnsi="Arial" w:cs="Arial"/>
              </w:rPr>
            </w:pPr>
            <w:r w:rsidRPr="001E3C47">
              <w:rPr>
                <w:rFonts w:ascii="Arial" w:hAnsi="Arial" w:cs="Arial"/>
              </w:rPr>
              <w:t>19.4</w:t>
            </w:r>
          </w:p>
        </w:tc>
        <w:tc>
          <w:tcPr>
            <w:tcW w:w="1318" w:type="dxa"/>
          </w:tcPr>
          <w:p w14:paraId="236EE88C" w14:textId="77777777" w:rsidR="009601AE" w:rsidRPr="001E3C47" w:rsidRDefault="009601AE" w:rsidP="009E3730">
            <w:pPr>
              <w:widowControl w:val="0"/>
              <w:suppressAutoHyphens/>
              <w:ind w:right="26"/>
              <w:jc w:val="center"/>
              <w:rPr>
                <w:rFonts w:ascii="Arial" w:hAnsi="Arial" w:cs="Arial"/>
              </w:rPr>
            </w:pPr>
            <w:r w:rsidRPr="001E3C47">
              <w:rPr>
                <w:rFonts w:ascii="Arial" w:hAnsi="Arial" w:cs="Arial"/>
              </w:rPr>
              <w:t>19.4</w:t>
            </w:r>
          </w:p>
        </w:tc>
        <w:tc>
          <w:tcPr>
            <w:tcW w:w="1391" w:type="dxa"/>
          </w:tcPr>
          <w:p w14:paraId="70DC09AA" w14:textId="77777777" w:rsidR="009601AE" w:rsidRPr="001E3C47" w:rsidRDefault="009601AE" w:rsidP="009E3730">
            <w:pPr>
              <w:widowControl w:val="0"/>
              <w:suppressAutoHyphens/>
              <w:ind w:right="26"/>
              <w:jc w:val="center"/>
              <w:rPr>
                <w:rFonts w:ascii="Arial" w:hAnsi="Arial" w:cs="Arial"/>
              </w:rPr>
            </w:pPr>
            <w:r w:rsidRPr="001E3C47">
              <w:rPr>
                <w:rFonts w:ascii="Arial" w:hAnsi="Arial" w:cs="Arial"/>
              </w:rPr>
              <w:t>10255</w:t>
            </w:r>
          </w:p>
        </w:tc>
        <w:tc>
          <w:tcPr>
            <w:tcW w:w="1129" w:type="dxa"/>
          </w:tcPr>
          <w:p w14:paraId="446BB18C" w14:textId="77777777" w:rsidR="009601AE" w:rsidRPr="001E3C47" w:rsidRDefault="009601AE" w:rsidP="009E3730">
            <w:pPr>
              <w:widowControl w:val="0"/>
              <w:suppressAutoHyphens/>
              <w:ind w:right="26"/>
              <w:jc w:val="center"/>
              <w:rPr>
                <w:rFonts w:ascii="Arial" w:hAnsi="Arial" w:cs="Arial"/>
              </w:rPr>
            </w:pPr>
            <w:r w:rsidRPr="001E3C47">
              <w:rPr>
                <w:rFonts w:ascii="Arial" w:hAnsi="Arial" w:cs="Arial"/>
              </w:rPr>
              <w:t>15.6</w:t>
            </w:r>
          </w:p>
        </w:tc>
        <w:tc>
          <w:tcPr>
            <w:tcW w:w="1265" w:type="dxa"/>
          </w:tcPr>
          <w:p w14:paraId="72872C30" w14:textId="77777777" w:rsidR="009601AE" w:rsidRPr="001E3C47" w:rsidRDefault="009601AE" w:rsidP="009E3730">
            <w:pPr>
              <w:widowControl w:val="0"/>
              <w:suppressAutoHyphens/>
              <w:ind w:right="26"/>
              <w:jc w:val="center"/>
              <w:rPr>
                <w:rFonts w:ascii="Arial" w:hAnsi="Arial" w:cs="Arial"/>
              </w:rPr>
            </w:pPr>
            <w:r w:rsidRPr="001E3C47">
              <w:rPr>
                <w:rFonts w:ascii="Arial" w:hAnsi="Arial" w:cs="Arial"/>
              </w:rPr>
              <w:t>66.7</w:t>
            </w:r>
          </w:p>
        </w:tc>
      </w:tr>
      <w:tr w:rsidR="009601AE" w:rsidRPr="001E3C47" w14:paraId="2D2CC34C" w14:textId="77777777" w:rsidTr="00C90833">
        <w:trPr>
          <w:jc w:val="center"/>
        </w:trPr>
        <w:tc>
          <w:tcPr>
            <w:tcW w:w="843" w:type="dxa"/>
          </w:tcPr>
          <w:p w14:paraId="77DE1242" w14:textId="77777777" w:rsidR="009601AE" w:rsidRPr="001E3C47" w:rsidRDefault="009601AE" w:rsidP="009E3730">
            <w:pPr>
              <w:widowControl w:val="0"/>
              <w:suppressAutoHyphens/>
              <w:ind w:right="26"/>
              <w:rPr>
                <w:rFonts w:ascii="Arial" w:hAnsi="Arial" w:cs="Arial"/>
                <w:b/>
              </w:rPr>
            </w:pPr>
            <w:r w:rsidRPr="001E3C47">
              <w:rPr>
                <w:rFonts w:ascii="Arial" w:hAnsi="Arial" w:cs="Arial"/>
                <w:b/>
              </w:rPr>
              <w:lastRenderedPageBreak/>
              <w:t>2015</w:t>
            </w:r>
          </w:p>
        </w:tc>
        <w:tc>
          <w:tcPr>
            <w:tcW w:w="1411" w:type="dxa"/>
          </w:tcPr>
          <w:p w14:paraId="1D6F583A" w14:textId="77777777" w:rsidR="009601AE" w:rsidRPr="001E3C47" w:rsidRDefault="009601AE" w:rsidP="009E3730">
            <w:pPr>
              <w:widowControl w:val="0"/>
              <w:suppressAutoHyphens/>
              <w:ind w:right="26"/>
              <w:jc w:val="center"/>
              <w:rPr>
                <w:rFonts w:ascii="Arial" w:hAnsi="Arial" w:cs="Arial"/>
              </w:rPr>
            </w:pPr>
            <w:r w:rsidRPr="001E3C47">
              <w:rPr>
                <w:rFonts w:ascii="Arial" w:hAnsi="Arial" w:cs="Arial"/>
              </w:rPr>
              <w:t>17547</w:t>
            </w:r>
          </w:p>
        </w:tc>
        <w:tc>
          <w:tcPr>
            <w:tcW w:w="1129" w:type="dxa"/>
          </w:tcPr>
          <w:p w14:paraId="5398726D" w14:textId="77777777" w:rsidR="009601AE" w:rsidRPr="001E3C47" w:rsidRDefault="009601AE" w:rsidP="009E3730">
            <w:pPr>
              <w:widowControl w:val="0"/>
              <w:suppressAutoHyphens/>
              <w:ind w:right="26"/>
              <w:jc w:val="center"/>
              <w:rPr>
                <w:rFonts w:ascii="Arial" w:hAnsi="Arial" w:cs="Arial"/>
              </w:rPr>
            </w:pPr>
            <w:r w:rsidRPr="001E3C47">
              <w:rPr>
                <w:rFonts w:ascii="Arial" w:hAnsi="Arial" w:cs="Arial"/>
              </w:rPr>
              <w:t>14.1</w:t>
            </w:r>
          </w:p>
        </w:tc>
        <w:tc>
          <w:tcPr>
            <w:tcW w:w="1318" w:type="dxa"/>
          </w:tcPr>
          <w:p w14:paraId="1A6A92C5" w14:textId="77777777" w:rsidR="009601AE" w:rsidRPr="001E3C47" w:rsidRDefault="009601AE" w:rsidP="009E3730">
            <w:pPr>
              <w:widowControl w:val="0"/>
              <w:suppressAutoHyphens/>
              <w:ind w:right="26"/>
              <w:jc w:val="center"/>
              <w:rPr>
                <w:rFonts w:ascii="Arial" w:hAnsi="Arial" w:cs="Arial"/>
              </w:rPr>
            </w:pPr>
            <w:r w:rsidRPr="001E3C47">
              <w:rPr>
                <w:rFonts w:ascii="Arial" w:hAnsi="Arial" w:cs="Arial"/>
              </w:rPr>
              <w:t>36.3</w:t>
            </w:r>
          </w:p>
        </w:tc>
        <w:tc>
          <w:tcPr>
            <w:tcW w:w="1391" w:type="dxa"/>
          </w:tcPr>
          <w:p w14:paraId="058D5AE0" w14:textId="77BA3ED5" w:rsidR="009601AE" w:rsidRPr="001E3C47" w:rsidRDefault="009601AE" w:rsidP="009E3730">
            <w:pPr>
              <w:widowControl w:val="0"/>
              <w:suppressAutoHyphens/>
              <w:ind w:right="26"/>
              <w:jc w:val="center"/>
              <w:rPr>
                <w:rFonts w:ascii="Arial" w:hAnsi="Arial" w:cs="Arial"/>
              </w:rPr>
            </w:pPr>
            <w:r w:rsidRPr="001E3C47">
              <w:rPr>
                <w:rFonts w:ascii="Arial" w:hAnsi="Arial" w:cs="Arial"/>
              </w:rPr>
              <w:t>1</w:t>
            </w:r>
            <w:r w:rsidR="006358D0">
              <w:rPr>
                <w:rFonts w:ascii="Arial" w:hAnsi="Arial" w:cs="Arial"/>
              </w:rPr>
              <w:t>0405*</w:t>
            </w:r>
          </w:p>
        </w:tc>
        <w:tc>
          <w:tcPr>
            <w:tcW w:w="1129" w:type="dxa"/>
          </w:tcPr>
          <w:p w14:paraId="1AE3E58B" w14:textId="40E95CFD" w:rsidR="009601AE" w:rsidRPr="001E3C47" w:rsidRDefault="006358D0" w:rsidP="009E3730">
            <w:pPr>
              <w:widowControl w:val="0"/>
              <w:suppressAutoHyphens/>
              <w:ind w:right="26"/>
              <w:jc w:val="center"/>
              <w:rPr>
                <w:rFonts w:ascii="Arial" w:hAnsi="Arial" w:cs="Arial"/>
              </w:rPr>
            </w:pPr>
            <w:r>
              <w:rPr>
                <w:rFonts w:ascii="Arial" w:hAnsi="Arial" w:cs="Arial"/>
              </w:rPr>
              <w:t>1.5</w:t>
            </w:r>
          </w:p>
        </w:tc>
        <w:tc>
          <w:tcPr>
            <w:tcW w:w="1265" w:type="dxa"/>
          </w:tcPr>
          <w:p w14:paraId="33E9D8BE" w14:textId="78858D76" w:rsidR="009601AE" w:rsidRPr="001E3C47" w:rsidRDefault="006607CE" w:rsidP="009E3730">
            <w:pPr>
              <w:widowControl w:val="0"/>
              <w:suppressAutoHyphens/>
              <w:ind w:right="26"/>
              <w:jc w:val="center"/>
              <w:rPr>
                <w:rFonts w:ascii="Arial" w:hAnsi="Arial" w:cs="Arial"/>
              </w:rPr>
            </w:pPr>
            <w:r>
              <w:rPr>
                <w:rFonts w:ascii="Arial" w:hAnsi="Arial" w:cs="Arial"/>
              </w:rPr>
              <w:t>59.3</w:t>
            </w:r>
          </w:p>
        </w:tc>
      </w:tr>
      <w:tr w:rsidR="009601AE" w:rsidRPr="001E3C47" w14:paraId="446E3247" w14:textId="77777777" w:rsidTr="00C90833">
        <w:trPr>
          <w:jc w:val="center"/>
        </w:trPr>
        <w:tc>
          <w:tcPr>
            <w:tcW w:w="843" w:type="dxa"/>
          </w:tcPr>
          <w:p w14:paraId="294CFF05" w14:textId="06714D6D" w:rsidR="009601AE" w:rsidRPr="001E3C47" w:rsidRDefault="009601AE" w:rsidP="009E3730">
            <w:pPr>
              <w:widowControl w:val="0"/>
              <w:suppressAutoHyphens/>
              <w:ind w:right="26"/>
              <w:rPr>
                <w:rFonts w:ascii="Arial" w:hAnsi="Arial" w:cs="Arial"/>
                <w:b/>
              </w:rPr>
            </w:pPr>
            <w:r w:rsidRPr="001E3C47">
              <w:rPr>
                <w:rFonts w:ascii="Arial" w:hAnsi="Arial" w:cs="Arial"/>
                <w:b/>
              </w:rPr>
              <w:t>2016</w:t>
            </w:r>
            <w:r w:rsidR="008A143C">
              <w:rPr>
                <w:rFonts w:ascii="Arial" w:hAnsi="Arial" w:cs="Arial"/>
                <w:b/>
              </w:rPr>
              <w:t>*</w:t>
            </w:r>
            <w:r w:rsidR="006358D0">
              <w:rPr>
                <w:rFonts w:ascii="Arial" w:hAnsi="Arial" w:cs="Arial"/>
                <w:b/>
              </w:rPr>
              <w:t>*</w:t>
            </w:r>
          </w:p>
        </w:tc>
        <w:tc>
          <w:tcPr>
            <w:tcW w:w="1411" w:type="dxa"/>
          </w:tcPr>
          <w:p w14:paraId="09E03671" w14:textId="1C207352" w:rsidR="009601AE" w:rsidRPr="001E3C47" w:rsidRDefault="006358D0" w:rsidP="009E3730">
            <w:pPr>
              <w:widowControl w:val="0"/>
              <w:suppressAutoHyphens/>
              <w:ind w:right="26"/>
              <w:jc w:val="center"/>
              <w:rPr>
                <w:rFonts w:ascii="Arial" w:hAnsi="Arial" w:cs="Arial"/>
              </w:rPr>
            </w:pPr>
            <w:r>
              <w:rPr>
                <w:rFonts w:ascii="Arial" w:hAnsi="Arial" w:cs="Arial"/>
              </w:rPr>
              <w:t>19523</w:t>
            </w:r>
          </w:p>
        </w:tc>
        <w:tc>
          <w:tcPr>
            <w:tcW w:w="1129" w:type="dxa"/>
          </w:tcPr>
          <w:p w14:paraId="7995356F" w14:textId="03F709E4" w:rsidR="009601AE" w:rsidRPr="001E3C47" w:rsidRDefault="006358D0" w:rsidP="009E3730">
            <w:pPr>
              <w:widowControl w:val="0"/>
              <w:suppressAutoHyphens/>
              <w:ind w:right="26"/>
              <w:jc w:val="center"/>
              <w:rPr>
                <w:rFonts w:ascii="Arial" w:hAnsi="Arial" w:cs="Arial"/>
              </w:rPr>
            </w:pPr>
            <w:r>
              <w:rPr>
                <w:rFonts w:ascii="Arial" w:hAnsi="Arial" w:cs="Arial"/>
              </w:rPr>
              <w:t>11.3</w:t>
            </w:r>
          </w:p>
        </w:tc>
        <w:tc>
          <w:tcPr>
            <w:tcW w:w="1318" w:type="dxa"/>
          </w:tcPr>
          <w:p w14:paraId="6C2FDFDA" w14:textId="25E1F6AF" w:rsidR="009601AE" w:rsidRPr="001E3C47" w:rsidRDefault="006358D0" w:rsidP="009E3730">
            <w:pPr>
              <w:widowControl w:val="0"/>
              <w:suppressAutoHyphens/>
              <w:ind w:right="26"/>
              <w:jc w:val="center"/>
              <w:rPr>
                <w:rFonts w:ascii="Arial" w:hAnsi="Arial" w:cs="Arial"/>
              </w:rPr>
            </w:pPr>
            <w:r>
              <w:rPr>
                <w:rFonts w:ascii="Arial" w:hAnsi="Arial" w:cs="Arial"/>
              </w:rPr>
              <w:t>51.6</w:t>
            </w:r>
          </w:p>
        </w:tc>
        <w:tc>
          <w:tcPr>
            <w:tcW w:w="1391" w:type="dxa"/>
          </w:tcPr>
          <w:p w14:paraId="03ABAA35" w14:textId="43B3F0D7" w:rsidR="009601AE" w:rsidRPr="001E3C47" w:rsidRDefault="006358D0" w:rsidP="009E3730">
            <w:pPr>
              <w:widowControl w:val="0"/>
              <w:suppressAutoHyphens/>
              <w:ind w:right="26"/>
              <w:jc w:val="center"/>
              <w:rPr>
                <w:rFonts w:ascii="Arial" w:hAnsi="Arial" w:cs="Arial"/>
              </w:rPr>
            </w:pPr>
            <w:r>
              <w:rPr>
                <w:rFonts w:ascii="Arial" w:hAnsi="Arial" w:cs="Arial"/>
              </w:rPr>
              <w:t>11124</w:t>
            </w:r>
            <w:r w:rsidR="009601AE" w:rsidRPr="001E3C47">
              <w:rPr>
                <w:rFonts w:ascii="Arial" w:hAnsi="Arial" w:cs="Arial"/>
              </w:rPr>
              <w:t>*</w:t>
            </w:r>
            <w:r w:rsidR="008A143C">
              <w:rPr>
                <w:rFonts w:ascii="Arial" w:hAnsi="Arial" w:cs="Arial"/>
              </w:rPr>
              <w:t>*</w:t>
            </w:r>
            <w:r>
              <w:rPr>
                <w:rFonts w:ascii="Arial" w:hAnsi="Arial" w:cs="Arial"/>
              </w:rPr>
              <w:t>*</w:t>
            </w:r>
          </w:p>
        </w:tc>
        <w:tc>
          <w:tcPr>
            <w:tcW w:w="1129" w:type="dxa"/>
          </w:tcPr>
          <w:p w14:paraId="6BAD580B" w14:textId="33FAE276" w:rsidR="009601AE" w:rsidRPr="001E3C47" w:rsidRDefault="006607CE" w:rsidP="009E3730">
            <w:pPr>
              <w:widowControl w:val="0"/>
              <w:suppressAutoHyphens/>
              <w:ind w:right="26"/>
              <w:jc w:val="center"/>
              <w:rPr>
                <w:rFonts w:ascii="Arial" w:hAnsi="Arial" w:cs="Arial"/>
              </w:rPr>
            </w:pPr>
            <w:r>
              <w:rPr>
                <w:rFonts w:ascii="Arial" w:hAnsi="Arial" w:cs="Arial"/>
              </w:rPr>
              <w:t>6.9</w:t>
            </w:r>
          </w:p>
        </w:tc>
        <w:tc>
          <w:tcPr>
            <w:tcW w:w="1265" w:type="dxa"/>
          </w:tcPr>
          <w:p w14:paraId="74177EF3" w14:textId="24280CB9" w:rsidR="009601AE" w:rsidRPr="001E3C47" w:rsidRDefault="006607CE" w:rsidP="009E3730">
            <w:pPr>
              <w:widowControl w:val="0"/>
              <w:suppressAutoHyphens/>
              <w:ind w:right="26"/>
              <w:jc w:val="center"/>
              <w:rPr>
                <w:rFonts w:ascii="Arial" w:hAnsi="Arial" w:cs="Arial"/>
              </w:rPr>
            </w:pPr>
            <w:r>
              <w:rPr>
                <w:rFonts w:ascii="Arial" w:hAnsi="Arial" w:cs="Arial"/>
              </w:rPr>
              <w:t>60.0</w:t>
            </w:r>
          </w:p>
        </w:tc>
      </w:tr>
    </w:tbl>
    <w:p w14:paraId="528BAD53" w14:textId="308FE2E9" w:rsidR="009601AE" w:rsidRDefault="009601AE" w:rsidP="009E3730">
      <w:pPr>
        <w:widowControl w:val="0"/>
        <w:suppressAutoHyphens/>
        <w:ind w:left="426" w:right="26"/>
        <w:rPr>
          <w:sz w:val="20"/>
          <w:szCs w:val="20"/>
        </w:rPr>
      </w:pPr>
      <w:r w:rsidRPr="005C67AB">
        <w:rPr>
          <w:sz w:val="20"/>
          <w:szCs w:val="20"/>
        </w:rPr>
        <w:t>Source:</w:t>
      </w:r>
      <w:r w:rsidR="006607CE">
        <w:rPr>
          <w:sz w:val="20"/>
          <w:szCs w:val="20"/>
        </w:rPr>
        <w:t xml:space="preserve"> EMIS, </w:t>
      </w:r>
      <w:r w:rsidRPr="005C67AB">
        <w:rPr>
          <w:sz w:val="20"/>
          <w:szCs w:val="20"/>
        </w:rPr>
        <w:t>MoES</w:t>
      </w:r>
      <w:r w:rsidR="006607CE">
        <w:rPr>
          <w:sz w:val="20"/>
          <w:szCs w:val="20"/>
        </w:rPr>
        <w:t>.</w:t>
      </w:r>
    </w:p>
    <w:p w14:paraId="3B9C11F1" w14:textId="164C5C04" w:rsidR="006358D0" w:rsidRDefault="009601AE" w:rsidP="009E3730">
      <w:pPr>
        <w:widowControl w:val="0"/>
        <w:suppressAutoHyphens/>
        <w:ind w:left="426" w:right="26"/>
        <w:rPr>
          <w:sz w:val="20"/>
          <w:szCs w:val="20"/>
        </w:rPr>
      </w:pPr>
      <w:r>
        <w:rPr>
          <w:sz w:val="20"/>
          <w:szCs w:val="20"/>
        </w:rPr>
        <w:t xml:space="preserve">Notes: </w:t>
      </w:r>
      <w:r w:rsidR="006358D0">
        <w:rPr>
          <w:sz w:val="20"/>
          <w:szCs w:val="20"/>
        </w:rPr>
        <w:t>* this figure is provided by EMIS (3338 for the 2015 spring intake, 7067 for the autumn 2015 intake. MoES reported a figure of 11173</w:t>
      </w:r>
      <w:r w:rsidR="006607CE">
        <w:rPr>
          <w:sz w:val="20"/>
          <w:szCs w:val="20"/>
        </w:rPr>
        <w:t>. The figures for 2013 and 2014 come from the MoES statistical bulletin. Given the discrepancies between EMIS and MoES figures it is not clear if the 2015 and 2014 figures are comparable, the MoES figures showing an increase of 9.0% on 2014 and a share of registrants/applicants gaining places of 63.7%;</w:t>
      </w:r>
    </w:p>
    <w:p w14:paraId="587415F8" w14:textId="1EEDAAE4" w:rsidR="008A143C" w:rsidRDefault="006358D0" w:rsidP="009E3730">
      <w:pPr>
        <w:widowControl w:val="0"/>
        <w:suppressAutoHyphens/>
        <w:ind w:left="426" w:right="26"/>
        <w:rPr>
          <w:sz w:val="20"/>
          <w:szCs w:val="20"/>
        </w:rPr>
      </w:pPr>
      <w:r>
        <w:rPr>
          <w:sz w:val="20"/>
          <w:szCs w:val="20"/>
        </w:rPr>
        <w:t>*</w:t>
      </w:r>
      <w:r w:rsidR="008A143C">
        <w:rPr>
          <w:sz w:val="20"/>
          <w:szCs w:val="20"/>
        </w:rPr>
        <w:t>* this figure is provided by EMIS (</w:t>
      </w:r>
      <w:r>
        <w:rPr>
          <w:sz w:val="20"/>
          <w:szCs w:val="20"/>
        </w:rPr>
        <w:t xml:space="preserve">6598 for the spring 2016 intake, 12925 for the autumn 2016 intake. </w:t>
      </w:r>
      <w:r w:rsidR="008A143C">
        <w:rPr>
          <w:sz w:val="20"/>
          <w:szCs w:val="20"/>
        </w:rPr>
        <w:t>MoES reported a figure of 20584;</w:t>
      </w:r>
    </w:p>
    <w:p w14:paraId="538539B2" w14:textId="7630A21D" w:rsidR="009601AE" w:rsidRPr="005C67AB" w:rsidRDefault="008A143C" w:rsidP="009E3730">
      <w:pPr>
        <w:widowControl w:val="0"/>
        <w:suppressAutoHyphens/>
        <w:ind w:left="426" w:right="26"/>
        <w:rPr>
          <w:sz w:val="20"/>
          <w:szCs w:val="20"/>
        </w:rPr>
      </w:pPr>
      <w:r>
        <w:rPr>
          <w:sz w:val="20"/>
          <w:szCs w:val="20"/>
        </w:rPr>
        <w:t>*</w:t>
      </w:r>
      <w:r w:rsidR="006358D0">
        <w:rPr>
          <w:sz w:val="20"/>
          <w:szCs w:val="20"/>
        </w:rPr>
        <w:t>*</w:t>
      </w:r>
      <w:r w:rsidR="009601AE">
        <w:rPr>
          <w:sz w:val="20"/>
          <w:szCs w:val="20"/>
        </w:rPr>
        <w:t xml:space="preserve">* </w:t>
      </w:r>
      <w:r w:rsidR="006358D0">
        <w:rPr>
          <w:sz w:val="20"/>
          <w:szCs w:val="20"/>
        </w:rPr>
        <w:t>3595</w:t>
      </w:r>
      <w:r w:rsidR="009601AE">
        <w:rPr>
          <w:sz w:val="20"/>
          <w:szCs w:val="20"/>
        </w:rPr>
        <w:t xml:space="preserve"> for </w:t>
      </w:r>
      <w:r w:rsidR="006358D0">
        <w:rPr>
          <w:sz w:val="20"/>
          <w:szCs w:val="20"/>
        </w:rPr>
        <w:t xml:space="preserve">the spring </w:t>
      </w:r>
      <w:r w:rsidR="009601AE">
        <w:rPr>
          <w:sz w:val="20"/>
          <w:szCs w:val="20"/>
        </w:rPr>
        <w:t xml:space="preserve">2016 </w:t>
      </w:r>
      <w:r w:rsidR="006358D0">
        <w:rPr>
          <w:sz w:val="20"/>
          <w:szCs w:val="20"/>
        </w:rPr>
        <w:t>intake, 7529 for the autumn 2016 intake</w:t>
      </w:r>
      <w:r w:rsidR="009601AE">
        <w:rPr>
          <w:sz w:val="20"/>
          <w:szCs w:val="20"/>
        </w:rPr>
        <w:t>.</w:t>
      </w:r>
    </w:p>
    <w:p w14:paraId="390334C3" w14:textId="77777777" w:rsidR="009601AE" w:rsidRDefault="009601AE" w:rsidP="009E3730">
      <w:pPr>
        <w:widowControl w:val="0"/>
        <w:suppressAutoHyphens/>
        <w:ind w:right="26"/>
      </w:pPr>
    </w:p>
    <w:p w14:paraId="301795EC" w14:textId="348FB19D" w:rsidR="00D957FC" w:rsidRDefault="00D957FC" w:rsidP="009E3730">
      <w:pPr>
        <w:widowControl w:val="0"/>
        <w:suppressAutoHyphens/>
        <w:ind w:right="26"/>
      </w:pPr>
      <w:r>
        <w:t xml:space="preserve">While there is an issue about discrepancies between statistical sources (and EMIS should be the most accurate), </w:t>
      </w:r>
      <w:r w:rsidR="00724D7C">
        <w:t xml:space="preserve">and about whether registrants can properly be called applicants, as opposed those who sit the exam, </w:t>
      </w:r>
      <w:r>
        <w:t xml:space="preserve">Table 2 points </w:t>
      </w:r>
      <w:r w:rsidR="00724D7C">
        <w:t xml:space="preserve">perhaps to success in raising awareness of VET (the significant increase in registrants) but a failure in VET opportunities keeping pace with this expanded interest. Indeed the proportion of registrants who actually gain a place has fallen significantly over this period. Further, </w:t>
      </w:r>
      <w:r w:rsidR="00802DA6">
        <w:t xml:space="preserve">with </w:t>
      </w:r>
      <w:r w:rsidR="00724D7C">
        <w:t>about 2</w:t>
      </w:r>
      <w:r w:rsidR="00802DA6">
        <w:t>6</w:t>
      </w:r>
      <w:r w:rsidR="00724D7C">
        <w:t>% of those that took the exam in 2016 failed to gain a place</w:t>
      </w:r>
      <w:r w:rsidR="00802DA6">
        <w:t>, compared with 21% in 2015</w:t>
      </w:r>
      <w:r w:rsidR="00724D7C">
        <w:t xml:space="preserve">, </w:t>
      </w:r>
      <w:r w:rsidR="00802DA6">
        <w:t>the success of the VET system in meeting the aspirations of VET applicants has declined by further 6.3% in the last year</w:t>
      </w:r>
      <w:r w:rsidR="00724D7C">
        <w:t xml:space="preserve">. </w:t>
      </w:r>
      <w:r w:rsidR="00802DA6">
        <w:t>This despite Government's statement of a renewed priority for VET.</w:t>
      </w:r>
      <w:r w:rsidR="00E52DA1">
        <w:t xml:space="preserve"> These figures are even worse for the spring as opposed the autumn intake: in 2016, of those that took the exam, 73% for the spring intake gained a place and this was maintained through the autumn intake (74%), but this is down from 77% for the autumn intake in 2015, and 82% for the spring intake, a decline over the period of 10%.</w:t>
      </w:r>
    </w:p>
    <w:p w14:paraId="26E06B5A" w14:textId="77777777" w:rsidR="00802DA6" w:rsidRDefault="00802DA6" w:rsidP="009E3730">
      <w:pPr>
        <w:widowControl w:val="0"/>
        <w:suppressAutoHyphens/>
        <w:ind w:right="26"/>
      </w:pPr>
    </w:p>
    <w:p w14:paraId="21CA4800" w14:textId="7F78804B" w:rsidR="009601AE" w:rsidRDefault="00E52DA1" w:rsidP="009E3730">
      <w:pPr>
        <w:widowControl w:val="0"/>
        <w:suppressAutoHyphens/>
        <w:ind w:right="26"/>
      </w:pPr>
      <w:r>
        <w:t xml:space="preserve">While there has been an increase in interest in VET courses sufficient to meet the requirements of the Indicator, the VET system has failed to respond adequately, and this could well undermine all the efforts </w:t>
      </w:r>
      <w:r w:rsidR="008B451F">
        <w:t xml:space="preserve">made in recent years </w:t>
      </w:r>
      <w:r>
        <w:t xml:space="preserve">to overcome the previous </w:t>
      </w:r>
      <w:r w:rsidR="008B451F">
        <w:t xml:space="preserve">in-built </w:t>
      </w:r>
      <w:r>
        <w:t xml:space="preserve">prejudice against VET </w:t>
      </w:r>
      <w:r w:rsidR="008B451F">
        <w:t>of society, and particularly parents (exemplified strongly by the fact that under 2% of Grade 9 students opt for VET as a pathway to their future careers.</w:t>
      </w:r>
    </w:p>
    <w:p w14:paraId="4E3619F1" w14:textId="77777777" w:rsidR="009601AE" w:rsidRDefault="009601AE" w:rsidP="009E3730">
      <w:pPr>
        <w:widowControl w:val="0"/>
        <w:suppressAutoHyphens/>
        <w:ind w:right="26"/>
      </w:pPr>
    </w:p>
    <w:p w14:paraId="0C8E12E9" w14:textId="77777777" w:rsidR="009601AE" w:rsidRDefault="009601AE" w:rsidP="009E3730">
      <w:pPr>
        <w:widowControl w:val="0"/>
        <w:suppressAutoHyphens/>
        <w:rPr>
          <w:b/>
          <w:bCs/>
          <w:i/>
          <w:iCs/>
          <w:lang w:eastAsia="en-GB"/>
        </w:rPr>
      </w:pPr>
      <w:r>
        <w:rPr>
          <w:b/>
          <w:bCs/>
          <w:u w:val="single"/>
        </w:rPr>
        <w:t>Indicator 3.2.2</w:t>
      </w:r>
      <w:r>
        <w:rPr>
          <w:b/>
          <w:bCs/>
        </w:rPr>
        <w:t xml:space="preserve">: </w:t>
      </w:r>
      <w:r>
        <w:rPr>
          <w:b/>
          <w:bCs/>
          <w:i/>
          <w:iCs/>
          <w:lang w:eastAsia="en-GB"/>
        </w:rPr>
        <w:t>Positive feedback on VET qualifications amongst employers compared to the baseline survey.</w:t>
      </w:r>
    </w:p>
    <w:p w14:paraId="41783EC0" w14:textId="77777777" w:rsidR="009601AE" w:rsidRDefault="009601AE" w:rsidP="009E3730">
      <w:pPr>
        <w:widowControl w:val="0"/>
        <w:suppressAutoHyphens/>
      </w:pPr>
    </w:p>
    <w:p w14:paraId="3D0C17E1" w14:textId="77777777" w:rsidR="009601AE" w:rsidRDefault="009601AE" w:rsidP="009E3730">
      <w:pPr>
        <w:widowControl w:val="0"/>
        <w:suppressAutoHyphens/>
      </w:pPr>
      <w:r>
        <w:t xml:space="preserve">Source of Verification: </w:t>
      </w:r>
    </w:p>
    <w:p w14:paraId="13FCDB32" w14:textId="77777777" w:rsidR="009601AE" w:rsidRDefault="006E2E2C" w:rsidP="009E3730">
      <w:pPr>
        <w:widowControl w:val="0"/>
        <w:numPr>
          <w:ilvl w:val="0"/>
          <w:numId w:val="1"/>
        </w:numPr>
        <w:suppressAutoHyphens/>
        <w:autoSpaceDE w:val="0"/>
        <w:autoSpaceDN w:val="0"/>
        <w:ind w:left="714" w:hanging="357"/>
        <w:rPr>
          <w:lang w:eastAsia="en-GB"/>
        </w:rPr>
      </w:pPr>
      <w:r>
        <w:rPr>
          <w:lang w:eastAsia="en-GB"/>
        </w:rPr>
        <w:t>Feedback from s</w:t>
      </w:r>
      <w:r w:rsidR="009601AE">
        <w:rPr>
          <w:lang w:eastAsia="en-GB"/>
        </w:rPr>
        <w:t xml:space="preserve">ocial </w:t>
      </w:r>
      <w:r>
        <w:rPr>
          <w:lang w:eastAsia="en-GB"/>
        </w:rPr>
        <w:t>p</w:t>
      </w:r>
      <w:r w:rsidR="009601AE">
        <w:rPr>
          <w:lang w:eastAsia="en-GB"/>
        </w:rPr>
        <w:t>artners, VET providers;</w:t>
      </w:r>
    </w:p>
    <w:p w14:paraId="6671D970" w14:textId="77777777" w:rsidR="009601AE" w:rsidRDefault="009601AE" w:rsidP="009E3730">
      <w:pPr>
        <w:widowControl w:val="0"/>
        <w:numPr>
          <w:ilvl w:val="0"/>
          <w:numId w:val="1"/>
        </w:numPr>
        <w:suppressAutoHyphens/>
        <w:autoSpaceDE w:val="0"/>
        <w:autoSpaceDN w:val="0"/>
        <w:ind w:left="714" w:hanging="357"/>
        <w:rPr>
          <w:lang w:eastAsia="en-GB"/>
        </w:rPr>
      </w:pPr>
      <w:r>
        <w:rPr>
          <w:lang w:eastAsia="en-GB"/>
        </w:rPr>
        <w:t>Repeated survey.</w:t>
      </w:r>
    </w:p>
    <w:p w14:paraId="38AF9A72" w14:textId="77777777" w:rsidR="009601AE" w:rsidRDefault="009601AE" w:rsidP="009E3730">
      <w:pPr>
        <w:widowControl w:val="0"/>
        <w:suppressAutoHyphens/>
      </w:pPr>
    </w:p>
    <w:p w14:paraId="43C4CB73" w14:textId="1C2BB57D" w:rsidR="009601AE" w:rsidRDefault="009601AE" w:rsidP="009E3730">
      <w:pPr>
        <w:widowControl w:val="0"/>
        <w:tabs>
          <w:tab w:val="left" w:pos="2340"/>
        </w:tabs>
        <w:suppressAutoHyphens/>
      </w:pPr>
      <w:r>
        <w:rPr>
          <w:b/>
          <w:bCs/>
          <w:u w:val="single"/>
        </w:rPr>
        <w:t>Review Assessment</w:t>
      </w:r>
      <w:r>
        <w:rPr>
          <w:b/>
          <w:bCs/>
        </w:rPr>
        <w:t>: fulfil</w:t>
      </w:r>
      <w:r w:rsidR="006911D7">
        <w:rPr>
          <w:b/>
          <w:bCs/>
        </w:rPr>
        <w:t>led</w:t>
      </w:r>
      <w:r>
        <w:rPr>
          <w:b/>
          <w:bCs/>
        </w:rPr>
        <w:t>.</w:t>
      </w:r>
    </w:p>
    <w:p w14:paraId="6FBDD1EB" w14:textId="77777777" w:rsidR="009601AE" w:rsidRDefault="009601AE" w:rsidP="009E3730">
      <w:pPr>
        <w:widowControl w:val="0"/>
        <w:suppressAutoHyphens/>
      </w:pPr>
    </w:p>
    <w:p w14:paraId="741581EF" w14:textId="5334ED77" w:rsidR="00D2079E" w:rsidRPr="00553DD8" w:rsidRDefault="00D2079E" w:rsidP="009E3730">
      <w:pPr>
        <w:widowControl w:val="0"/>
        <w:suppressAutoHyphens/>
        <w:rPr>
          <w:rFonts w:eastAsia="Times New Roman" w:cs="Times New Roman"/>
        </w:rPr>
      </w:pPr>
      <w:r>
        <w:rPr>
          <w:rFonts w:eastAsia="Times New Roman" w:cs="Times New Roman"/>
        </w:rPr>
        <w:t xml:space="preserve">Compared to the </w:t>
      </w:r>
      <w:r w:rsidR="00BA315F" w:rsidRPr="005776D0">
        <w:t>"</w:t>
      </w:r>
      <w:r w:rsidR="00BA315F" w:rsidRPr="00364DB4">
        <w:rPr>
          <w:i/>
        </w:rPr>
        <w:t>Survey of Employers’ Attitudes towards Vocational Education</w:t>
      </w:r>
      <w:r w:rsidR="00BA315F" w:rsidRPr="005776D0">
        <w:t>"</w:t>
      </w:r>
      <w:r w:rsidR="00BA315F">
        <w:t xml:space="preserve"> </w:t>
      </w:r>
      <w:r>
        <w:rPr>
          <w:rFonts w:eastAsia="Times New Roman" w:cs="Times New Roman"/>
        </w:rPr>
        <w:t>conducted in 2015, that in 2016 is much reduced. While the 2015 survey, published in early 2016</w:t>
      </w:r>
      <w:r w:rsidR="00BA315F">
        <w:rPr>
          <w:rStyle w:val="FootnoteReference"/>
          <w:rFonts w:eastAsia="Times New Roman"/>
        </w:rPr>
        <w:footnoteReference w:id="73"/>
      </w:r>
      <w:r>
        <w:rPr>
          <w:rFonts w:eastAsia="Times New Roman" w:cs="Times New Roman"/>
        </w:rPr>
        <w:t>, covered 1901 employers</w:t>
      </w:r>
      <w:r>
        <w:rPr>
          <w:rStyle w:val="FootnoteReference"/>
          <w:rFonts w:eastAsia="Times New Roman"/>
        </w:rPr>
        <w:footnoteReference w:id="74"/>
      </w:r>
      <w:r w:rsidR="00BA315F">
        <w:rPr>
          <w:rFonts w:eastAsia="Times New Roman" w:cs="Times New Roman"/>
        </w:rPr>
        <w:t xml:space="preserve">, the 2016 survey covered only 410 employers. </w:t>
      </w:r>
      <w:r w:rsidR="00BA315F" w:rsidRPr="009B0859">
        <w:rPr>
          <w:rFonts w:eastAsia="Times New Roman" w:cs="Times New Roman"/>
        </w:rPr>
        <w:t xml:space="preserve">The report was </w:t>
      </w:r>
      <w:r w:rsidR="00BA315F" w:rsidRPr="00553DD8">
        <w:rPr>
          <w:rFonts w:eastAsia="Times New Roman" w:cs="Times New Roman"/>
        </w:rPr>
        <w:t xml:space="preserve">published </w:t>
      </w:r>
      <w:r w:rsidR="00BA315F">
        <w:rPr>
          <w:rFonts w:eastAsia="Times New Roman" w:cs="Times New Roman"/>
        </w:rPr>
        <w:t>in December</w:t>
      </w:r>
      <w:r w:rsidR="00BA315F" w:rsidRPr="00553DD8">
        <w:rPr>
          <w:rFonts w:eastAsia="Times New Roman" w:cs="Times New Roman"/>
        </w:rPr>
        <w:t xml:space="preserve"> 2016</w:t>
      </w:r>
      <w:r w:rsidR="00BA315F">
        <w:rPr>
          <w:rFonts w:eastAsia="Times New Roman" w:cs="Times New Roman"/>
        </w:rPr>
        <w:t xml:space="preserve"> and can be found at </w:t>
      </w:r>
      <w:hyperlink r:id="rId33" w:history="1">
        <w:r w:rsidR="00BA315F" w:rsidRPr="00A2351F">
          <w:rPr>
            <w:rStyle w:val="Hyperlink"/>
            <w:rFonts w:eastAsia="Times New Roman" w:cs="Times New Roman"/>
          </w:rPr>
          <w:t>http://mes.gov.ge/uploads/Employers_27_survey.pdf</w:t>
        </w:r>
      </w:hyperlink>
      <w:r w:rsidR="00BA315F" w:rsidRPr="00553DD8">
        <w:rPr>
          <w:rFonts w:eastAsia="Times New Roman" w:cs="Times New Roman"/>
        </w:rPr>
        <w:t>.</w:t>
      </w:r>
      <w:r w:rsidR="00BA315F">
        <w:rPr>
          <w:rFonts w:eastAsia="Times New Roman" w:cs="Times New Roman"/>
        </w:rPr>
        <w:t xml:space="preserve"> Both surveys were contracted </w:t>
      </w:r>
      <w:r w:rsidR="00F117EF">
        <w:rPr>
          <w:rFonts w:eastAsia="Times New Roman" w:cs="Times New Roman"/>
        </w:rPr>
        <w:t>to ACT by</w:t>
      </w:r>
      <w:r w:rsidR="00BA315F">
        <w:rPr>
          <w:rFonts w:eastAsia="Times New Roman" w:cs="Times New Roman"/>
        </w:rPr>
        <w:t xml:space="preserve"> the SDC financed, UNDP implemented,</w:t>
      </w:r>
      <w:r w:rsidR="00BA315F">
        <w:t xml:space="preserve"> </w:t>
      </w:r>
      <w:r w:rsidR="00BA315F" w:rsidRPr="008812B2">
        <w:t>“Modernisation of VET and Extension Systems Related to A</w:t>
      </w:r>
      <w:r w:rsidR="00BA315F">
        <w:t>griculture in Georgia” project.</w:t>
      </w:r>
    </w:p>
    <w:p w14:paraId="7CA1CEE0" w14:textId="77777777" w:rsidR="00D2079E" w:rsidRDefault="00D2079E" w:rsidP="009E3730">
      <w:pPr>
        <w:widowControl w:val="0"/>
        <w:suppressAutoHyphens/>
        <w:rPr>
          <w:rFonts w:eastAsia="Times New Roman" w:cs="Times New Roman"/>
        </w:rPr>
      </w:pPr>
    </w:p>
    <w:p w14:paraId="0A5C8119" w14:textId="689C085A" w:rsidR="00BA315F" w:rsidRDefault="00BA315F" w:rsidP="009E3730">
      <w:pPr>
        <w:widowControl w:val="0"/>
        <w:suppressAutoHyphens/>
        <w:rPr>
          <w:rFonts w:eastAsia="Times New Roman" w:cs="Times New Roman"/>
        </w:rPr>
      </w:pPr>
      <w:r>
        <w:rPr>
          <w:rFonts w:eastAsia="Times New Roman" w:cs="Times New Roman"/>
        </w:rPr>
        <w:t>Th</w:t>
      </w:r>
      <w:r w:rsidR="00855B50">
        <w:rPr>
          <w:rFonts w:eastAsia="Times New Roman" w:cs="Times New Roman"/>
        </w:rPr>
        <w:t xml:space="preserve">e Indicator makes reference to comparison with an independent and representative baseline survey conducted under Second Instalment Indicator 3.2.2 in 2014. </w:t>
      </w:r>
      <w:r w:rsidR="00855B50">
        <w:t>A "</w:t>
      </w:r>
      <w:r w:rsidR="00855B50" w:rsidRPr="00855B50">
        <w:rPr>
          <w:i/>
        </w:rPr>
        <w:t xml:space="preserve">Survey of </w:t>
      </w:r>
      <w:r w:rsidR="00855B50" w:rsidRPr="00855B50">
        <w:rPr>
          <w:i/>
        </w:rPr>
        <w:lastRenderedPageBreak/>
        <w:t>Employers in Relation to Vocational Education</w:t>
      </w:r>
      <w:r w:rsidR="00855B50">
        <w:t xml:space="preserve">” was conducted by independent experts with the support of GIZ and UNDP in 2014. However, </w:t>
      </w:r>
      <w:r w:rsidR="00CD17DF">
        <w:t>i</w:t>
      </w:r>
      <w:r w:rsidR="00855B50">
        <w:t xml:space="preserve">t involved 230 of the 400 companies considered as partner organisations of the VET colleges, rather than the approach adopted in 2015 of taking a sample of companies operating in the country with or without involvement in the VET system. As the purpose of these surveys is to examine the impact of the VET system </w:t>
      </w:r>
      <w:r w:rsidR="00CD17DF">
        <w:t xml:space="preserve">on the country (including level of awareness </w:t>
      </w:r>
      <w:r w:rsidR="00FD4F50">
        <w:t xml:space="preserve">of, use of, </w:t>
      </w:r>
      <w:r w:rsidR="00CD17DF">
        <w:t>and interaction with the VET system), this preselected sample of those already concerned with the system does not provide an appropriate baseline for comparison. As a result, although this initial survey provided some important insights into the methodology of such surveys, it cannot be considered a baseline for comparison of results</w:t>
      </w:r>
      <w:r w:rsidR="00855B50">
        <w:rPr>
          <w:rStyle w:val="FootnoteReference"/>
        </w:rPr>
        <w:footnoteReference w:id="75"/>
      </w:r>
      <w:r w:rsidR="00855B50">
        <w:t>.</w:t>
      </w:r>
      <w:r w:rsidR="00CD17DF">
        <w:t xml:space="preserve"> As a result, the 2016 survey results are compared with those for 2015.</w:t>
      </w:r>
    </w:p>
    <w:p w14:paraId="19D154A8" w14:textId="77777777" w:rsidR="00BA315F" w:rsidRDefault="00BA315F" w:rsidP="009E3730">
      <w:pPr>
        <w:widowControl w:val="0"/>
        <w:suppressAutoHyphens/>
        <w:rPr>
          <w:rFonts w:eastAsia="Times New Roman" w:cs="Times New Roman"/>
        </w:rPr>
      </w:pPr>
    </w:p>
    <w:p w14:paraId="5A62A6EF" w14:textId="17EA203E" w:rsidR="00D2079E" w:rsidRPr="00126F29" w:rsidRDefault="00FD4F50" w:rsidP="009E3730">
      <w:pPr>
        <w:widowControl w:val="0"/>
        <w:suppressAutoHyphens/>
        <w:rPr>
          <w:rFonts w:eastAsia="Times New Roman" w:cs="Times New Roman"/>
        </w:rPr>
      </w:pPr>
      <w:r>
        <w:rPr>
          <w:rFonts w:eastAsia="Times New Roman" w:cs="Times New Roman"/>
        </w:rPr>
        <w:t>A c</w:t>
      </w:r>
      <w:r w:rsidR="00D2079E">
        <w:rPr>
          <w:rFonts w:eastAsia="Times New Roman" w:cs="Times New Roman"/>
        </w:rPr>
        <w:t xml:space="preserve">omparison </w:t>
      </w:r>
      <w:r>
        <w:rPr>
          <w:rFonts w:eastAsia="Times New Roman" w:cs="Times New Roman"/>
        </w:rPr>
        <w:t xml:space="preserve">of the 2016 and 2015 survey results </w:t>
      </w:r>
      <w:r w:rsidR="00D2079E" w:rsidRPr="00BC0359">
        <w:rPr>
          <w:rFonts w:eastAsia="Times New Roman" w:cs="Times New Roman"/>
        </w:rPr>
        <w:t xml:space="preserve">shows </w:t>
      </w:r>
      <w:r w:rsidR="00D2079E" w:rsidRPr="00126F29">
        <w:rPr>
          <w:rFonts w:eastAsia="Times New Roman" w:cs="Times New Roman"/>
        </w:rPr>
        <w:t xml:space="preserve">the following </w:t>
      </w:r>
      <w:r>
        <w:rPr>
          <w:rFonts w:eastAsia="Times New Roman" w:cs="Times New Roman"/>
        </w:rPr>
        <w:t xml:space="preserve">key </w:t>
      </w:r>
      <w:r w:rsidR="00D2079E" w:rsidRPr="00126F29">
        <w:rPr>
          <w:rFonts w:eastAsia="Times New Roman" w:cs="Times New Roman"/>
        </w:rPr>
        <w:t>trends:</w:t>
      </w:r>
    </w:p>
    <w:p w14:paraId="15AB0A80" w14:textId="77777777" w:rsidR="00D2079E" w:rsidRDefault="00D2079E" w:rsidP="009E3730">
      <w:pPr>
        <w:widowControl w:val="0"/>
        <w:suppressAutoHyphens/>
        <w:rPr>
          <w:rFonts w:eastAsia="Times New Roman" w:cs="Times New Roman"/>
        </w:rPr>
      </w:pPr>
    </w:p>
    <w:p w14:paraId="5DBE84A6" w14:textId="10E46F42" w:rsidR="00D2079E" w:rsidRPr="00DB26FF" w:rsidRDefault="00FD4F50" w:rsidP="007C295F">
      <w:pPr>
        <w:pStyle w:val="ListParagraph"/>
        <w:widowControl w:val="0"/>
        <w:numPr>
          <w:ilvl w:val="0"/>
          <w:numId w:val="34"/>
        </w:numPr>
        <w:suppressAutoHyphens/>
        <w:jc w:val="both"/>
        <w:rPr>
          <w:rFonts w:ascii="Arial" w:eastAsia="Times New Roman" w:hAnsi="Arial" w:cs="Arial"/>
        </w:rPr>
      </w:pPr>
      <w:r w:rsidRPr="00DB26FF">
        <w:rPr>
          <w:rFonts w:ascii="Arial" w:hAnsi="Arial" w:cs="Arial"/>
        </w:rPr>
        <w:t>71% of respondents indicated that they had some knowledge of the activities of VET colleges, and another 12% of vocational education in general</w:t>
      </w:r>
      <w:r w:rsidR="00DB26FF">
        <w:rPr>
          <w:rFonts w:ascii="Arial" w:hAnsi="Arial" w:cs="Arial"/>
        </w:rPr>
        <w:t>, while</w:t>
      </w:r>
      <w:r w:rsidRPr="00DB26FF">
        <w:rPr>
          <w:rFonts w:ascii="Arial" w:hAnsi="Arial" w:cs="Arial"/>
        </w:rPr>
        <w:t xml:space="preserve"> </w:t>
      </w:r>
      <w:r w:rsidR="00D2079E" w:rsidRPr="00DB26FF">
        <w:rPr>
          <w:rFonts w:ascii="Arial" w:hAnsi="Arial" w:cs="Arial"/>
        </w:rPr>
        <w:t>17% have no information</w:t>
      </w:r>
      <w:r w:rsidR="00DB26FF">
        <w:rPr>
          <w:rFonts w:ascii="Arial" w:hAnsi="Arial" w:cs="Arial"/>
        </w:rPr>
        <w:t>.</w:t>
      </w:r>
      <w:r w:rsidRPr="00DB26FF">
        <w:rPr>
          <w:rFonts w:ascii="Arial" w:hAnsi="Arial" w:cs="Arial"/>
        </w:rPr>
        <w:t xml:space="preserve"> </w:t>
      </w:r>
      <w:r w:rsidR="00DB26FF">
        <w:rPr>
          <w:rFonts w:ascii="Arial" w:hAnsi="Arial" w:cs="Arial"/>
        </w:rPr>
        <w:t>F</w:t>
      </w:r>
      <w:r w:rsidR="00DB26FF" w:rsidRPr="00DB26FF">
        <w:rPr>
          <w:rFonts w:ascii="Arial" w:hAnsi="Arial" w:cs="Arial"/>
        </w:rPr>
        <w:t>igures for 2015 are similar: 71%, 13%, and 16% respectively</w:t>
      </w:r>
      <w:r w:rsidR="000028FA">
        <w:rPr>
          <w:rFonts w:ascii="Arial" w:hAnsi="Arial" w:cs="Arial"/>
        </w:rPr>
        <w:t xml:space="preserve">. </w:t>
      </w:r>
      <w:r w:rsidR="007873A9">
        <w:rPr>
          <w:rFonts w:ascii="Arial" w:hAnsi="Arial" w:cs="Arial"/>
        </w:rPr>
        <w:t>59</w:t>
      </w:r>
      <w:r w:rsidR="000028FA">
        <w:rPr>
          <w:rFonts w:ascii="Arial" w:hAnsi="Arial" w:cs="Arial"/>
        </w:rPr>
        <w:t xml:space="preserve">% reported that the information came from television and other media, 29% from friends and relatives, </w:t>
      </w:r>
      <w:r w:rsidR="00DB26FF" w:rsidRPr="00DB26FF">
        <w:rPr>
          <w:rFonts w:ascii="Arial" w:hAnsi="Arial" w:cs="Arial"/>
        </w:rPr>
        <w:t>;</w:t>
      </w:r>
    </w:p>
    <w:p w14:paraId="70F3BE53" w14:textId="75446F2D" w:rsidR="00D2079E" w:rsidRPr="00FD4F50" w:rsidRDefault="00D2079E" w:rsidP="007C295F">
      <w:pPr>
        <w:pStyle w:val="ListParagraph"/>
        <w:widowControl w:val="0"/>
        <w:numPr>
          <w:ilvl w:val="0"/>
          <w:numId w:val="34"/>
        </w:numPr>
        <w:suppressAutoHyphens/>
        <w:jc w:val="both"/>
        <w:rPr>
          <w:rFonts w:ascii="Arial" w:hAnsi="Arial" w:cs="Arial"/>
        </w:rPr>
      </w:pPr>
      <w:r w:rsidRPr="00FD4F50">
        <w:rPr>
          <w:rFonts w:ascii="Arial" w:hAnsi="Arial" w:cs="Arial"/>
        </w:rPr>
        <w:t xml:space="preserve">8% of interviewed employers have had or are currently employing students or graduates of vocational schools who </w:t>
      </w:r>
      <w:r w:rsidRPr="00FD4F50">
        <w:rPr>
          <w:rFonts w:ascii="Arial" w:hAnsi="Arial" w:cs="Arial"/>
          <w:szCs w:val="24"/>
        </w:rPr>
        <w:t>graduated</w:t>
      </w:r>
      <w:r w:rsidRPr="00FD4F50">
        <w:rPr>
          <w:rFonts w:ascii="Arial" w:hAnsi="Arial" w:cs="Arial"/>
        </w:rPr>
        <w:t xml:space="preserve"> within the last three years</w:t>
      </w:r>
      <w:r w:rsidR="005127F1">
        <w:rPr>
          <w:rFonts w:ascii="Arial" w:hAnsi="Arial" w:cs="Arial"/>
        </w:rPr>
        <w:t>.</w:t>
      </w:r>
      <w:r w:rsidR="00567D5B">
        <w:rPr>
          <w:rFonts w:ascii="Arial" w:hAnsi="Arial" w:cs="Arial"/>
        </w:rPr>
        <w:t xml:space="preserve"> </w:t>
      </w:r>
      <w:r w:rsidR="00DB26FF">
        <w:rPr>
          <w:rFonts w:ascii="Arial" w:hAnsi="Arial" w:cs="Arial"/>
        </w:rPr>
        <w:t>This down from 2015 where the figure was 11%;</w:t>
      </w:r>
    </w:p>
    <w:p w14:paraId="51D9772E" w14:textId="0E4B2F75" w:rsidR="00D2079E" w:rsidRPr="00FD4F50" w:rsidRDefault="00D2079E" w:rsidP="007C295F">
      <w:pPr>
        <w:pStyle w:val="ListParagraph"/>
        <w:widowControl w:val="0"/>
        <w:numPr>
          <w:ilvl w:val="0"/>
          <w:numId w:val="34"/>
        </w:numPr>
        <w:suppressAutoHyphens/>
        <w:jc w:val="both"/>
        <w:rPr>
          <w:rFonts w:ascii="Arial" w:hAnsi="Arial" w:cs="Arial"/>
        </w:rPr>
      </w:pPr>
      <w:r w:rsidRPr="00FD4F50">
        <w:rPr>
          <w:rFonts w:ascii="Arial" w:hAnsi="Arial" w:cs="Arial"/>
        </w:rPr>
        <w:t>4% of the interviewed employers have students/graduates of vocational schools as interns/trainees</w:t>
      </w:r>
      <w:r w:rsidR="005127F1">
        <w:rPr>
          <w:rFonts w:ascii="Arial" w:hAnsi="Arial" w:cs="Arial"/>
        </w:rPr>
        <w:t xml:space="preserve"> (although 9% reported they had had VET students as interns in the last three years). </w:t>
      </w:r>
      <w:r w:rsidR="00DB26FF">
        <w:rPr>
          <w:rFonts w:ascii="Arial" w:hAnsi="Arial" w:cs="Arial"/>
        </w:rPr>
        <w:t>The figure for 2015 was the same - 4%</w:t>
      </w:r>
      <w:r w:rsidRPr="00FD4F50">
        <w:rPr>
          <w:rFonts w:ascii="Arial" w:hAnsi="Arial" w:cs="Arial"/>
        </w:rPr>
        <w:t>;</w:t>
      </w:r>
    </w:p>
    <w:p w14:paraId="1EBDF176" w14:textId="7E1AC135" w:rsidR="00D2079E" w:rsidRPr="00FD4F50" w:rsidRDefault="00D2079E" w:rsidP="007C295F">
      <w:pPr>
        <w:pStyle w:val="ListParagraph"/>
        <w:widowControl w:val="0"/>
        <w:numPr>
          <w:ilvl w:val="0"/>
          <w:numId w:val="34"/>
        </w:numPr>
        <w:suppressAutoHyphens/>
        <w:jc w:val="both"/>
        <w:rPr>
          <w:rFonts w:ascii="Arial" w:hAnsi="Arial" w:cs="Arial"/>
        </w:rPr>
      </w:pPr>
      <w:r w:rsidRPr="00FD4F50">
        <w:rPr>
          <w:rFonts w:ascii="Arial" w:hAnsi="Arial" w:cs="Arial"/>
        </w:rPr>
        <w:t>of the employers</w:t>
      </w:r>
      <w:r w:rsidR="007A2ADA">
        <w:rPr>
          <w:rFonts w:ascii="Arial" w:hAnsi="Arial" w:cs="Arial"/>
        </w:rPr>
        <w:t xml:space="preserve"> </w:t>
      </w:r>
      <w:r w:rsidR="00656FDB">
        <w:rPr>
          <w:rFonts w:ascii="Arial" w:hAnsi="Arial" w:cs="Arial"/>
        </w:rPr>
        <w:t xml:space="preserve">who had previously had </w:t>
      </w:r>
      <w:r w:rsidR="007A2ADA">
        <w:rPr>
          <w:rFonts w:ascii="Arial" w:hAnsi="Arial" w:cs="Arial"/>
        </w:rPr>
        <w:t>VET system interns</w:t>
      </w:r>
      <w:r w:rsidR="00656FDB">
        <w:rPr>
          <w:rFonts w:ascii="Arial" w:hAnsi="Arial" w:cs="Arial"/>
        </w:rPr>
        <w:t xml:space="preserve"> over the last three years</w:t>
      </w:r>
      <w:r w:rsidRPr="00FD4F50">
        <w:rPr>
          <w:rFonts w:ascii="Arial" w:hAnsi="Arial" w:cs="Arial"/>
        </w:rPr>
        <w:t xml:space="preserve">, </w:t>
      </w:r>
      <w:r w:rsidR="00656FDB">
        <w:rPr>
          <w:rFonts w:ascii="Arial" w:hAnsi="Arial" w:cs="Arial"/>
        </w:rPr>
        <w:t>14</w:t>
      </w:r>
      <w:r w:rsidRPr="00FD4F50">
        <w:rPr>
          <w:rFonts w:ascii="Arial" w:hAnsi="Arial" w:cs="Arial"/>
        </w:rPr>
        <w:t xml:space="preserve">% </w:t>
      </w:r>
      <w:r w:rsidR="00656FDB">
        <w:rPr>
          <w:rFonts w:ascii="Arial" w:hAnsi="Arial" w:cs="Arial"/>
        </w:rPr>
        <w:t xml:space="preserve">had </w:t>
      </w:r>
      <w:r w:rsidR="007A2ADA">
        <w:rPr>
          <w:rFonts w:ascii="Arial" w:hAnsi="Arial" w:cs="Arial"/>
        </w:rPr>
        <w:t>hire</w:t>
      </w:r>
      <w:r w:rsidR="00656FDB">
        <w:rPr>
          <w:rFonts w:ascii="Arial" w:hAnsi="Arial" w:cs="Arial"/>
        </w:rPr>
        <w:t>d</w:t>
      </w:r>
      <w:r w:rsidR="007A2ADA">
        <w:rPr>
          <w:rFonts w:ascii="Arial" w:hAnsi="Arial" w:cs="Arial"/>
        </w:rPr>
        <w:t xml:space="preserve"> all of them after completion of their internship, </w:t>
      </w:r>
      <w:r w:rsidR="00656FDB">
        <w:rPr>
          <w:rFonts w:ascii="Arial" w:hAnsi="Arial" w:cs="Arial"/>
        </w:rPr>
        <w:t>48</w:t>
      </w:r>
      <w:r w:rsidR="007A2ADA">
        <w:rPr>
          <w:rFonts w:ascii="Arial" w:hAnsi="Arial" w:cs="Arial"/>
        </w:rPr>
        <w:t>% some of the</w:t>
      </w:r>
      <w:r w:rsidR="00656FDB">
        <w:rPr>
          <w:rFonts w:ascii="Arial" w:hAnsi="Arial" w:cs="Arial"/>
        </w:rPr>
        <w:t>ir interns</w:t>
      </w:r>
      <w:r w:rsidR="007A2ADA">
        <w:rPr>
          <w:rFonts w:ascii="Arial" w:hAnsi="Arial" w:cs="Arial"/>
        </w:rPr>
        <w:t xml:space="preserve">, </w:t>
      </w:r>
      <w:r w:rsidR="00656FDB">
        <w:rPr>
          <w:rFonts w:ascii="Arial" w:hAnsi="Arial" w:cs="Arial"/>
        </w:rPr>
        <w:t>38</w:t>
      </w:r>
      <w:r w:rsidR="007A2ADA">
        <w:rPr>
          <w:rFonts w:ascii="Arial" w:hAnsi="Arial" w:cs="Arial"/>
        </w:rPr>
        <w:t>% none of them</w:t>
      </w:r>
      <w:r w:rsidR="00656FDB">
        <w:rPr>
          <w:rFonts w:ascii="Arial" w:hAnsi="Arial" w:cs="Arial"/>
        </w:rPr>
        <w:t>. Of those with interns</w:t>
      </w:r>
      <w:r w:rsidR="007A2ADA">
        <w:rPr>
          <w:rFonts w:ascii="Arial" w:hAnsi="Arial" w:cs="Arial"/>
        </w:rPr>
        <w:t xml:space="preserve">, </w:t>
      </w:r>
      <w:r w:rsidR="00656FDB">
        <w:rPr>
          <w:rFonts w:ascii="Arial" w:hAnsi="Arial" w:cs="Arial"/>
        </w:rPr>
        <w:t>29</w:t>
      </w:r>
      <w:r w:rsidR="00656FDB" w:rsidRPr="00FD4F50">
        <w:rPr>
          <w:rFonts w:ascii="Arial" w:hAnsi="Arial" w:cs="Arial"/>
        </w:rPr>
        <w:t xml:space="preserve">% </w:t>
      </w:r>
      <w:r w:rsidR="00656FDB">
        <w:rPr>
          <w:rFonts w:ascii="Arial" w:hAnsi="Arial" w:cs="Arial"/>
        </w:rPr>
        <w:t xml:space="preserve">said they planned to hire all of them after completion of their internship, 36% some of them, 26% none of them, </w:t>
      </w:r>
      <w:r w:rsidR="007A2ADA">
        <w:rPr>
          <w:rFonts w:ascii="Arial" w:hAnsi="Arial" w:cs="Arial"/>
        </w:rPr>
        <w:t xml:space="preserve">and 9% have yet to decide. This represents overall a decline compared to 2015 when </w:t>
      </w:r>
      <w:r w:rsidRPr="00FD4F50">
        <w:rPr>
          <w:rFonts w:ascii="Arial" w:hAnsi="Arial" w:cs="Arial"/>
        </w:rPr>
        <w:t>26% plan</w:t>
      </w:r>
      <w:r w:rsidR="007A2ADA">
        <w:rPr>
          <w:rFonts w:ascii="Arial" w:hAnsi="Arial" w:cs="Arial"/>
        </w:rPr>
        <w:t>ned</w:t>
      </w:r>
      <w:r w:rsidRPr="00FD4F50">
        <w:rPr>
          <w:rFonts w:ascii="Arial" w:hAnsi="Arial" w:cs="Arial"/>
        </w:rPr>
        <w:t xml:space="preserve"> to hire all</w:t>
      </w:r>
      <w:r w:rsidR="007A2ADA">
        <w:rPr>
          <w:rFonts w:ascii="Arial" w:hAnsi="Arial" w:cs="Arial"/>
        </w:rPr>
        <w:t>, 43% some, 10% none, and 21% were yet to decide</w:t>
      </w:r>
      <w:r w:rsidR="00D841A3">
        <w:rPr>
          <w:rFonts w:ascii="Arial" w:hAnsi="Arial" w:cs="Arial"/>
        </w:rPr>
        <w:t>;</w:t>
      </w:r>
    </w:p>
    <w:p w14:paraId="0D1CC9D5" w14:textId="08FB5BA8" w:rsidR="00D2079E" w:rsidRPr="00D73BD1" w:rsidRDefault="00D841A3" w:rsidP="007C295F">
      <w:pPr>
        <w:pStyle w:val="ListParagraph"/>
        <w:widowControl w:val="0"/>
        <w:numPr>
          <w:ilvl w:val="0"/>
          <w:numId w:val="34"/>
        </w:numPr>
        <w:suppressAutoHyphens/>
        <w:jc w:val="both"/>
        <w:rPr>
          <w:rFonts w:ascii="Arial" w:hAnsi="Arial" w:cs="Arial"/>
        </w:rPr>
      </w:pPr>
      <w:r w:rsidRPr="00D73BD1">
        <w:rPr>
          <w:rFonts w:ascii="Arial" w:hAnsi="Arial" w:cs="Arial"/>
        </w:rPr>
        <w:t xml:space="preserve">only </w:t>
      </w:r>
      <w:r w:rsidR="00D2079E" w:rsidRPr="00D73BD1">
        <w:rPr>
          <w:rFonts w:ascii="Arial" w:hAnsi="Arial" w:cs="Arial"/>
        </w:rPr>
        <w:t xml:space="preserve">4% of </w:t>
      </w:r>
      <w:r w:rsidRPr="00D73BD1">
        <w:rPr>
          <w:rFonts w:ascii="Arial" w:hAnsi="Arial" w:cs="Arial"/>
        </w:rPr>
        <w:t xml:space="preserve">the </w:t>
      </w:r>
      <w:r w:rsidR="00D2079E" w:rsidRPr="00D73BD1">
        <w:rPr>
          <w:rFonts w:ascii="Arial" w:hAnsi="Arial" w:cs="Arial"/>
          <w:szCs w:val="24"/>
        </w:rPr>
        <w:t>organisations</w:t>
      </w:r>
      <w:r w:rsidR="00D2079E" w:rsidRPr="00D73BD1">
        <w:rPr>
          <w:rFonts w:ascii="Arial" w:hAnsi="Arial" w:cs="Arial"/>
        </w:rPr>
        <w:t xml:space="preserve"> </w:t>
      </w:r>
      <w:r w:rsidRPr="00D73BD1">
        <w:rPr>
          <w:rFonts w:ascii="Arial" w:hAnsi="Arial" w:cs="Arial"/>
        </w:rPr>
        <w:t xml:space="preserve">surveyed </w:t>
      </w:r>
      <w:r w:rsidR="00D73BD1">
        <w:rPr>
          <w:rFonts w:ascii="Arial" w:hAnsi="Arial" w:cs="Arial"/>
        </w:rPr>
        <w:t xml:space="preserve">already </w:t>
      </w:r>
      <w:r w:rsidR="00D2079E" w:rsidRPr="00D73BD1">
        <w:rPr>
          <w:rFonts w:ascii="Arial" w:hAnsi="Arial" w:cs="Arial"/>
        </w:rPr>
        <w:t xml:space="preserve">cooperate with </w:t>
      </w:r>
      <w:r w:rsidRPr="00D73BD1">
        <w:rPr>
          <w:rFonts w:ascii="Arial" w:hAnsi="Arial" w:cs="Arial"/>
        </w:rPr>
        <w:t>one or other VET providers</w:t>
      </w:r>
      <w:r w:rsidR="00DF1876">
        <w:rPr>
          <w:rFonts w:ascii="Arial" w:hAnsi="Arial" w:cs="Arial"/>
        </w:rPr>
        <w:t>, mainly by providing internships - 4%)</w:t>
      </w:r>
      <w:r w:rsidRPr="00D73BD1">
        <w:rPr>
          <w:rFonts w:ascii="Arial" w:hAnsi="Arial" w:cs="Arial"/>
        </w:rPr>
        <w:t>, a drop from the already low figure of 7% reported in 2015</w:t>
      </w:r>
      <w:r w:rsidR="00DF1876">
        <w:rPr>
          <w:rFonts w:ascii="Arial" w:hAnsi="Arial" w:cs="Arial"/>
        </w:rPr>
        <w:t xml:space="preserve"> (with 6% offering internships)</w:t>
      </w:r>
      <w:r w:rsidRPr="00D73BD1">
        <w:rPr>
          <w:rFonts w:ascii="Arial" w:hAnsi="Arial" w:cs="Arial"/>
        </w:rPr>
        <w:t xml:space="preserve">. </w:t>
      </w:r>
      <w:r w:rsidR="00DF1876">
        <w:rPr>
          <w:rFonts w:ascii="Arial" w:hAnsi="Arial" w:cs="Arial"/>
        </w:rPr>
        <w:t xml:space="preserve">Only 2% had agreements/memoranda with VET institutions, down from 4% in 2015 </w:t>
      </w:r>
      <w:r w:rsidRPr="00D73BD1">
        <w:rPr>
          <w:rFonts w:ascii="Arial" w:hAnsi="Arial" w:cs="Arial"/>
        </w:rPr>
        <w:t xml:space="preserve">This is despite an increased awareness of cooperation: </w:t>
      </w:r>
      <w:r w:rsidR="00D2079E" w:rsidRPr="00D73BD1">
        <w:rPr>
          <w:rFonts w:ascii="Arial" w:hAnsi="Arial" w:cs="Arial"/>
        </w:rPr>
        <w:t xml:space="preserve">27% </w:t>
      </w:r>
      <w:r w:rsidRPr="00D73BD1">
        <w:rPr>
          <w:rFonts w:ascii="Arial" w:hAnsi="Arial" w:cs="Arial"/>
        </w:rPr>
        <w:t xml:space="preserve">of the 2016 respondents confirmed a </w:t>
      </w:r>
      <w:r w:rsidR="00D2079E" w:rsidRPr="00D73BD1">
        <w:rPr>
          <w:rFonts w:ascii="Arial" w:hAnsi="Arial" w:cs="Arial"/>
        </w:rPr>
        <w:t xml:space="preserve">lack information about the possibility of cooperation with VET </w:t>
      </w:r>
      <w:r w:rsidRPr="00D73BD1">
        <w:rPr>
          <w:rFonts w:ascii="Arial" w:hAnsi="Arial" w:cs="Arial"/>
        </w:rPr>
        <w:t>providers compared to 48% in 2015</w:t>
      </w:r>
      <w:r w:rsidR="00DF1876">
        <w:rPr>
          <w:rFonts w:ascii="Arial" w:hAnsi="Arial" w:cs="Arial"/>
        </w:rPr>
        <w:t>. 28% were uninterested because of the extra costs involved (compared with 14% in 2015)</w:t>
      </w:r>
      <w:r w:rsidR="00D73BD1" w:rsidRPr="00D73BD1">
        <w:rPr>
          <w:rFonts w:ascii="Arial" w:hAnsi="Arial" w:cs="Arial"/>
        </w:rPr>
        <w:t xml:space="preserve">, while 12% considered VET system qualifications of little value </w:t>
      </w:r>
      <w:r w:rsidR="00D73BD1">
        <w:rPr>
          <w:rFonts w:ascii="Arial" w:hAnsi="Arial" w:cs="Arial"/>
        </w:rPr>
        <w:t xml:space="preserve">to them to justify cooperation </w:t>
      </w:r>
      <w:r w:rsidR="00D73BD1" w:rsidRPr="00D73BD1">
        <w:rPr>
          <w:rFonts w:ascii="Arial" w:hAnsi="Arial" w:cs="Arial"/>
        </w:rPr>
        <w:t>(15% in 2015).</w:t>
      </w:r>
    </w:p>
    <w:p w14:paraId="2477B889" w14:textId="77777777" w:rsidR="00D2079E" w:rsidRDefault="00D2079E" w:rsidP="009E3730">
      <w:pPr>
        <w:widowControl w:val="0"/>
        <w:suppressAutoHyphens/>
        <w:rPr>
          <w:rFonts w:eastAsia="Times New Roman" w:cs="Times New Roman"/>
        </w:rPr>
      </w:pPr>
    </w:p>
    <w:p w14:paraId="64B713F6" w14:textId="6DAB1ADC" w:rsidR="00DF6C50" w:rsidRDefault="00D318EB" w:rsidP="009E3730">
      <w:pPr>
        <w:widowControl w:val="0"/>
        <w:suppressAutoHyphens/>
        <w:rPr>
          <w:rFonts w:eastAsia="Times New Roman" w:cs="Times New Roman"/>
        </w:rPr>
      </w:pPr>
      <w:r>
        <w:rPr>
          <w:rFonts w:eastAsia="Times New Roman" w:cs="Times New Roman"/>
        </w:rPr>
        <w:t xml:space="preserve">Although a much smaller sample, the 2016 survey more or less confirms the main finding of the 2015 survey: that the VET system has little relevance to employers. Only 8% have employed VET students or graduates and only 4% have interns from the VET system. As mentioned in the Third Instalment Review Aide Memoire, </w:t>
      </w:r>
      <w:r w:rsidR="00D9590A">
        <w:rPr>
          <w:rFonts w:eastAsia="Times New Roman" w:cs="Times New Roman"/>
        </w:rPr>
        <w:t>w</w:t>
      </w:r>
      <w:r>
        <w:rPr>
          <w:rFonts w:eastAsia="Times New Roman" w:cs="Times New Roman"/>
        </w:rPr>
        <w:t xml:space="preserve">hether this </w:t>
      </w:r>
      <w:r w:rsidR="00D9590A">
        <w:rPr>
          <w:rFonts w:eastAsia="Times New Roman" w:cs="Times New Roman"/>
        </w:rPr>
        <w:t>represents</w:t>
      </w:r>
      <w:r>
        <w:rPr>
          <w:rFonts w:eastAsia="Times New Roman" w:cs="Times New Roman"/>
        </w:rPr>
        <w:t xml:space="preserve"> '</w:t>
      </w:r>
      <w:r w:rsidR="00D9590A">
        <w:rPr>
          <w:rFonts w:eastAsia="Times New Roman" w:cs="Times New Roman"/>
          <w:i/>
        </w:rPr>
        <w:t>positive</w:t>
      </w:r>
      <w:r>
        <w:rPr>
          <w:rFonts w:eastAsia="Times New Roman" w:cs="Times New Roman"/>
          <w:i/>
        </w:rPr>
        <w:t xml:space="preserve"> </w:t>
      </w:r>
      <w:r w:rsidR="00D9590A" w:rsidRPr="00D9590A">
        <w:rPr>
          <w:rFonts w:eastAsia="Times New Roman" w:cs="Times New Roman"/>
          <w:i/>
        </w:rPr>
        <w:t>feedback</w:t>
      </w:r>
      <w:r w:rsidR="00D9590A">
        <w:rPr>
          <w:rFonts w:eastAsia="Times New Roman" w:cs="Times New Roman"/>
        </w:rPr>
        <w:t>'</w:t>
      </w:r>
      <w:r w:rsidR="00D9590A" w:rsidRPr="00D9590A">
        <w:rPr>
          <w:rFonts w:eastAsia="Times New Roman" w:cs="Times New Roman"/>
        </w:rPr>
        <w:t xml:space="preserve"> is open to question</w:t>
      </w:r>
      <w:r w:rsidR="00D9590A">
        <w:rPr>
          <w:rFonts w:eastAsia="Times New Roman" w:cs="Times New Roman"/>
        </w:rPr>
        <w:t>, especially as the proportion of respondents empl</w:t>
      </w:r>
      <w:r w:rsidR="007873A9">
        <w:rPr>
          <w:rFonts w:eastAsia="Times New Roman" w:cs="Times New Roman"/>
        </w:rPr>
        <w:t>o</w:t>
      </w:r>
      <w:r w:rsidR="00D9590A">
        <w:rPr>
          <w:rFonts w:eastAsia="Times New Roman" w:cs="Times New Roman"/>
        </w:rPr>
        <w:t>ying VET system graduates has fallen since 2015</w:t>
      </w:r>
      <w:r w:rsidR="00D9590A" w:rsidRPr="00D9590A">
        <w:rPr>
          <w:rFonts w:eastAsia="Times New Roman" w:cs="Times New Roman"/>
        </w:rPr>
        <w:t>.</w:t>
      </w:r>
      <w:r w:rsidR="00D9590A">
        <w:rPr>
          <w:rFonts w:eastAsia="Times New Roman" w:cs="Times New Roman"/>
        </w:rPr>
        <w:t xml:space="preserve"> It could be suggested that </w:t>
      </w:r>
      <w:r w:rsidR="00D9590A" w:rsidRPr="00D9590A">
        <w:rPr>
          <w:rFonts w:eastAsia="Times New Roman" w:cs="Times New Roman"/>
          <w:i/>
        </w:rPr>
        <w:t>'positive feedback'</w:t>
      </w:r>
      <w:r w:rsidR="00D9590A">
        <w:rPr>
          <w:rFonts w:eastAsia="Times New Roman" w:cs="Times New Roman"/>
        </w:rPr>
        <w:t xml:space="preserve"> refers simply to the willingness of employers to talk about the VET system, i.e. respond to the survey questionnaire, but the significant reduction in coverage between 2015 and 2016 surveys raises questions about whether the survey meets requirements under this definition </w:t>
      </w:r>
      <w:r w:rsidR="00BF49B0">
        <w:rPr>
          <w:rFonts w:eastAsia="Times New Roman" w:cs="Times New Roman"/>
        </w:rPr>
        <w:lastRenderedPageBreak/>
        <w:t>also</w:t>
      </w:r>
      <w:r w:rsidR="00D9590A">
        <w:rPr>
          <w:rFonts w:eastAsia="Times New Roman" w:cs="Times New Roman"/>
        </w:rPr>
        <w:t xml:space="preserve">. </w:t>
      </w:r>
      <w:r w:rsidR="00BF49B0">
        <w:rPr>
          <w:rFonts w:eastAsia="Times New Roman" w:cs="Times New Roman"/>
        </w:rPr>
        <w:t>T</w:t>
      </w:r>
      <w:r w:rsidR="00DF6C50">
        <w:rPr>
          <w:rFonts w:eastAsia="Times New Roman" w:cs="Times New Roman"/>
        </w:rPr>
        <w:t xml:space="preserve">he Review </w:t>
      </w:r>
      <w:r w:rsidR="00BF49B0">
        <w:rPr>
          <w:rFonts w:eastAsia="Times New Roman" w:cs="Times New Roman"/>
        </w:rPr>
        <w:t xml:space="preserve">does not </w:t>
      </w:r>
      <w:r w:rsidR="00DF6C50">
        <w:rPr>
          <w:rFonts w:eastAsia="Times New Roman" w:cs="Times New Roman"/>
        </w:rPr>
        <w:t xml:space="preserve">believe </w:t>
      </w:r>
      <w:r w:rsidR="00D9590A">
        <w:rPr>
          <w:rFonts w:eastAsia="Times New Roman" w:cs="Times New Roman"/>
        </w:rPr>
        <w:t>that 'positive' means there should be limited or reduced negative criticism</w:t>
      </w:r>
      <w:r w:rsidR="00DF6C50">
        <w:rPr>
          <w:rFonts w:eastAsia="Times New Roman" w:cs="Times New Roman"/>
        </w:rPr>
        <w:t>, as this</w:t>
      </w:r>
      <w:r w:rsidR="00D9590A">
        <w:rPr>
          <w:rFonts w:eastAsia="Times New Roman" w:cs="Times New Roman"/>
        </w:rPr>
        <w:t xml:space="preserve"> would undermine the value of such a survey. </w:t>
      </w:r>
    </w:p>
    <w:p w14:paraId="4C9D7FA7" w14:textId="77777777" w:rsidR="00DF6C50" w:rsidRDefault="00DF6C50" w:rsidP="009E3730">
      <w:pPr>
        <w:widowControl w:val="0"/>
        <w:suppressAutoHyphens/>
        <w:rPr>
          <w:rFonts w:eastAsia="Times New Roman" w:cs="Times New Roman"/>
        </w:rPr>
      </w:pPr>
    </w:p>
    <w:p w14:paraId="1B2A3835" w14:textId="6E37EF39" w:rsidR="00DF6C50" w:rsidRDefault="00DF6C50" w:rsidP="009E3730">
      <w:pPr>
        <w:widowControl w:val="0"/>
        <w:suppressAutoHyphens/>
        <w:rPr>
          <w:rFonts w:eastAsia="Times New Roman" w:cs="Times New Roman"/>
        </w:rPr>
      </w:pPr>
      <w:r>
        <w:rPr>
          <w:rFonts w:eastAsia="Times New Roman" w:cs="Times New Roman"/>
        </w:rPr>
        <w:t xml:space="preserve">The Third Instalment Review when commenting on the 2015 employers' survey highlighted the fact that while the Indicator referred to employers, the </w:t>
      </w:r>
      <w:r w:rsidR="00D42E4E">
        <w:rPr>
          <w:rFonts w:eastAsia="Times New Roman" w:cs="Times New Roman"/>
        </w:rPr>
        <w:t>S</w:t>
      </w:r>
      <w:r>
        <w:rPr>
          <w:rFonts w:eastAsia="Times New Roman" w:cs="Times New Roman"/>
        </w:rPr>
        <w:t xml:space="preserve">ource of </w:t>
      </w:r>
      <w:r w:rsidR="00D42E4E">
        <w:rPr>
          <w:rFonts w:eastAsia="Times New Roman" w:cs="Times New Roman"/>
        </w:rPr>
        <w:t>V</w:t>
      </w:r>
      <w:r>
        <w:rPr>
          <w:rFonts w:eastAsia="Times New Roman" w:cs="Times New Roman"/>
        </w:rPr>
        <w:t xml:space="preserve">erification required feedback from social partners and VET providers. </w:t>
      </w:r>
      <w:r w:rsidR="00BF49B0">
        <w:rPr>
          <w:rFonts w:eastAsia="Times New Roman" w:cs="Times New Roman"/>
        </w:rPr>
        <w:t>The survey provides feedback on the VET system from employers, but not employees or VET providers. Nor is there evidence of subsequent comment/response by these groups on the finding of the surveys, either through the NVETC or elsewhere</w:t>
      </w:r>
      <w:r w:rsidR="00D42E4E">
        <w:rPr>
          <w:rFonts w:eastAsia="Times New Roman" w:cs="Times New Roman"/>
        </w:rPr>
        <w:t>. While there is an ongoing emphasis to redesign programmes to better meet employers' requirements, there is no evidence that the results of the employers' survey have a direct influence on this, although it is to be hoped that VET providers bear these in mind</w:t>
      </w:r>
      <w:r w:rsidR="00BF49B0">
        <w:rPr>
          <w:rFonts w:eastAsia="Times New Roman" w:cs="Times New Roman"/>
        </w:rPr>
        <w:t xml:space="preserve">. </w:t>
      </w:r>
      <w:r w:rsidR="00D42E4E">
        <w:rPr>
          <w:rFonts w:eastAsia="Times New Roman" w:cs="Times New Roman"/>
        </w:rPr>
        <w:t>The Review rather believes that there is a mismatch between the Indicator and the Source of Verification. As the Indicator is about the employers survey, the only way the other players could provide feedback would be through comment, discussion on the survey results</w:t>
      </w:r>
      <w:r w:rsidR="001E5873">
        <w:rPr>
          <w:rFonts w:eastAsia="Times New Roman" w:cs="Times New Roman"/>
        </w:rPr>
        <w:t>, and this has neither taken place nor is planned</w:t>
      </w:r>
      <w:r w:rsidR="00D42E4E">
        <w:rPr>
          <w:rFonts w:eastAsia="Times New Roman" w:cs="Times New Roman"/>
        </w:rPr>
        <w:t xml:space="preserve">. </w:t>
      </w:r>
    </w:p>
    <w:p w14:paraId="4A99C051" w14:textId="77777777" w:rsidR="00DF6C50" w:rsidRDefault="00DF6C50" w:rsidP="009E3730">
      <w:pPr>
        <w:widowControl w:val="0"/>
        <w:suppressAutoHyphens/>
        <w:rPr>
          <w:rFonts w:eastAsia="Times New Roman" w:cs="Times New Roman"/>
        </w:rPr>
      </w:pPr>
    </w:p>
    <w:p w14:paraId="70721768" w14:textId="13522AD7" w:rsidR="00A50FDC" w:rsidRDefault="00DF6C50" w:rsidP="009E3730">
      <w:pPr>
        <w:widowControl w:val="0"/>
        <w:suppressAutoHyphens/>
        <w:rPr>
          <w:rFonts w:eastAsia="Times New Roman" w:cs="Times New Roman"/>
        </w:rPr>
      </w:pPr>
      <w:r>
        <w:rPr>
          <w:rFonts w:eastAsia="Times New Roman" w:cs="Times New Roman"/>
        </w:rPr>
        <w:t>Equally</w:t>
      </w:r>
      <w:r w:rsidR="00115DCA">
        <w:rPr>
          <w:rFonts w:eastAsia="Times New Roman" w:cs="Times New Roman"/>
        </w:rPr>
        <w:t>, or perhaps more,</w:t>
      </w:r>
      <w:r w:rsidR="00D9590A">
        <w:rPr>
          <w:rFonts w:eastAsia="Times New Roman" w:cs="Times New Roman"/>
        </w:rPr>
        <w:t xml:space="preserve"> important</w:t>
      </w:r>
      <w:r w:rsidR="00115DCA">
        <w:rPr>
          <w:rFonts w:eastAsia="Times New Roman" w:cs="Times New Roman"/>
        </w:rPr>
        <w:t xml:space="preserve"> </w:t>
      </w:r>
      <w:r w:rsidR="00D9590A">
        <w:rPr>
          <w:rFonts w:eastAsia="Times New Roman" w:cs="Times New Roman"/>
        </w:rPr>
        <w:t>is the response th</w:t>
      </w:r>
      <w:r w:rsidR="00115DCA">
        <w:rPr>
          <w:rFonts w:eastAsia="Times New Roman" w:cs="Times New Roman"/>
        </w:rPr>
        <w:t>at</w:t>
      </w:r>
      <w:r w:rsidR="00D9590A">
        <w:rPr>
          <w:rFonts w:eastAsia="Times New Roman" w:cs="Times New Roman"/>
        </w:rPr>
        <w:t xml:space="preserve"> Government make</w:t>
      </w:r>
      <w:r>
        <w:rPr>
          <w:rFonts w:eastAsia="Times New Roman" w:cs="Times New Roman"/>
        </w:rPr>
        <w:t>s</w:t>
      </w:r>
      <w:r w:rsidR="00115DCA">
        <w:rPr>
          <w:rFonts w:eastAsia="Times New Roman" w:cs="Times New Roman"/>
        </w:rPr>
        <w:t xml:space="preserve"> to the survey findings. A</w:t>
      </w:r>
      <w:r w:rsidR="00D9590A">
        <w:rPr>
          <w:rFonts w:eastAsia="Times New Roman" w:cs="Times New Roman"/>
        </w:rPr>
        <w:t>s with the tracer study mentioned above (Indicator 3.1.2), it seems that there has been little in terms of action to rectify the problems identified in 2015</w:t>
      </w:r>
      <w:r w:rsidR="003E2895">
        <w:rPr>
          <w:rFonts w:eastAsia="Times New Roman" w:cs="Times New Roman"/>
        </w:rPr>
        <w:t xml:space="preserve"> (and this is reinforced by the limited efforts to change the framework for social partnership (see below Indicator</w:t>
      </w:r>
      <w:r w:rsidR="00D9590A">
        <w:rPr>
          <w:rFonts w:eastAsia="Times New Roman" w:cs="Times New Roman"/>
        </w:rPr>
        <w:t xml:space="preserve"> </w:t>
      </w:r>
      <w:r w:rsidR="003E2895">
        <w:rPr>
          <w:rFonts w:eastAsia="Times New Roman" w:cs="Times New Roman"/>
        </w:rPr>
        <w:t>3.3.1). R</w:t>
      </w:r>
      <w:r w:rsidR="00D9590A">
        <w:rPr>
          <w:rFonts w:eastAsia="Times New Roman" w:cs="Times New Roman"/>
        </w:rPr>
        <w:t xml:space="preserve">eluctantly </w:t>
      </w:r>
      <w:r w:rsidR="003E2895">
        <w:rPr>
          <w:rFonts w:eastAsia="Times New Roman" w:cs="Times New Roman"/>
        </w:rPr>
        <w:t xml:space="preserve">it must be admitted that there is little to suggest that there will be a more active response to </w:t>
      </w:r>
      <w:r w:rsidR="00D9590A">
        <w:rPr>
          <w:rFonts w:eastAsia="Times New Roman" w:cs="Times New Roman"/>
        </w:rPr>
        <w:t>the 2016</w:t>
      </w:r>
      <w:r w:rsidR="003E2895">
        <w:rPr>
          <w:rFonts w:eastAsia="Times New Roman" w:cs="Times New Roman"/>
        </w:rPr>
        <w:t xml:space="preserve"> survey, especially as a very bullish interpretation is presented of the findings in the MoES self-assessment report (</w:t>
      </w:r>
      <w:r w:rsidR="00115DCA">
        <w:rPr>
          <w:rFonts w:eastAsia="Times New Roman" w:cs="Times New Roman"/>
        </w:rPr>
        <w:t xml:space="preserve">as with the Third Instalment report). The MoES report </w:t>
      </w:r>
      <w:r w:rsidR="003E2895">
        <w:rPr>
          <w:rFonts w:eastAsia="Times New Roman" w:cs="Times New Roman"/>
        </w:rPr>
        <w:t xml:space="preserve">appears </w:t>
      </w:r>
      <w:r w:rsidR="00115DCA">
        <w:rPr>
          <w:rFonts w:eastAsia="Times New Roman" w:cs="Times New Roman"/>
        </w:rPr>
        <w:t xml:space="preserve">not only </w:t>
      </w:r>
      <w:r w:rsidR="003E2895">
        <w:rPr>
          <w:rFonts w:eastAsia="Times New Roman" w:cs="Times New Roman"/>
        </w:rPr>
        <w:t>to compare 2016 findings with the init</w:t>
      </w:r>
      <w:r w:rsidR="008B69DE">
        <w:rPr>
          <w:rFonts w:eastAsia="Times New Roman" w:cs="Times New Roman"/>
        </w:rPr>
        <w:t>i</w:t>
      </w:r>
      <w:r w:rsidR="003E2895">
        <w:rPr>
          <w:rFonts w:eastAsia="Times New Roman" w:cs="Times New Roman"/>
        </w:rPr>
        <w:t>al interim 2015 report</w:t>
      </w:r>
      <w:r w:rsidR="000028FA">
        <w:rPr>
          <w:rFonts w:eastAsia="Times New Roman" w:cs="Times New Roman"/>
        </w:rPr>
        <w:t xml:space="preserve"> </w:t>
      </w:r>
      <w:r w:rsidR="00115DCA">
        <w:rPr>
          <w:rFonts w:eastAsia="Times New Roman" w:cs="Times New Roman"/>
        </w:rPr>
        <w:t xml:space="preserve">but also to quote </w:t>
      </w:r>
      <w:r w:rsidR="000028FA">
        <w:rPr>
          <w:rFonts w:eastAsia="Times New Roman" w:cs="Times New Roman"/>
        </w:rPr>
        <w:t xml:space="preserve">figures </w:t>
      </w:r>
      <w:r w:rsidR="00115DCA">
        <w:rPr>
          <w:rFonts w:eastAsia="Times New Roman" w:cs="Times New Roman"/>
        </w:rPr>
        <w:t xml:space="preserve">in support of progress that are not </w:t>
      </w:r>
      <w:r w:rsidR="000028FA">
        <w:rPr>
          <w:rFonts w:eastAsia="Times New Roman" w:cs="Times New Roman"/>
        </w:rPr>
        <w:t xml:space="preserve">found in the </w:t>
      </w:r>
      <w:r w:rsidR="00115DCA">
        <w:rPr>
          <w:rFonts w:eastAsia="Times New Roman" w:cs="Times New Roman"/>
        </w:rPr>
        <w:t xml:space="preserve">2016 </w:t>
      </w:r>
      <w:r w:rsidR="000028FA">
        <w:rPr>
          <w:rFonts w:eastAsia="Times New Roman" w:cs="Times New Roman"/>
        </w:rPr>
        <w:t xml:space="preserve">survey report: for instance </w:t>
      </w:r>
      <w:r w:rsidR="00567D5B">
        <w:rPr>
          <w:rFonts w:eastAsia="Times New Roman" w:cs="Times New Roman"/>
        </w:rPr>
        <w:t xml:space="preserve">mixing those employing graduates with those having interns, </w:t>
      </w:r>
      <w:r w:rsidR="000028FA">
        <w:rPr>
          <w:rFonts w:eastAsia="Times New Roman" w:cs="Times New Roman"/>
        </w:rPr>
        <w:t xml:space="preserve">stating that </w:t>
      </w:r>
      <w:r w:rsidR="00741C15">
        <w:rPr>
          <w:rFonts w:eastAsia="Times New Roman" w:cs="Times New Roman"/>
        </w:rPr>
        <w:t xml:space="preserve">in 2016 </w:t>
      </w:r>
      <w:r w:rsidR="000028FA">
        <w:rPr>
          <w:rFonts w:eastAsia="Times New Roman" w:cs="Times New Roman"/>
        </w:rPr>
        <w:t>14% employ VET students</w:t>
      </w:r>
      <w:r w:rsidR="00567D5B">
        <w:rPr>
          <w:rFonts w:eastAsia="Times New Roman" w:cs="Times New Roman"/>
        </w:rPr>
        <w:t xml:space="preserve"> as interns </w:t>
      </w:r>
      <w:r w:rsidR="00741C15">
        <w:rPr>
          <w:rFonts w:eastAsia="Times New Roman" w:cs="Times New Roman"/>
        </w:rPr>
        <w:t xml:space="preserve">as against </w:t>
      </w:r>
      <w:r w:rsidR="00567D5B">
        <w:rPr>
          <w:rFonts w:eastAsia="Times New Roman" w:cs="Times New Roman"/>
        </w:rPr>
        <w:t>4</w:t>
      </w:r>
      <w:r w:rsidR="000028FA">
        <w:rPr>
          <w:rFonts w:eastAsia="Times New Roman" w:cs="Times New Roman"/>
        </w:rPr>
        <w:t>% in the report</w:t>
      </w:r>
      <w:r w:rsidR="00741C15">
        <w:rPr>
          <w:rFonts w:eastAsia="Times New Roman" w:cs="Times New Roman"/>
        </w:rPr>
        <w:t xml:space="preserve">, and comparing this with 7% in 2015, whereas the figure in the 2015 report is </w:t>
      </w:r>
      <w:r w:rsidR="00567D5B">
        <w:rPr>
          <w:rFonts w:eastAsia="Times New Roman" w:cs="Times New Roman"/>
        </w:rPr>
        <w:t>also 4</w:t>
      </w:r>
      <w:r w:rsidR="00741C15">
        <w:rPr>
          <w:rFonts w:eastAsia="Times New Roman" w:cs="Times New Roman"/>
        </w:rPr>
        <w:t xml:space="preserve">% - turning this important </w:t>
      </w:r>
      <w:r w:rsidR="00567D5B">
        <w:rPr>
          <w:rFonts w:eastAsia="Times New Roman" w:cs="Times New Roman"/>
        </w:rPr>
        <w:t xml:space="preserve">reflection of low participation from a situation of no change </w:t>
      </w:r>
      <w:r w:rsidR="00741C15">
        <w:rPr>
          <w:rFonts w:eastAsia="Times New Roman" w:cs="Times New Roman"/>
        </w:rPr>
        <w:t>into a 100% increase</w:t>
      </w:r>
      <w:r w:rsidR="00567D5B">
        <w:rPr>
          <w:rFonts w:eastAsia="Times New Roman" w:cs="Times New Roman"/>
        </w:rPr>
        <w:t>, and not mentioning the 32% reduction in the number of companies employing VET system graduates</w:t>
      </w:r>
      <w:r w:rsidR="00567D5B">
        <w:rPr>
          <w:rStyle w:val="FootnoteReference"/>
          <w:rFonts w:eastAsia="Times New Roman"/>
        </w:rPr>
        <w:footnoteReference w:id="76"/>
      </w:r>
      <w:r w:rsidR="003E2895">
        <w:rPr>
          <w:rFonts w:eastAsia="Times New Roman" w:cs="Times New Roman"/>
        </w:rPr>
        <w:t>).</w:t>
      </w:r>
      <w:r w:rsidR="00CB4B7A">
        <w:rPr>
          <w:rFonts w:eastAsia="Times New Roman" w:cs="Times New Roman"/>
        </w:rPr>
        <w:t xml:space="preserve"> Whatever the reason for this, what is not evident is a recognition of the problem and a serious </w:t>
      </w:r>
      <w:r w:rsidR="0059415D">
        <w:rPr>
          <w:rFonts w:eastAsia="Times New Roman" w:cs="Times New Roman"/>
        </w:rPr>
        <w:t>proposal to resolve it.</w:t>
      </w:r>
    </w:p>
    <w:p w14:paraId="63F4CD51" w14:textId="77777777" w:rsidR="003E2895" w:rsidRPr="00D9590A" w:rsidRDefault="003E2895" w:rsidP="009E3730">
      <w:pPr>
        <w:widowControl w:val="0"/>
        <w:suppressAutoHyphens/>
        <w:rPr>
          <w:rFonts w:eastAsia="Times New Roman" w:cs="Times New Roman"/>
          <w:i/>
        </w:rPr>
      </w:pPr>
    </w:p>
    <w:p w14:paraId="4BDE429E" w14:textId="77777777" w:rsidR="009601AE" w:rsidRDefault="009601AE" w:rsidP="009E3730">
      <w:pPr>
        <w:pStyle w:val="Heading3"/>
        <w:widowControl w:val="0"/>
        <w:suppressAutoHyphens/>
      </w:pPr>
      <w:bookmarkStart w:id="70" w:name="_Toc404511350"/>
      <w:bookmarkStart w:id="71" w:name="_Toc413019057"/>
      <w:bookmarkStart w:id="72" w:name="_Toc486837770"/>
      <w:r>
        <w:t>iii)</w:t>
      </w:r>
      <w:r>
        <w:tab/>
        <w:t>Specific Condition 3.3:</w:t>
      </w:r>
      <w:r>
        <w:rPr>
          <w:lang w:eastAsia="en-GB"/>
        </w:rPr>
        <w:t xml:space="preserve"> Enhanced social partnership.</w:t>
      </w:r>
      <w:bookmarkEnd w:id="70"/>
      <w:bookmarkEnd w:id="71"/>
      <w:bookmarkEnd w:id="72"/>
    </w:p>
    <w:p w14:paraId="28AE879C" w14:textId="77777777" w:rsidR="009601AE" w:rsidRDefault="009601AE" w:rsidP="009E3730">
      <w:pPr>
        <w:widowControl w:val="0"/>
        <w:suppressAutoHyphens/>
      </w:pPr>
    </w:p>
    <w:p w14:paraId="4A9527D7" w14:textId="77777777" w:rsidR="009601AE" w:rsidRPr="006B1542" w:rsidRDefault="009601AE" w:rsidP="009E3730">
      <w:pPr>
        <w:widowControl w:val="0"/>
        <w:suppressAutoHyphens/>
      </w:pPr>
      <w:r w:rsidRPr="006B1542">
        <w:rPr>
          <w:bCs/>
        </w:rPr>
        <w:t>Potential value: €0</w:t>
      </w:r>
      <w:r>
        <w:rPr>
          <w:bCs/>
        </w:rPr>
        <w:t>.5</w:t>
      </w:r>
      <w:r w:rsidRPr="006B1542">
        <w:rPr>
          <w:bCs/>
        </w:rPr>
        <w:t>mn.</w:t>
      </w:r>
    </w:p>
    <w:p w14:paraId="57263779" w14:textId="77777777" w:rsidR="009601AE" w:rsidRDefault="009601AE" w:rsidP="009E3730">
      <w:pPr>
        <w:widowControl w:val="0"/>
        <w:suppressAutoHyphens/>
      </w:pPr>
    </w:p>
    <w:p w14:paraId="702B0B06" w14:textId="1B58332D" w:rsidR="009601AE" w:rsidRDefault="009601AE" w:rsidP="009E3730">
      <w:pPr>
        <w:widowControl w:val="0"/>
        <w:suppressAutoHyphens/>
        <w:rPr>
          <w:b/>
          <w:bCs/>
        </w:rPr>
      </w:pPr>
      <w:r>
        <w:rPr>
          <w:b/>
          <w:bCs/>
        </w:rPr>
        <w:t xml:space="preserve">Review Assessment: </w:t>
      </w:r>
      <w:r w:rsidR="006911D7">
        <w:rPr>
          <w:b/>
          <w:bCs/>
        </w:rPr>
        <w:t>non-</w:t>
      </w:r>
      <w:r>
        <w:rPr>
          <w:b/>
          <w:bCs/>
        </w:rPr>
        <w:t>compliance</w:t>
      </w:r>
      <w:r w:rsidR="006911D7">
        <w:rPr>
          <w:b/>
          <w:bCs/>
        </w:rPr>
        <w:t xml:space="preserve"> (one Indicator out of two fulfilled insufficient for partial compliance)</w:t>
      </w:r>
      <w:r>
        <w:rPr>
          <w:b/>
          <w:bCs/>
        </w:rPr>
        <w:t>.</w:t>
      </w:r>
    </w:p>
    <w:p w14:paraId="1284A923" w14:textId="77777777" w:rsidR="006911D7" w:rsidRDefault="006911D7" w:rsidP="009E3730">
      <w:pPr>
        <w:widowControl w:val="0"/>
        <w:suppressAutoHyphens/>
      </w:pPr>
    </w:p>
    <w:p w14:paraId="55FAD330" w14:textId="58DA579A" w:rsidR="006911D7" w:rsidRDefault="006911D7" w:rsidP="009E3730">
      <w:pPr>
        <w:widowControl w:val="0"/>
        <w:suppressAutoHyphens/>
      </w:pPr>
      <w:r>
        <w:t>Score: 0.0. Recommended disbursement: nil.</w:t>
      </w:r>
    </w:p>
    <w:p w14:paraId="3E52DEDD" w14:textId="77777777" w:rsidR="009601AE" w:rsidRDefault="009601AE" w:rsidP="009E3730">
      <w:pPr>
        <w:widowControl w:val="0"/>
        <w:suppressAutoHyphens/>
      </w:pPr>
    </w:p>
    <w:p w14:paraId="0C3C9D87" w14:textId="77777777" w:rsidR="009601AE" w:rsidRDefault="009601AE" w:rsidP="009E3730">
      <w:pPr>
        <w:widowControl w:val="0"/>
        <w:suppressAutoHyphens/>
        <w:rPr>
          <w:b/>
          <w:bCs/>
          <w:i/>
          <w:iCs/>
          <w:lang w:eastAsia="en-GB"/>
        </w:rPr>
      </w:pPr>
      <w:r>
        <w:rPr>
          <w:b/>
          <w:bCs/>
          <w:u w:val="single"/>
        </w:rPr>
        <w:t>Indicator 3.3.1</w:t>
      </w:r>
      <w:r>
        <w:rPr>
          <w:b/>
          <w:bCs/>
        </w:rPr>
        <w:t xml:space="preserve">: </w:t>
      </w:r>
      <w:r>
        <w:rPr>
          <w:b/>
          <w:bCs/>
          <w:i/>
          <w:iCs/>
          <w:lang w:eastAsia="en-GB"/>
        </w:rPr>
        <w:t>Improved framework for social partnership in VET, including reference to elements of work-based learning (WBL), and reflecting the systemic participation of social partners in the VET policy cycle, is implemented.</w:t>
      </w:r>
    </w:p>
    <w:p w14:paraId="0C740456" w14:textId="77777777" w:rsidR="009601AE" w:rsidRDefault="009601AE" w:rsidP="009E3730">
      <w:pPr>
        <w:widowControl w:val="0"/>
        <w:suppressAutoHyphens/>
        <w:rPr>
          <w:lang w:eastAsia="en-GB"/>
        </w:rPr>
      </w:pPr>
    </w:p>
    <w:p w14:paraId="59D704DF" w14:textId="63FBD149" w:rsidR="009601AE" w:rsidRDefault="009601AE" w:rsidP="009E3730">
      <w:pPr>
        <w:widowControl w:val="0"/>
        <w:suppressAutoHyphens/>
        <w:rPr>
          <w:lang w:eastAsia="en-GB"/>
        </w:rPr>
      </w:pPr>
      <w:r>
        <w:rPr>
          <w:lang w:eastAsia="en-GB"/>
        </w:rPr>
        <w:t>[TAPs footnote 1 defines w</w:t>
      </w:r>
      <w:r>
        <w:t xml:space="preserve">ork-based learning as </w:t>
      </w:r>
      <w:r>
        <w:rPr>
          <w:i/>
          <w:iCs/>
        </w:rPr>
        <w:t>'acquisition of knowledge and skills through carrying out – and reflecting on – tasks in a vocational context, either at the workplace or in a VET institution. WBL comprehends various forms/models, e.g.: apprenticeships, on-the-job training in companies, practical learning in the school context (in workshops, laboratories, simulated work environment), internships after graduation</w:t>
      </w:r>
      <w:r>
        <w:t>'.]</w:t>
      </w:r>
    </w:p>
    <w:p w14:paraId="28E2D09B" w14:textId="77777777" w:rsidR="009601AE" w:rsidRDefault="009601AE" w:rsidP="009E3730">
      <w:pPr>
        <w:widowControl w:val="0"/>
        <w:suppressAutoHyphens/>
        <w:rPr>
          <w:lang w:eastAsia="en-GB"/>
        </w:rPr>
      </w:pPr>
    </w:p>
    <w:p w14:paraId="20698BE0" w14:textId="77777777" w:rsidR="009601AE" w:rsidRDefault="009601AE" w:rsidP="009E3730">
      <w:pPr>
        <w:widowControl w:val="0"/>
        <w:suppressAutoHyphens/>
      </w:pPr>
      <w:r>
        <w:t xml:space="preserve">Source of Verification: </w:t>
      </w:r>
    </w:p>
    <w:p w14:paraId="0C27C162" w14:textId="77777777" w:rsidR="009601AE" w:rsidRDefault="009601AE" w:rsidP="009E3730">
      <w:pPr>
        <w:widowControl w:val="0"/>
        <w:numPr>
          <w:ilvl w:val="0"/>
          <w:numId w:val="1"/>
        </w:numPr>
        <w:suppressAutoHyphens/>
        <w:autoSpaceDE w:val="0"/>
        <w:autoSpaceDN w:val="0"/>
        <w:ind w:left="714" w:hanging="357"/>
        <w:rPr>
          <w:lang w:eastAsia="en-GB"/>
        </w:rPr>
      </w:pPr>
      <w:r>
        <w:rPr>
          <w:lang w:eastAsia="en-GB"/>
        </w:rPr>
        <w:t>Implementation report;</w:t>
      </w:r>
    </w:p>
    <w:p w14:paraId="6C327822" w14:textId="77777777" w:rsidR="009601AE" w:rsidRDefault="009601AE" w:rsidP="009E3730">
      <w:pPr>
        <w:widowControl w:val="0"/>
        <w:numPr>
          <w:ilvl w:val="0"/>
          <w:numId w:val="1"/>
        </w:numPr>
        <w:suppressAutoHyphens/>
        <w:autoSpaceDE w:val="0"/>
        <w:autoSpaceDN w:val="0"/>
        <w:ind w:left="714" w:hanging="357"/>
        <w:rPr>
          <w:lang w:eastAsia="en-GB"/>
        </w:rPr>
      </w:pPr>
      <w:r>
        <w:rPr>
          <w:lang w:eastAsia="en-GB"/>
        </w:rPr>
        <w:t>Minutes of meetings/consultations with social partners.</w:t>
      </w:r>
    </w:p>
    <w:p w14:paraId="67379EA5" w14:textId="77777777" w:rsidR="009601AE" w:rsidRDefault="009601AE" w:rsidP="009E3730">
      <w:pPr>
        <w:widowControl w:val="0"/>
        <w:suppressAutoHyphens/>
      </w:pPr>
    </w:p>
    <w:p w14:paraId="5BCE082A" w14:textId="5B0FD3A7" w:rsidR="009601AE" w:rsidRDefault="009601AE" w:rsidP="009E3730">
      <w:pPr>
        <w:widowControl w:val="0"/>
        <w:suppressAutoHyphens/>
      </w:pPr>
      <w:r>
        <w:rPr>
          <w:b/>
          <w:bCs/>
          <w:u w:val="single"/>
        </w:rPr>
        <w:t>Review Assessment</w:t>
      </w:r>
      <w:r>
        <w:rPr>
          <w:b/>
          <w:bCs/>
        </w:rPr>
        <w:t xml:space="preserve">: </w:t>
      </w:r>
      <w:r w:rsidR="006911D7">
        <w:rPr>
          <w:b/>
          <w:bCs/>
        </w:rPr>
        <w:t>un</w:t>
      </w:r>
      <w:r>
        <w:rPr>
          <w:b/>
          <w:bCs/>
        </w:rPr>
        <w:t>fulfil</w:t>
      </w:r>
      <w:r w:rsidR="006911D7">
        <w:rPr>
          <w:b/>
          <w:bCs/>
        </w:rPr>
        <w:t>led</w:t>
      </w:r>
      <w:r>
        <w:rPr>
          <w:b/>
          <w:bCs/>
        </w:rPr>
        <w:t xml:space="preserve">. </w:t>
      </w:r>
    </w:p>
    <w:p w14:paraId="4B6936AE" w14:textId="77777777" w:rsidR="007075A1" w:rsidRDefault="007075A1" w:rsidP="009E3730">
      <w:pPr>
        <w:widowControl w:val="0"/>
        <w:suppressAutoHyphens/>
        <w:rPr>
          <w:rFonts w:eastAsia="Times New Roman" w:cs="Times New Roman"/>
        </w:rPr>
      </w:pPr>
    </w:p>
    <w:p w14:paraId="7875051E" w14:textId="77777777" w:rsidR="000E3292" w:rsidRDefault="007075A1" w:rsidP="009E3730">
      <w:pPr>
        <w:widowControl w:val="0"/>
        <w:suppressAutoHyphens/>
        <w:rPr>
          <w:rFonts w:eastAsia="Times New Roman" w:cs="Times New Roman"/>
        </w:rPr>
      </w:pPr>
      <w:r>
        <w:rPr>
          <w:rFonts w:eastAsia="Times New Roman" w:cs="Times New Roman"/>
        </w:rPr>
        <w:t>MoES in its self-assessment report considers fulfilment of th</w:t>
      </w:r>
      <w:r w:rsidR="000E3292">
        <w:rPr>
          <w:rFonts w:eastAsia="Times New Roman" w:cs="Times New Roman"/>
        </w:rPr>
        <w:t>is</w:t>
      </w:r>
      <w:r>
        <w:rPr>
          <w:rFonts w:eastAsia="Times New Roman" w:cs="Times New Roman"/>
        </w:rPr>
        <w:t xml:space="preserve"> Indicator to be solely about </w:t>
      </w:r>
      <w:r w:rsidR="000E3292">
        <w:rPr>
          <w:rFonts w:eastAsia="Times New Roman" w:cs="Times New Roman"/>
        </w:rPr>
        <w:t>work-based learning (WBL).</w:t>
      </w:r>
      <w:r>
        <w:rPr>
          <w:rFonts w:eastAsia="Times New Roman" w:cs="Times New Roman"/>
        </w:rPr>
        <w:t xml:space="preserve"> </w:t>
      </w:r>
      <w:r w:rsidR="000E3292">
        <w:rPr>
          <w:rFonts w:eastAsia="Times New Roman" w:cs="Times New Roman"/>
        </w:rPr>
        <w:t>T</w:t>
      </w:r>
      <w:r>
        <w:rPr>
          <w:rFonts w:eastAsia="Times New Roman" w:cs="Times New Roman"/>
        </w:rPr>
        <w:t>he Review interprets the Indicator as involving WBL as a part, but not the whole, of the requirement to implement the improved framework for social partnership in VET. The Indicator emphasizes '</w:t>
      </w:r>
      <w:r w:rsidRPr="0023046E">
        <w:rPr>
          <w:rFonts w:eastAsia="Times New Roman" w:cs="Times New Roman"/>
          <w:i/>
        </w:rPr>
        <w:t xml:space="preserve">systemic participation </w:t>
      </w:r>
      <w:r>
        <w:rPr>
          <w:rFonts w:eastAsia="Times New Roman" w:cs="Times New Roman"/>
          <w:i/>
        </w:rPr>
        <w:t xml:space="preserve">of social partners </w:t>
      </w:r>
      <w:r w:rsidRPr="0023046E">
        <w:rPr>
          <w:rFonts w:eastAsia="Times New Roman" w:cs="Times New Roman"/>
          <w:i/>
        </w:rPr>
        <w:t>in the VET policy cycle'</w:t>
      </w:r>
      <w:r>
        <w:rPr>
          <w:rFonts w:eastAsia="Times New Roman" w:cs="Times New Roman"/>
          <w:i/>
        </w:rPr>
        <w:t xml:space="preserve"> </w:t>
      </w:r>
      <w:r w:rsidRPr="0023046E">
        <w:rPr>
          <w:rFonts w:eastAsia="Times New Roman" w:cs="Times New Roman"/>
        </w:rPr>
        <w:t>and</w:t>
      </w:r>
      <w:r>
        <w:rPr>
          <w:rFonts w:eastAsia="Times New Roman" w:cs="Times New Roman"/>
        </w:rPr>
        <w:t xml:space="preserve"> requires only that the improved framework should include reference to elements of WBL.</w:t>
      </w:r>
      <w:r w:rsidR="000E3292">
        <w:rPr>
          <w:rFonts w:eastAsia="Times New Roman" w:cs="Times New Roman"/>
        </w:rPr>
        <w:t xml:space="preserve"> </w:t>
      </w:r>
    </w:p>
    <w:p w14:paraId="3E82A3F3" w14:textId="77777777" w:rsidR="000E3292" w:rsidRDefault="000E3292" w:rsidP="009E3730">
      <w:pPr>
        <w:widowControl w:val="0"/>
        <w:suppressAutoHyphens/>
        <w:rPr>
          <w:rFonts w:eastAsia="Times New Roman" w:cs="Times New Roman"/>
        </w:rPr>
      </w:pPr>
    </w:p>
    <w:p w14:paraId="76E4CFC0" w14:textId="5577510A" w:rsidR="000E3292" w:rsidRDefault="000E3292" w:rsidP="009E3730">
      <w:pPr>
        <w:widowControl w:val="0"/>
        <w:suppressAutoHyphens/>
        <w:rPr>
          <w:rFonts w:eastAsia="Times New Roman" w:cs="Times New Roman"/>
        </w:rPr>
      </w:pPr>
      <w:r>
        <w:rPr>
          <w:rFonts w:eastAsia="Times New Roman" w:cs="Times New Roman"/>
        </w:rPr>
        <w:t>The Indicator can be best understood by reference to the comparable AAP2013 SRC Indicators for earlier tranches:</w:t>
      </w:r>
    </w:p>
    <w:p w14:paraId="4302FA9A" w14:textId="77777777" w:rsidR="000E3292" w:rsidRDefault="000E3292" w:rsidP="009E3730">
      <w:pPr>
        <w:widowControl w:val="0"/>
        <w:suppressAutoHyphens/>
        <w:rPr>
          <w:rFonts w:eastAsia="Times New Roman" w:cs="Times New Roman"/>
        </w:rPr>
      </w:pPr>
    </w:p>
    <w:p w14:paraId="6454B78A" w14:textId="77777777" w:rsidR="000E3292" w:rsidRDefault="000E3292" w:rsidP="009E3730">
      <w:pPr>
        <w:widowControl w:val="0"/>
        <w:suppressAutoHyphens/>
        <w:rPr>
          <w:rFonts w:eastAsia="Times New Roman" w:cs="Times New Roman"/>
        </w:rPr>
      </w:pPr>
      <w:r>
        <w:rPr>
          <w:rFonts w:eastAsia="Times New Roman" w:cs="Times New Roman"/>
        </w:rPr>
        <w:t>Second Instalment Indicator 3.3.1:</w:t>
      </w:r>
    </w:p>
    <w:p w14:paraId="211221EB" w14:textId="77777777" w:rsidR="000E3292" w:rsidRDefault="000E3292" w:rsidP="009E3730">
      <w:pPr>
        <w:widowControl w:val="0"/>
        <w:suppressAutoHyphens/>
        <w:ind w:left="720"/>
        <w:rPr>
          <w:rFonts w:eastAsia="Times New Roman" w:cs="Times New Roman"/>
        </w:rPr>
      </w:pPr>
    </w:p>
    <w:p w14:paraId="4FAC06B7" w14:textId="77777777" w:rsidR="000E3292" w:rsidRDefault="000E3292" w:rsidP="009E3730">
      <w:pPr>
        <w:widowControl w:val="0"/>
        <w:suppressAutoHyphens/>
        <w:ind w:left="720"/>
        <w:rPr>
          <w:rFonts w:eastAsia="Times New Roman" w:cs="Times New Roman"/>
          <w:i/>
        </w:rPr>
      </w:pPr>
      <w:r w:rsidRPr="003A2DEB">
        <w:rPr>
          <w:rFonts w:eastAsia="Times New Roman" w:cs="Times New Roman"/>
          <w:i/>
        </w:rPr>
        <w:t>Revised framework for enhanced social partnership in VET, including reference to work-based learning, and systemic and regular participation in VET policy cycle is elaborated and adopted.</w:t>
      </w:r>
    </w:p>
    <w:p w14:paraId="158A8C39" w14:textId="77777777" w:rsidR="000E3292" w:rsidRPr="003A2DEB" w:rsidRDefault="000E3292" w:rsidP="009E3730">
      <w:pPr>
        <w:widowControl w:val="0"/>
        <w:suppressAutoHyphens/>
        <w:ind w:left="720"/>
        <w:rPr>
          <w:rFonts w:eastAsia="Times New Roman" w:cs="Times New Roman"/>
          <w:i/>
        </w:rPr>
      </w:pPr>
    </w:p>
    <w:p w14:paraId="7F323634" w14:textId="77777777" w:rsidR="000E3292" w:rsidRDefault="000E3292" w:rsidP="009E3730">
      <w:pPr>
        <w:widowControl w:val="0"/>
        <w:suppressAutoHyphens/>
        <w:ind w:left="720"/>
        <w:rPr>
          <w:rFonts w:eastAsia="Times New Roman" w:cs="Times New Roman"/>
        </w:rPr>
      </w:pPr>
      <w:r>
        <w:rPr>
          <w:rFonts w:eastAsia="Times New Roman" w:cs="Times New Roman"/>
        </w:rPr>
        <w:t>Sources of verification - Ministerial Decision approving social partnership framework; Minutes of NVETC indicating approval of the framework by employers' organisations and trade unions.</w:t>
      </w:r>
    </w:p>
    <w:p w14:paraId="44565E61" w14:textId="77777777" w:rsidR="000E3292" w:rsidRDefault="000E3292" w:rsidP="009E3730">
      <w:pPr>
        <w:widowControl w:val="0"/>
        <w:suppressAutoHyphens/>
        <w:rPr>
          <w:rFonts w:eastAsia="Times New Roman" w:cs="Times New Roman"/>
        </w:rPr>
      </w:pPr>
    </w:p>
    <w:p w14:paraId="406F81E2" w14:textId="77777777" w:rsidR="000E3292" w:rsidRDefault="000E3292" w:rsidP="009E3730">
      <w:pPr>
        <w:widowControl w:val="0"/>
        <w:suppressAutoHyphens/>
        <w:rPr>
          <w:rFonts w:eastAsia="Times New Roman" w:cs="Times New Roman"/>
        </w:rPr>
      </w:pPr>
      <w:r>
        <w:rPr>
          <w:rFonts w:eastAsia="Times New Roman" w:cs="Times New Roman"/>
        </w:rPr>
        <w:t>Third Instalment Indicator 3.3.1:</w:t>
      </w:r>
    </w:p>
    <w:p w14:paraId="10D6A25B" w14:textId="77777777" w:rsidR="000E3292" w:rsidRDefault="000E3292" w:rsidP="009E3730">
      <w:pPr>
        <w:widowControl w:val="0"/>
        <w:suppressAutoHyphens/>
        <w:rPr>
          <w:rFonts w:eastAsia="Times New Roman" w:cs="Times New Roman"/>
        </w:rPr>
      </w:pPr>
    </w:p>
    <w:p w14:paraId="151F3C14" w14:textId="77777777" w:rsidR="000E3292" w:rsidRDefault="000E3292" w:rsidP="009E3730">
      <w:pPr>
        <w:widowControl w:val="0"/>
        <w:suppressAutoHyphens/>
        <w:ind w:left="720"/>
        <w:rPr>
          <w:rFonts w:eastAsia="Times New Roman" w:cs="Times New Roman"/>
        </w:rPr>
      </w:pPr>
      <w:r w:rsidRPr="003A2DEB">
        <w:rPr>
          <w:rFonts w:eastAsia="Times New Roman" w:cs="Times New Roman"/>
          <w:i/>
        </w:rPr>
        <w:t>Concept for the development of elements of WBL in the national context is elaborated, published and discussed with stakeholders</w:t>
      </w:r>
      <w:r>
        <w:rPr>
          <w:rFonts w:eastAsia="Times New Roman" w:cs="Times New Roman"/>
        </w:rPr>
        <w:t>...</w:t>
      </w:r>
    </w:p>
    <w:p w14:paraId="6A507586" w14:textId="77777777" w:rsidR="000E3292" w:rsidRDefault="000E3292" w:rsidP="009E3730">
      <w:pPr>
        <w:widowControl w:val="0"/>
        <w:suppressAutoHyphens/>
        <w:ind w:left="720"/>
        <w:rPr>
          <w:rFonts w:eastAsia="Times New Roman" w:cs="Times New Roman"/>
        </w:rPr>
      </w:pPr>
    </w:p>
    <w:p w14:paraId="2BB9809B" w14:textId="77777777" w:rsidR="000E3292" w:rsidRDefault="000E3292" w:rsidP="009E3730">
      <w:pPr>
        <w:widowControl w:val="0"/>
        <w:suppressAutoHyphens/>
        <w:ind w:left="720"/>
        <w:rPr>
          <w:rFonts w:eastAsia="Times New Roman" w:cs="Times New Roman"/>
        </w:rPr>
      </w:pPr>
      <w:r>
        <w:rPr>
          <w:rFonts w:eastAsia="Times New Roman" w:cs="Times New Roman"/>
        </w:rPr>
        <w:t>Sources of verification - Ministerial Decision approving Concept for elements of WBL; Concept approved by Ministry and social partners.</w:t>
      </w:r>
    </w:p>
    <w:p w14:paraId="06877581" w14:textId="77777777" w:rsidR="000E3292" w:rsidRDefault="000E3292" w:rsidP="009E3730">
      <w:pPr>
        <w:widowControl w:val="0"/>
        <w:suppressAutoHyphens/>
        <w:rPr>
          <w:rFonts w:eastAsia="Times New Roman" w:cs="Times New Roman"/>
        </w:rPr>
      </w:pPr>
    </w:p>
    <w:p w14:paraId="15B39C60" w14:textId="77777777" w:rsidR="000E3292" w:rsidRDefault="000E3292" w:rsidP="009E3730">
      <w:pPr>
        <w:widowControl w:val="0"/>
        <w:suppressAutoHyphens/>
        <w:rPr>
          <w:rFonts w:eastAsia="Times New Roman" w:cs="Times New Roman"/>
        </w:rPr>
      </w:pPr>
      <w:r>
        <w:rPr>
          <w:rFonts w:eastAsia="Times New Roman" w:cs="Times New Roman"/>
        </w:rPr>
        <w:t>Fourth Instalment Indicator 3.3.1:</w:t>
      </w:r>
    </w:p>
    <w:p w14:paraId="2682BF6E" w14:textId="77777777" w:rsidR="000E3292" w:rsidRDefault="000E3292" w:rsidP="009E3730">
      <w:pPr>
        <w:widowControl w:val="0"/>
        <w:suppressAutoHyphens/>
        <w:rPr>
          <w:rFonts w:eastAsia="Times New Roman" w:cs="Times New Roman"/>
        </w:rPr>
      </w:pPr>
    </w:p>
    <w:p w14:paraId="00F6AD6A" w14:textId="77777777" w:rsidR="000E3292" w:rsidRDefault="000E3292" w:rsidP="009E3730">
      <w:pPr>
        <w:widowControl w:val="0"/>
        <w:suppressAutoHyphens/>
        <w:ind w:left="720"/>
        <w:rPr>
          <w:bCs/>
          <w:i/>
          <w:iCs/>
          <w:lang w:eastAsia="en-GB"/>
        </w:rPr>
      </w:pPr>
      <w:r w:rsidRPr="000E0FCB">
        <w:rPr>
          <w:bCs/>
          <w:i/>
          <w:iCs/>
          <w:lang w:eastAsia="en-GB"/>
        </w:rPr>
        <w:t>Improved framework for social partnership in VET, including reference to elements of work-based learning (WBL), and reflecting the systemic participation of social partners in the VET policy cycle, is implemented.</w:t>
      </w:r>
    </w:p>
    <w:p w14:paraId="126775CE" w14:textId="77777777" w:rsidR="000E3292" w:rsidRPr="000E0FCB" w:rsidRDefault="000E3292" w:rsidP="009E3730">
      <w:pPr>
        <w:widowControl w:val="0"/>
        <w:suppressAutoHyphens/>
        <w:ind w:left="720"/>
        <w:rPr>
          <w:bCs/>
          <w:i/>
          <w:iCs/>
          <w:lang w:eastAsia="en-GB"/>
        </w:rPr>
      </w:pPr>
    </w:p>
    <w:p w14:paraId="261F1F74" w14:textId="77777777" w:rsidR="000E3292" w:rsidRDefault="000E3292" w:rsidP="009E3730">
      <w:pPr>
        <w:widowControl w:val="0"/>
        <w:suppressAutoHyphens/>
        <w:ind w:left="720"/>
        <w:rPr>
          <w:lang w:eastAsia="en-GB"/>
        </w:rPr>
      </w:pPr>
      <w:r>
        <w:t xml:space="preserve">Source of Verification - </w:t>
      </w:r>
      <w:r>
        <w:rPr>
          <w:lang w:eastAsia="en-GB"/>
        </w:rPr>
        <w:t>Implementation report; Minutes of meetings/consultations with social partners.</w:t>
      </w:r>
    </w:p>
    <w:p w14:paraId="13066C4A" w14:textId="77777777" w:rsidR="000E3292" w:rsidRDefault="000E3292" w:rsidP="009E3730">
      <w:pPr>
        <w:widowControl w:val="0"/>
        <w:suppressAutoHyphens/>
        <w:rPr>
          <w:rFonts w:eastAsia="Times New Roman" w:cs="Times New Roman"/>
        </w:rPr>
      </w:pPr>
    </w:p>
    <w:p w14:paraId="0BA7FEE3" w14:textId="1F34C58E" w:rsidR="00124F4C" w:rsidRDefault="00124F4C" w:rsidP="009E3730">
      <w:pPr>
        <w:widowControl w:val="0"/>
        <w:suppressAutoHyphens/>
        <w:rPr>
          <w:rFonts w:eastAsia="Times New Roman" w:cs="Times New Roman"/>
        </w:rPr>
      </w:pPr>
      <w:r>
        <w:rPr>
          <w:rFonts w:eastAsia="Times New Roman" w:cs="Times New Roman"/>
        </w:rPr>
        <w:t>Fulfilment of this Fourth Instalment Indicator, therefore, would seem to require implementation of the revised Framework for Social Partnership approved by ministerial decision in 2014, including reference to the Concept of WBL elaborated and approved by ministerial decision in 2015 (neither were in fact were approved by ministerial decision, but both were presented to the NVETC - in December of 2014 and 2015 respectively).</w:t>
      </w:r>
    </w:p>
    <w:p w14:paraId="7FB36A75" w14:textId="77777777" w:rsidR="007075A1" w:rsidRDefault="007075A1" w:rsidP="009E3730">
      <w:pPr>
        <w:widowControl w:val="0"/>
        <w:suppressAutoHyphens/>
      </w:pPr>
    </w:p>
    <w:p w14:paraId="69D5814F" w14:textId="77777777" w:rsidR="00124F4C" w:rsidRDefault="00124F4C" w:rsidP="009E3730">
      <w:pPr>
        <w:widowControl w:val="0"/>
        <w:suppressAutoHyphens/>
      </w:pPr>
      <w:r>
        <w:t>A "</w:t>
      </w:r>
      <w:r w:rsidRPr="00E70C29">
        <w:rPr>
          <w:i/>
        </w:rPr>
        <w:t>Framework for Enhanced Social Partnership in VET</w:t>
      </w:r>
      <w:r>
        <w:t xml:space="preserve">" was drafted in December 2014. and presented to the NVETC on 31st December 2014. There was no formal approval, but the minutes of the meeting mention that as there was no evident disagreement the Framework was considered accepted, though the minutes also point to the social partners wanting time to consider the details before formal approval. There was no ministerial decision approving </w:t>
      </w:r>
      <w:r>
        <w:lastRenderedPageBreak/>
        <w:t>the Framework. The document provided to the Second Instalment Review in April 2015 called itself a draft, and the Review has not been presented with evidence of any formal approval by either the NVETC or the Ministry. The draft was accompanied by an action plan for implementation over 2015-2017. The majority of activities were for completion in 2015. The Review is not aware of the existence of progress reports having been produced on the implementation of action plan activities scheduled for 2015 or 2016.</w:t>
      </w:r>
    </w:p>
    <w:p w14:paraId="3ECE9242" w14:textId="77777777" w:rsidR="00124F4C" w:rsidRDefault="00124F4C" w:rsidP="009E3730">
      <w:pPr>
        <w:widowControl w:val="0"/>
        <w:suppressAutoHyphens/>
      </w:pPr>
    </w:p>
    <w:p w14:paraId="2A6C6B12" w14:textId="36E22260" w:rsidR="001E4B79" w:rsidRDefault="00124F4C" w:rsidP="009E3730">
      <w:pPr>
        <w:widowControl w:val="0"/>
        <w:suppressAutoHyphens/>
      </w:pPr>
      <w:r>
        <w:t>A key element of the Framework, but not mentioned in the action plan, was the proposal to introduce a quadripartite structure to the NVETC, adding a fourth tier of civil society to</w:t>
      </w:r>
      <w:r w:rsidR="001E4B79">
        <w:t xml:space="preserve"> those of g</w:t>
      </w:r>
      <w:r>
        <w:t xml:space="preserve">overnment, </w:t>
      </w:r>
      <w:r w:rsidR="001E4B79">
        <w:t>e</w:t>
      </w:r>
      <w:r>
        <w:t xml:space="preserve">mployers and </w:t>
      </w:r>
      <w:r w:rsidR="001E4B79">
        <w:t>e</w:t>
      </w:r>
      <w:r>
        <w:t xml:space="preserve">mployees (Unions). </w:t>
      </w:r>
      <w:r w:rsidR="005F36B9">
        <w:t xml:space="preserve">At the NVETC meeting, Government stated this change was supported in the 2014 ETF report </w:t>
      </w:r>
      <w:r w:rsidR="005F36B9">
        <w:rPr>
          <w:rFonts w:cs="Arial"/>
          <w:bCs/>
          <w:noProof/>
        </w:rPr>
        <w:t>“</w:t>
      </w:r>
      <w:r w:rsidR="005F36B9" w:rsidRPr="00300F3F">
        <w:rPr>
          <w:rFonts w:cs="Arial"/>
          <w:bCs/>
          <w:i/>
          <w:noProof/>
        </w:rPr>
        <w:t>Support Development of Social Partnership in Georgia</w:t>
      </w:r>
      <w:r w:rsidR="005F36B9">
        <w:rPr>
          <w:rFonts w:cs="Arial"/>
          <w:bCs/>
          <w:noProof/>
        </w:rPr>
        <w:t>”</w:t>
      </w:r>
      <w:r w:rsidR="005F36B9">
        <w:t>, but while the ETF report does suggest there should be greater involvement of civil society in NVETC proceedings, this is as expert observers rather than members</w:t>
      </w:r>
      <w:r w:rsidR="00755B53">
        <w:t xml:space="preserve"> and</w:t>
      </w:r>
      <w:r w:rsidR="005F36B9">
        <w:t xml:space="preserve"> the document clearly supports the more usual tripartite arrangement found in other countries. </w:t>
      </w:r>
      <w:r>
        <w:t xml:space="preserve">The NVETC minutes </w:t>
      </w:r>
      <w:r w:rsidR="00755B53">
        <w:t xml:space="preserve">also </w:t>
      </w:r>
      <w:r>
        <w:t xml:space="preserve">refer to comments by the MoES Deputy Minister </w:t>
      </w:r>
      <w:r w:rsidR="00755B53">
        <w:t>in putting forward</w:t>
      </w:r>
      <w:r>
        <w:t xml:space="preserve"> this </w:t>
      </w:r>
      <w:r w:rsidR="001E4B79">
        <w:t xml:space="preserve">proposal </w:t>
      </w:r>
      <w:r w:rsidR="00755B53">
        <w:t xml:space="preserve">that it would be </w:t>
      </w:r>
      <w:r>
        <w:t>a one-year pilot</w:t>
      </w:r>
      <w:r w:rsidR="00755B53">
        <w:t>. I</w:t>
      </w:r>
      <w:r>
        <w:t>n fact</w:t>
      </w:r>
      <w:r w:rsidR="00755B53">
        <w:t xml:space="preserve">, far from being a proposal for NVETC approval, </w:t>
      </w:r>
      <w:r>
        <w:t>th</w:t>
      </w:r>
      <w:r w:rsidR="001E4B79">
        <w:t>e change</w:t>
      </w:r>
      <w:r>
        <w:t xml:space="preserve"> was </w:t>
      </w:r>
      <w:r w:rsidR="001E4B79">
        <w:t>already</w:t>
      </w:r>
      <w:r>
        <w:t xml:space="preserve"> a fait accompli having been introduced by Government Decree No.720 of the 26th December 2014 amending the charter and composition of the NVETC to include six representatives from each of Government, employers' associations, trade unions, and civil society. Further</w:t>
      </w:r>
      <w:r w:rsidR="001E4B79">
        <w:t>,</w:t>
      </w:r>
      <w:r>
        <w:t xml:space="preserve"> a meeting of representatives from MoES, GEA, and GTUC on the 30th of December 2014 </w:t>
      </w:r>
      <w:r w:rsidR="00755B53">
        <w:t xml:space="preserve">had </w:t>
      </w:r>
      <w:r>
        <w:t>agreed on the composition of the new NVETC, including nominations from each of the three parties on their own representatives and selection of the six civil society members</w:t>
      </w:r>
      <w:r w:rsidR="00755B53">
        <w:t>, the</w:t>
      </w:r>
      <w:r>
        <w:t xml:space="preserve"> minutes of th</w:t>
      </w:r>
      <w:r w:rsidR="00755B53">
        <w:t>e</w:t>
      </w:r>
      <w:r>
        <w:t xml:space="preserve"> meeting signed by all three parties. The social partners </w:t>
      </w:r>
      <w:r w:rsidR="00755B53">
        <w:t xml:space="preserve">had </w:t>
      </w:r>
      <w:r>
        <w:t xml:space="preserve">repeatedly expressed opposition to the inclusion of civil society as an equal member, given their lack of direct representation of the partners involved in employment but after pressure said they had agreed as a one year pilot in order to move forward on strengthening the policy role of the NVETC which they (and the EU since 2010 under the AAP2009 VET SPSP) had been seeking for several years. The Second Instalment Review reluctantly accepted the Indicator as fulfilled on the basis of the December 30th 2014 agreement with the social partners. </w:t>
      </w:r>
    </w:p>
    <w:p w14:paraId="09BD629D" w14:textId="77777777" w:rsidR="00124F4C" w:rsidRDefault="00124F4C" w:rsidP="009E3730">
      <w:pPr>
        <w:widowControl w:val="0"/>
        <w:suppressAutoHyphens/>
      </w:pPr>
    </w:p>
    <w:p w14:paraId="0339C4A0" w14:textId="6AB6D55D" w:rsidR="004752D7" w:rsidRDefault="00F62DDD" w:rsidP="009E3730">
      <w:pPr>
        <w:widowControl w:val="0"/>
        <w:suppressAutoHyphens/>
        <w:rPr>
          <w:rFonts w:eastAsia="Times New Roman" w:cs="Times New Roman"/>
        </w:rPr>
      </w:pPr>
      <w:r w:rsidRPr="00460B73">
        <w:rPr>
          <w:rFonts w:eastAsia="Times New Roman" w:cs="Times New Roman"/>
        </w:rPr>
        <w:t xml:space="preserve">The National VET Council (NVETC) embodies the application of social partnership in the VET sector at the national (policy making) level. In 2016, the NVETC met only twice, </w:t>
      </w:r>
      <w:r w:rsidR="00B67400">
        <w:rPr>
          <w:rFonts w:eastAsia="Times New Roman" w:cs="Times New Roman"/>
        </w:rPr>
        <w:t xml:space="preserve">however, </w:t>
      </w:r>
      <w:r w:rsidRPr="00460B73">
        <w:rPr>
          <w:rFonts w:eastAsia="Times New Roman" w:cs="Times New Roman"/>
        </w:rPr>
        <w:t>on March 31st and December 28th</w:t>
      </w:r>
      <w:r w:rsidRPr="00460B73">
        <w:rPr>
          <w:rFonts w:eastAsia="Times New Roman"/>
          <w:vertAlign w:val="superscript"/>
        </w:rPr>
        <w:footnoteReference w:id="77"/>
      </w:r>
      <w:r w:rsidRPr="00460B73">
        <w:rPr>
          <w:rFonts w:eastAsia="Times New Roman" w:cs="Times New Roman"/>
        </w:rPr>
        <w:t>, despite the requirement when established of meeting at least once every quarter. Meetings have tended to be presentational of Government actions in format rather than policy determining</w:t>
      </w:r>
      <w:r w:rsidR="00B967D5">
        <w:rPr>
          <w:rFonts w:eastAsia="Times New Roman" w:cs="Times New Roman"/>
        </w:rPr>
        <w:t>, a fact that has led to disillusionment of the social partners with the value of NVETC participation, and a frequent complaint that the NVETC, and hence the social partners, has no influence on policy</w:t>
      </w:r>
      <w:r w:rsidRPr="00460B73">
        <w:rPr>
          <w:rFonts w:eastAsia="Times New Roman" w:cs="Times New Roman"/>
        </w:rPr>
        <w:t xml:space="preserve">. </w:t>
      </w:r>
      <w:r w:rsidR="00B967D5">
        <w:rPr>
          <w:rFonts w:eastAsia="Times New Roman" w:cs="Times New Roman"/>
        </w:rPr>
        <w:t xml:space="preserve">This sense of sidelining the social partners was reinforced by Government's introduction of </w:t>
      </w:r>
      <w:r w:rsidR="00B67400">
        <w:rPr>
          <w:rFonts w:eastAsia="Times New Roman" w:cs="Times New Roman"/>
        </w:rPr>
        <w:t xml:space="preserve">civil society as </w:t>
      </w:r>
      <w:r w:rsidR="00B967D5">
        <w:rPr>
          <w:rFonts w:eastAsia="Times New Roman" w:cs="Times New Roman"/>
        </w:rPr>
        <w:t xml:space="preserve">a fourth </w:t>
      </w:r>
      <w:r w:rsidR="00B67400">
        <w:rPr>
          <w:rFonts w:eastAsia="Times New Roman" w:cs="Times New Roman"/>
        </w:rPr>
        <w:t xml:space="preserve">tier </w:t>
      </w:r>
      <w:r w:rsidR="00B967D5">
        <w:rPr>
          <w:rFonts w:eastAsia="Times New Roman" w:cs="Times New Roman"/>
        </w:rPr>
        <w:t>share of NVETC members</w:t>
      </w:r>
      <w:r w:rsidR="004752D7">
        <w:rPr>
          <w:rFonts w:eastAsia="Times New Roman" w:cs="Times New Roman"/>
        </w:rPr>
        <w:t xml:space="preserve"> (</w:t>
      </w:r>
      <w:r w:rsidR="00B67400">
        <w:rPr>
          <w:rFonts w:eastAsia="Times New Roman" w:cs="Times New Roman"/>
        </w:rPr>
        <w:t xml:space="preserve">reluctantly agreed </w:t>
      </w:r>
      <w:r w:rsidR="004752D7">
        <w:rPr>
          <w:rFonts w:eastAsia="Times New Roman" w:cs="Times New Roman"/>
        </w:rPr>
        <w:t xml:space="preserve">to </w:t>
      </w:r>
      <w:r w:rsidR="00B67400">
        <w:rPr>
          <w:rFonts w:eastAsia="Times New Roman" w:cs="Times New Roman"/>
        </w:rPr>
        <w:t>by</w:t>
      </w:r>
      <w:r w:rsidR="004752D7">
        <w:rPr>
          <w:rFonts w:eastAsia="Times New Roman" w:cs="Times New Roman"/>
        </w:rPr>
        <w:t xml:space="preserve"> the social partners </w:t>
      </w:r>
      <w:r w:rsidR="00B67400">
        <w:rPr>
          <w:rFonts w:eastAsia="Times New Roman" w:cs="Times New Roman"/>
        </w:rPr>
        <w:t xml:space="preserve">on the understanding it was </w:t>
      </w:r>
      <w:r w:rsidR="004752D7">
        <w:rPr>
          <w:rFonts w:eastAsia="Times New Roman" w:cs="Times New Roman"/>
        </w:rPr>
        <w:t xml:space="preserve">a one-year pilot, </w:t>
      </w:r>
      <w:r w:rsidR="00B67400">
        <w:rPr>
          <w:rFonts w:eastAsia="Times New Roman" w:cs="Times New Roman"/>
        </w:rPr>
        <w:t xml:space="preserve">but now </w:t>
      </w:r>
      <w:r w:rsidR="004752D7">
        <w:rPr>
          <w:rFonts w:eastAsia="Times New Roman" w:cs="Times New Roman"/>
        </w:rPr>
        <w:t>already in its third year) rather than properly enforce a tripartite character as in other countries. MoES emphasizes that much of the work of policy development takes place within the NVETC thematic working groups</w:t>
      </w:r>
      <w:r w:rsidR="007C3821">
        <w:rPr>
          <w:rStyle w:val="FootnoteReference"/>
          <w:rFonts w:eastAsia="Times New Roman"/>
        </w:rPr>
        <w:footnoteReference w:id="78"/>
      </w:r>
      <w:r w:rsidR="004752D7">
        <w:rPr>
          <w:rFonts w:eastAsia="Times New Roman" w:cs="Times New Roman"/>
        </w:rPr>
        <w:t xml:space="preserve">, on </w:t>
      </w:r>
      <w:r w:rsidR="004752D7">
        <w:rPr>
          <w:rFonts w:eastAsia="Times New Roman" w:cs="Times New Roman"/>
        </w:rPr>
        <w:lastRenderedPageBreak/>
        <w:t xml:space="preserve">which the social partners have the opportunity to </w:t>
      </w:r>
      <w:r w:rsidR="007C3821">
        <w:rPr>
          <w:rFonts w:eastAsia="Times New Roman" w:cs="Times New Roman"/>
        </w:rPr>
        <w:t>participate and</w:t>
      </w:r>
      <w:r w:rsidR="004752D7">
        <w:rPr>
          <w:rFonts w:eastAsia="Times New Roman" w:cs="Times New Roman"/>
        </w:rPr>
        <w:t xml:space="preserve"> </w:t>
      </w:r>
      <w:r w:rsidR="007C3821">
        <w:rPr>
          <w:rFonts w:eastAsia="Times New Roman" w:cs="Times New Roman"/>
        </w:rPr>
        <w:t xml:space="preserve">provide </w:t>
      </w:r>
      <w:r w:rsidR="004752D7">
        <w:rPr>
          <w:rFonts w:eastAsia="Times New Roman" w:cs="Times New Roman"/>
        </w:rPr>
        <w:t>members</w:t>
      </w:r>
      <w:r w:rsidR="00B0214B">
        <w:rPr>
          <w:rFonts w:eastAsia="Times New Roman" w:cs="Times New Roman"/>
        </w:rPr>
        <w:t>, rather than at the Council level itself</w:t>
      </w:r>
      <w:r w:rsidR="007C3821">
        <w:rPr>
          <w:rFonts w:eastAsia="Times New Roman" w:cs="Times New Roman"/>
        </w:rPr>
        <w:t>.</w:t>
      </w:r>
    </w:p>
    <w:p w14:paraId="508A6145" w14:textId="77777777" w:rsidR="004752D7" w:rsidRDefault="004752D7" w:rsidP="009E3730">
      <w:pPr>
        <w:widowControl w:val="0"/>
        <w:suppressAutoHyphens/>
        <w:rPr>
          <w:rFonts w:eastAsia="Times New Roman" w:cs="Times New Roman"/>
        </w:rPr>
      </w:pPr>
    </w:p>
    <w:p w14:paraId="5E418F15" w14:textId="5A38CFD7" w:rsidR="00B05C5E" w:rsidRDefault="00B05C5E" w:rsidP="009E3730">
      <w:pPr>
        <w:widowControl w:val="0"/>
        <w:suppressAutoHyphens/>
        <w:rPr>
          <w:rFonts w:eastAsia="Times New Roman" w:cs="Times New Roman"/>
        </w:rPr>
      </w:pPr>
      <w:r>
        <w:rPr>
          <w:rFonts w:eastAsia="Times New Roman" w:cs="Times New Roman"/>
        </w:rPr>
        <w:t xml:space="preserve">Strengthening the role of the social partners in policy-making </w:t>
      </w:r>
      <w:r w:rsidR="00A2252A">
        <w:rPr>
          <w:rFonts w:eastAsia="Times New Roman" w:cs="Times New Roman"/>
        </w:rPr>
        <w:t xml:space="preserve">was included in the VET Strategy 2013-2020: </w:t>
      </w:r>
      <w:r w:rsidR="00A2252A">
        <w:rPr>
          <w:rFonts w:eastAsia="Times New Roman" w:cs="Arial"/>
          <w:noProof/>
          <w:szCs w:val="20"/>
          <w:lang w:eastAsia="de-DE"/>
        </w:rPr>
        <w:t>"</w:t>
      </w:r>
      <w:r w:rsidR="00A2252A" w:rsidRPr="00A2252A">
        <w:rPr>
          <w:rFonts w:eastAsia="Times New Roman" w:cs="Arial"/>
          <w:i/>
          <w:noProof/>
          <w:szCs w:val="20"/>
          <w:lang w:eastAsia="de-DE"/>
        </w:rPr>
        <w:t>Participation of social partners in defining policy and in the planning, implementation, monitoring and evaluation of vocational education</w:t>
      </w:r>
      <w:r w:rsidR="00A2252A">
        <w:rPr>
          <w:rFonts w:eastAsia="Times New Roman" w:cs="Arial"/>
          <w:i/>
          <w:noProof/>
          <w:szCs w:val="20"/>
          <w:lang w:eastAsia="de-DE"/>
        </w:rPr>
        <w:t xml:space="preserve">" </w:t>
      </w:r>
      <w:r w:rsidR="00A2252A">
        <w:rPr>
          <w:rFonts w:eastAsia="Times New Roman" w:cs="Times New Roman"/>
        </w:rPr>
        <w:t>is a specific target of the Action Plan for 2014-2017, to be implemented by actions to</w:t>
      </w:r>
    </w:p>
    <w:p w14:paraId="5F3E2266" w14:textId="77777777" w:rsidR="00A2252A" w:rsidRDefault="00A2252A" w:rsidP="009E3730">
      <w:pPr>
        <w:widowControl w:val="0"/>
        <w:suppressAutoHyphens/>
        <w:rPr>
          <w:rFonts w:eastAsia="Times New Roman" w:cs="Times New Roman"/>
        </w:rPr>
      </w:pPr>
    </w:p>
    <w:p w14:paraId="09A2A360" w14:textId="77777777" w:rsidR="00A2252A" w:rsidRPr="00A2252A" w:rsidRDefault="00A2252A" w:rsidP="007C295F">
      <w:pPr>
        <w:widowControl w:val="0"/>
        <w:numPr>
          <w:ilvl w:val="0"/>
          <w:numId w:val="35"/>
        </w:numPr>
        <w:suppressAutoHyphens/>
        <w:ind w:left="887" w:hanging="428"/>
        <w:rPr>
          <w:rFonts w:cs="Arial"/>
          <w:i/>
          <w:noProof/>
        </w:rPr>
      </w:pPr>
      <w:r w:rsidRPr="00A2252A">
        <w:rPr>
          <w:rFonts w:cs="Arial"/>
          <w:i/>
          <w:noProof/>
        </w:rPr>
        <w:t xml:space="preserve">Introduce effective mechanisms of involvement (and collaboration) of social partners, employers, trade unions, civil society in decision making process at all levels of the system; </w:t>
      </w:r>
    </w:p>
    <w:p w14:paraId="3F62603C" w14:textId="77777777" w:rsidR="00A2252A" w:rsidRPr="00A2252A" w:rsidRDefault="00A2252A" w:rsidP="009E3730">
      <w:pPr>
        <w:widowControl w:val="0"/>
        <w:suppressAutoHyphens/>
        <w:ind w:left="887"/>
        <w:rPr>
          <w:rFonts w:cs="Arial"/>
          <w:i/>
          <w:noProof/>
        </w:rPr>
      </w:pPr>
    </w:p>
    <w:p w14:paraId="3C12A6C7" w14:textId="77777777" w:rsidR="00A2252A" w:rsidRPr="00A2252A" w:rsidRDefault="00A2252A" w:rsidP="007C295F">
      <w:pPr>
        <w:widowControl w:val="0"/>
        <w:numPr>
          <w:ilvl w:val="0"/>
          <w:numId w:val="35"/>
        </w:numPr>
        <w:suppressAutoHyphens/>
        <w:ind w:left="887" w:hanging="428"/>
        <w:rPr>
          <w:rFonts w:cs="Arial"/>
          <w:i/>
          <w:noProof/>
        </w:rPr>
      </w:pPr>
      <w:r w:rsidRPr="00A2252A">
        <w:rPr>
          <w:rFonts w:cs="Arial"/>
          <w:i/>
          <w:noProof/>
        </w:rPr>
        <w:t xml:space="preserve">Ensure balanced composition and enhance capacities of VET system structures (the National VET Council and working groups, sectoral committees, college and other education institution boards) responsible for directing the dialogue between the education system and the business community and labour representatives, and determining VET system development activities and the nature of participation; </w:t>
      </w:r>
    </w:p>
    <w:p w14:paraId="2A330260" w14:textId="77777777" w:rsidR="00A2252A" w:rsidRDefault="00A2252A" w:rsidP="009E3730">
      <w:pPr>
        <w:widowControl w:val="0"/>
        <w:suppressAutoHyphens/>
        <w:rPr>
          <w:rFonts w:eastAsia="Times New Roman" w:cs="Times New Roman"/>
        </w:rPr>
      </w:pPr>
    </w:p>
    <w:p w14:paraId="07F30F21" w14:textId="7AAE2378" w:rsidR="00205BD2" w:rsidRDefault="00B059C2" w:rsidP="009E3730">
      <w:pPr>
        <w:widowControl w:val="0"/>
        <w:suppressAutoHyphens/>
        <w:spacing w:before="100" w:beforeAutospacing="1"/>
        <w:contextualSpacing/>
        <w:rPr>
          <w:rFonts w:cs="Arial"/>
          <w:bCs/>
        </w:rPr>
      </w:pPr>
      <w:r>
        <w:rPr>
          <w:rFonts w:cs="Arial"/>
        </w:rPr>
        <w:t>The ETF "</w:t>
      </w:r>
      <w:r w:rsidRPr="008E7C05">
        <w:rPr>
          <w:rFonts w:cs="Arial"/>
          <w:lang w:val="en-US"/>
        </w:rPr>
        <w:t>Support</w:t>
      </w:r>
      <w:r>
        <w:rPr>
          <w:rFonts w:cs="Arial"/>
          <w:lang w:val="en-US"/>
        </w:rPr>
        <w:t xml:space="preserve"> Development of </w:t>
      </w:r>
      <w:r w:rsidRPr="008E7C05">
        <w:rPr>
          <w:rFonts w:cs="Arial"/>
          <w:lang w:val="en-US"/>
        </w:rPr>
        <w:t>Social Partnership in VET in Georgia</w:t>
      </w:r>
      <w:r>
        <w:rPr>
          <w:rFonts w:cs="Arial"/>
          <w:lang w:val="en-US"/>
        </w:rPr>
        <w:t>” project in</w:t>
      </w:r>
      <w:r w:rsidRPr="008E7C05">
        <w:rPr>
          <w:rFonts w:cs="Arial"/>
          <w:lang w:val="en-US"/>
        </w:rPr>
        <w:t xml:space="preserve"> 2014</w:t>
      </w:r>
      <w:r>
        <w:rPr>
          <w:rFonts w:cs="Arial"/>
          <w:lang w:val="en-US"/>
        </w:rPr>
        <w:t xml:space="preserve"> in evaluating the functioning </w:t>
      </w:r>
      <w:r w:rsidR="00205BD2" w:rsidRPr="00740DA6">
        <w:rPr>
          <w:rFonts w:cs="Arial"/>
        </w:rPr>
        <w:t xml:space="preserve">of the NVETC highlighted </w:t>
      </w:r>
      <w:r w:rsidR="00205BD2" w:rsidRPr="00740DA6">
        <w:rPr>
          <w:rFonts w:cs="Arial"/>
          <w:bCs/>
        </w:rPr>
        <w:t xml:space="preserve">the following main weaknesses: </w:t>
      </w:r>
    </w:p>
    <w:p w14:paraId="0593B499" w14:textId="77777777" w:rsidR="00B059C2" w:rsidRPr="00740DA6" w:rsidRDefault="00B059C2" w:rsidP="009E3730">
      <w:pPr>
        <w:widowControl w:val="0"/>
        <w:suppressAutoHyphens/>
        <w:spacing w:before="100" w:beforeAutospacing="1"/>
        <w:contextualSpacing/>
        <w:rPr>
          <w:rFonts w:cs="Arial"/>
        </w:rPr>
      </w:pPr>
    </w:p>
    <w:p w14:paraId="129825CE" w14:textId="1CB9DC61" w:rsidR="00205BD2" w:rsidRPr="00740DA6" w:rsidRDefault="00B059C2" w:rsidP="007C295F">
      <w:pPr>
        <w:widowControl w:val="0"/>
        <w:numPr>
          <w:ilvl w:val="0"/>
          <w:numId w:val="36"/>
        </w:numPr>
        <w:suppressAutoHyphens/>
        <w:ind w:left="432" w:firstLine="0"/>
        <w:rPr>
          <w:rFonts w:cs="Arial"/>
          <w:color w:val="000000"/>
        </w:rPr>
      </w:pPr>
      <w:r>
        <w:rPr>
          <w:rFonts w:cs="Arial"/>
          <w:color w:val="000000"/>
        </w:rPr>
        <w:t>lack of motivation</w:t>
      </w:r>
      <w:r w:rsidR="00205BD2" w:rsidRPr="00740DA6">
        <w:rPr>
          <w:rFonts w:cs="Arial"/>
          <w:color w:val="000000"/>
        </w:rPr>
        <w:t xml:space="preserve"> of the members to participate in the meetings;</w:t>
      </w:r>
    </w:p>
    <w:p w14:paraId="71EF07E1" w14:textId="75EE4B2C" w:rsidR="00205BD2" w:rsidRPr="00740DA6" w:rsidRDefault="00B059C2" w:rsidP="007C295F">
      <w:pPr>
        <w:widowControl w:val="0"/>
        <w:numPr>
          <w:ilvl w:val="0"/>
          <w:numId w:val="36"/>
        </w:numPr>
        <w:suppressAutoHyphens/>
        <w:ind w:left="720" w:hanging="294"/>
        <w:rPr>
          <w:rFonts w:cs="Arial"/>
          <w:color w:val="000000"/>
        </w:rPr>
      </w:pPr>
      <w:r>
        <w:rPr>
          <w:rFonts w:cs="Arial"/>
          <w:color w:val="000000"/>
        </w:rPr>
        <w:t xml:space="preserve">that </w:t>
      </w:r>
      <w:r w:rsidR="00205BD2" w:rsidRPr="00740DA6">
        <w:rPr>
          <w:rFonts w:cs="Arial"/>
          <w:color w:val="000000"/>
        </w:rPr>
        <w:t>NVETC was not always consulted about the important decisions</w:t>
      </w:r>
      <w:r>
        <w:rPr>
          <w:rFonts w:cs="Arial"/>
          <w:color w:val="000000"/>
        </w:rPr>
        <w:t>,</w:t>
      </w:r>
      <w:r w:rsidR="00205BD2" w:rsidRPr="00740DA6">
        <w:rPr>
          <w:rFonts w:cs="Arial"/>
          <w:color w:val="000000"/>
        </w:rPr>
        <w:t xml:space="preserve"> </w:t>
      </w:r>
      <w:r w:rsidR="00B0214B">
        <w:rPr>
          <w:rFonts w:cs="Arial"/>
          <w:color w:val="000000"/>
        </w:rPr>
        <w:t xml:space="preserve">but simply </w:t>
      </w:r>
      <w:r w:rsidR="00205BD2" w:rsidRPr="00740DA6">
        <w:rPr>
          <w:rFonts w:cs="Arial"/>
          <w:color w:val="000000"/>
        </w:rPr>
        <w:t xml:space="preserve">informed about </w:t>
      </w:r>
      <w:r w:rsidR="00B0214B">
        <w:rPr>
          <w:rFonts w:cs="Arial"/>
          <w:color w:val="000000"/>
        </w:rPr>
        <w:t xml:space="preserve">them </w:t>
      </w:r>
      <w:r w:rsidR="00205BD2" w:rsidRPr="00740DA6">
        <w:rPr>
          <w:rFonts w:cs="Arial"/>
          <w:color w:val="000000"/>
        </w:rPr>
        <w:t>after the deci</w:t>
      </w:r>
      <w:r w:rsidR="00205BD2">
        <w:rPr>
          <w:rFonts w:cs="Arial"/>
          <w:color w:val="000000"/>
        </w:rPr>
        <w:t xml:space="preserve">sion was made by </w:t>
      </w:r>
      <w:r>
        <w:rPr>
          <w:rFonts w:cs="Arial"/>
          <w:color w:val="000000"/>
        </w:rPr>
        <w:t>G</w:t>
      </w:r>
      <w:r w:rsidR="00205BD2">
        <w:rPr>
          <w:rFonts w:cs="Arial"/>
          <w:color w:val="000000"/>
        </w:rPr>
        <w:t>overnment;</w:t>
      </w:r>
      <w:r w:rsidR="00205BD2" w:rsidRPr="00740DA6">
        <w:rPr>
          <w:rFonts w:cs="Arial"/>
          <w:color w:val="000000"/>
        </w:rPr>
        <w:t xml:space="preserve"> </w:t>
      </w:r>
      <w:r>
        <w:rPr>
          <w:rFonts w:cs="Arial"/>
          <w:color w:val="000000"/>
        </w:rPr>
        <w:t xml:space="preserve">and </w:t>
      </w:r>
    </w:p>
    <w:p w14:paraId="7A0E3DD8" w14:textId="621642E7" w:rsidR="00205BD2" w:rsidRPr="00740DA6" w:rsidRDefault="00B059C2" w:rsidP="007C295F">
      <w:pPr>
        <w:widowControl w:val="0"/>
        <w:numPr>
          <w:ilvl w:val="0"/>
          <w:numId w:val="36"/>
        </w:numPr>
        <w:suppressAutoHyphens/>
        <w:ind w:left="720" w:hanging="294"/>
        <w:rPr>
          <w:rFonts w:cs="Arial"/>
          <w:color w:val="000000"/>
        </w:rPr>
      </w:pPr>
      <w:r>
        <w:rPr>
          <w:rFonts w:cs="Arial"/>
          <w:color w:val="000000"/>
        </w:rPr>
        <w:t xml:space="preserve">that </w:t>
      </w:r>
      <w:r w:rsidR="00205BD2" w:rsidRPr="00740DA6">
        <w:rPr>
          <w:rFonts w:cs="Arial"/>
          <w:color w:val="000000"/>
        </w:rPr>
        <w:t xml:space="preserve">NVETC had no mechanisms or limited power to have </w:t>
      </w:r>
      <w:r>
        <w:rPr>
          <w:rFonts w:cs="Arial"/>
          <w:color w:val="000000"/>
        </w:rPr>
        <w:t xml:space="preserve">a </w:t>
      </w:r>
      <w:r w:rsidR="00205BD2" w:rsidRPr="00740DA6">
        <w:rPr>
          <w:rFonts w:cs="Arial"/>
          <w:color w:val="000000"/>
        </w:rPr>
        <w:t>real influence on the</w:t>
      </w:r>
      <w:r>
        <w:rPr>
          <w:rFonts w:cs="Arial"/>
          <w:color w:val="000000"/>
        </w:rPr>
        <w:t xml:space="preserve"> current policy or challenges. </w:t>
      </w:r>
    </w:p>
    <w:p w14:paraId="01EEF837" w14:textId="77777777" w:rsidR="00A2252A" w:rsidRDefault="00A2252A" w:rsidP="009E3730">
      <w:pPr>
        <w:widowControl w:val="0"/>
        <w:suppressAutoHyphens/>
        <w:rPr>
          <w:rFonts w:eastAsia="Times New Roman" w:cs="Times New Roman"/>
        </w:rPr>
      </w:pPr>
    </w:p>
    <w:p w14:paraId="61E85E8C" w14:textId="72E13F90" w:rsidR="00394491" w:rsidRDefault="00394491" w:rsidP="009E3730">
      <w:pPr>
        <w:widowControl w:val="0"/>
        <w:suppressAutoHyphens/>
        <w:rPr>
          <w:rFonts w:eastAsia="Times New Roman" w:cs="Times New Roman"/>
        </w:rPr>
      </w:pPr>
      <w:r>
        <w:rPr>
          <w:rFonts w:eastAsia="Times New Roman" w:cs="Times New Roman"/>
        </w:rPr>
        <w:t xml:space="preserve">In 2015 the EU </w:t>
      </w:r>
      <w:r w:rsidR="00B520E5">
        <w:rPr>
          <w:rFonts w:eastAsia="Times New Roman" w:cs="Times New Roman"/>
        </w:rPr>
        <w:t>VEGE</w:t>
      </w:r>
      <w:r>
        <w:rPr>
          <w:rFonts w:eastAsia="Times New Roman" w:cs="Times New Roman"/>
        </w:rPr>
        <w:t xml:space="preserve"> TA presented a report on strengthening the Council, working groups and secretariat. A major conclusion was that</w:t>
      </w:r>
    </w:p>
    <w:p w14:paraId="2A801945" w14:textId="77777777" w:rsidR="00394491" w:rsidRDefault="00394491" w:rsidP="009E3730">
      <w:pPr>
        <w:widowControl w:val="0"/>
        <w:suppressAutoHyphens/>
        <w:rPr>
          <w:rFonts w:eastAsia="Times New Roman" w:cs="Times New Roman"/>
        </w:rPr>
      </w:pPr>
    </w:p>
    <w:p w14:paraId="7B2C4DCE" w14:textId="1BE29333" w:rsidR="00394491" w:rsidRDefault="00394491" w:rsidP="009E3730">
      <w:pPr>
        <w:widowControl w:val="0"/>
        <w:suppressAutoHyphens/>
        <w:rPr>
          <w:rFonts w:eastAsia="Times New Roman" w:cs="Times New Roman"/>
        </w:rPr>
      </w:pPr>
      <w:r w:rsidRPr="00394491">
        <w:rPr>
          <w:rFonts w:cs="Arial"/>
          <w:i/>
        </w:rPr>
        <w:t>"Strengthening of the NVETC should be focused on participation</w:t>
      </w:r>
      <w:r>
        <w:rPr>
          <w:rFonts w:cs="Arial"/>
          <w:i/>
        </w:rPr>
        <w:t xml:space="preserve"> of the social partners</w:t>
      </w:r>
      <w:r w:rsidRPr="00394491">
        <w:rPr>
          <w:rFonts w:cs="Arial"/>
          <w:i/>
        </w:rPr>
        <w:t xml:space="preserve"> in the process of policy development and implementation process in an equal basis.</w:t>
      </w:r>
      <w:r>
        <w:rPr>
          <w:rFonts w:cs="Arial"/>
        </w:rPr>
        <w:t>"</w:t>
      </w:r>
      <w:r w:rsidRPr="00076BD8">
        <w:rPr>
          <w:rFonts w:cs="Arial"/>
        </w:rPr>
        <w:t xml:space="preserve"> </w:t>
      </w:r>
    </w:p>
    <w:p w14:paraId="4F4E34CC" w14:textId="77777777" w:rsidR="00B05C5E" w:rsidRDefault="00B05C5E" w:rsidP="009E3730">
      <w:pPr>
        <w:widowControl w:val="0"/>
        <w:suppressAutoHyphens/>
        <w:rPr>
          <w:rFonts w:eastAsia="Times New Roman" w:cs="Times New Roman"/>
        </w:rPr>
      </w:pPr>
    </w:p>
    <w:p w14:paraId="2A2F82A7" w14:textId="65842B17" w:rsidR="00B67400" w:rsidRDefault="00B0214B" w:rsidP="009E3730">
      <w:pPr>
        <w:widowControl w:val="0"/>
        <w:suppressAutoHyphens/>
      </w:pPr>
      <w:r>
        <w:rPr>
          <w:rFonts w:eastAsia="Times New Roman" w:cs="Times New Roman"/>
        </w:rPr>
        <w:t>After repe</w:t>
      </w:r>
      <w:r w:rsidR="001A649B">
        <w:rPr>
          <w:rFonts w:eastAsia="Times New Roman" w:cs="Times New Roman"/>
        </w:rPr>
        <w:t>a</w:t>
      </w:r>
      <w:r>
        <w:rPr>
          <w:rFonts w:eastAsia="Times New Roman" w:cs="Times New Roman"/>
        </w:rPr>
        <w:t xml:space="preserve">ted requests, </w:t>
      </w:r>
      <w:r w:rsidR="00377A50" w:rsidRPr="00553DD8">
        <w:rPr>
          <w:rFonts w:eastAsia="Times New Roman" w:cs="Times New Roman"/>
        </w:rPr>
        <w:t xml:space="preserve">ETF </w:t>
      </w:r>
      <w:r>
        <w:rPr>
          <w:rFonts w:eastAsia="Times New Roman" w:cs="Times New Roman"/>
        </w:rPr>
        <w:t xml:space="preserve">was commissioned in mid-2016 to </w:t>
      </w:r>
      <w:r w:rsidR="00377A50" w:rsidRPr="00553DD8">
        <w:rPr>
          <w:rFonts w:eastAsia="Times New Roman" w:cs="Times New Roman"/>
        </w:rPr>
        <w:t>undert</w:t>
      </w:r>
      <w:r>
        <w:rPr>
          <w:rFonts w:eastAsia="Times New Roman" w:cs="Times New Roman"/>
        </w:rPr>
        <w:t>ake</w:t>
      </w:r>
      <w:r w:rsidR="00377A50" w:rsidRPr="00553DD8">
        <w:rPr>
          <w:rFonts w:eastAsia="Times New Roman" w:cs="Times New Roman"/>
        </w:rPr>
        <w:t xml:space="preserve"> an Evaluation of </w:t>
      </w:r>
      <w:r>
        <w:rPr>
          <w:rFonts w:eastAsia="Times New Roman" w:cs="Times New Roman"/>
        </w:rPr>
        <w:t xml:space="preserve">the </w:t>
      </w:r>
      <w:r w:rsidR="00377A50" w:rsidRPr="00553DD8">
        <w:rPr>
          <w:rFonts w:eastAsia="Times New Roman" w:cs="Times New Roman"/>
        </w:rPr>
        <w:t xml:space="preserve">Functioning of National VET Council (NVETC) and to provide recommendations for strengthening social dialogue in the VET sector in Georgia. </w:t>
      </w:r>
      <w:r w:rsidR="001A649B">
        <w:t xml:space="preserve">The report, delivered in September 2016, although informally accepted by MoES, has yet to be approved. </w:t>
      </w:r>
      <w:r w:rsidR="00377A50" w:rsidRPr="00553DD8">
        <w:rPr>
          <w:rFonts w:eastAsia="Times New Roman" w:cs="Times New Roman"/>
        </w:rPr>
        <w:t xml:space="preserve">In particular, the study was to look at the impact of the </w:t>
      </w:r>
      <w:r w:rsidR="00B67400">
        <w:rPr>
          <w:rFonts w:eastAsia="Times New Roman" w:cs="Times New Roman"/>
        </w:rPr>
        <w:t xml:space="preserve">'pilot' </w:t>
      </w:r>
      <w:r w:rsidR="00377A50" w:rsidRPr="00553DD8">
        <w:rPr>
          <w:rFonts w:eastAsia="Times New Roman" w:cs="Times New Roman"/>
        </w:rPr>
        <w:t xml:space="preserve">introduction of </w:t>
      </w:r>
      <w:r>
        <w:rPr>
          <w:rFonts w:eastAsia="Times New Roman" w:cs="Times New Roman"/>
        </w:rPr>
        <w:t xml:space="preserve">civil society as </w:t>
      </w:r>
      <w:r w:rsidR="00377A50" w:rsidRPr="00553DD8">
        <w:rPr>
          <w:rFonts w:eastAsia="Times New Roman" w:cs="Times New Roman"/>
        </w:rPr>
        <w:t xml:space="preserve">a fourth tier of </w:t>
      </w:r>
      <w:r>
        <w:rPr>
          <w:rFonts w:eastAsia="Times New Roman" w:cs="Times New Roman"/>
        </w:rPr>
        <w:t xml:space="preserve">the </w:t>
      </w:r>
      <w:r w:rsidR="00377A50" w:rsidRPr="00553DD8">
        <w:rPr>
          <w:rFonts w:eastAsia="Times New Roman" w:cs="Times New Roman"/>
        </w:rPr>
        <w:t xml:space="preserve">NVETC </w:t>
      </w:r>
      <w:r>
        <w:rPr>
          <w:rFonts w:eastAsia="Times New Roman" w:cs="Times New Roman"/>
        </w:rPr>
        <w:t xml:space="preserve">in 2014 </w:t>
      </w:r>
      <w:r>
        <w:t>(an action not included in the Framework action plan)</w:t>
      </w:r>
      <w:r w:rsidR="00377A50" w:rsidRPr="00553DD8">
        <w:rPr>
          <w:rFonts w:eastAsia="Times New Roman" w:cs="Times New Roman"/>
        </w:rPr>
        <w:t xml:space="preserve">. </w:t>
      </w:r>
      <w:r w:rsidR="00B67400" w:rsidRPr="009C3E0C">
        <w:rPr>
          <w:b/>
        </w:rPr>
        <w:t>The assessment concluded that the quadripartite arrangement had not improved on the tripartite approach and that there was still opposition to it from the social partners, and recommended a return to, and strengthening of, a tripartite NVETC</w:t>
      </w:r>
      <w:r w:rsidR="00B67400">
        <w:t xml:space="preserve">. </w:t>
      </w:r>
      <w:r w:rsidR="001A649B" w:rsidRPr="00515A3A">
        <w:rPr>
          <w:rFonts w:eastAsia="Times New Roman" w:cs="Times New Roman"/>
        </w:rPr>
        <w:t>MoES reported that it foresees the restructuring of NVETC in the light of this evaluation, but exactly how remain</w:t>
      </w:r>
      <w:r w:rsidR="001A649B">
        <w:rPr>
          <w:rFonts w:eastAsia="Times New Roman" w:cs="Times New Roman"/>
        </w:rPr>
        <w:t>s</w:t>
      </w:r>
      <w:r w:rsidR="001A649B" w:rsidRPr="00515A3A">
        <w:rPr>
          <w:rFonts w:eastAsia="Times New Roman" w:cs="Times New Roman"/>
        </w:rPr>
        <w:t xml:space="preserve"> to be determined</w:t>
      </w:r>
      <w:r w:rsidR="001A649B">
        <w:rPr>
          <w:rFonts w:eastAsia="Times New Roman" w:cs="Times New Roman"/>
        </w:rPr>
        <w:t xml:space="preserve">, and </w:t>
      </w:r>
      <w:r w:rsidR="00B67400">
        <w:t>the quadripartite arrangement remains in place, over two years since it was launched, and reinforces the social partners'</w:t>
      </w:r>
      <w:r w:rsidR="008B79DD">
        <w:t xml:space="preserve"> </w:t>
      </w:r>
      <w:r w:rsidR="00B67400">
        <w:t>disquiet about the effectiveness of the NVETC.</w:t>
      </w:r>
    </w:p>
    <w:p w14:paraId="4558CE1F" w14:textId="77777777" w:rsidR="00460B73" w:rsidRDefault="00460B73" w:rsidP="009E3730">
      <w:pPr>
        <w:widowControl w:val="0"/>
        <w:suppressAutoHyphens/>
        <w:rPr>
          <w:rFonts w:eastAsia="Times New Roman" w:cs="Times New Roman"/>
        </w:rPr>
      </w:pPr>
    </w:p>
    <w:p w14:paraId="2A9FEEBE" w14:textId="2FBC5E35" w:rsidR="00394491" w:rsidRDefault="00A62F22" w:rsidP="009E3730">
      <w:pPr>
        <w:widowControl w:val="0"/>
        <w:suppressAutoHyphens/>
        <w:rPr>
          <w:rFonts w:eastAsia="Times New Roman" w:cs="Times New Roman"/>
        </w:rPr>
      </w:pPr>
      <w:r>
        <w:rPr>
          <w:rFonts w:eastAsia="Times New Roman" w:cs="Times New Roman"/>
        </w:rPr>
        <w:t>Among other r</w:t>
      </w:r>
      <w:r w:rsidR="00394491">
        <w:rPr>
          <w:rFonts w:eastAsia="Times New Roman" w:cs="Times New Roman"/>
        </w:rPr>
        <w:t>ecommendations the ETF Evaluation include</w:t>
      </w:r>
      <w:r>
        <w:rPr>
          <w:rFonts w:eastAsia="Times New Roman" w:cs="Times New Roman"/>
        </w:rPr>
        <w:t xml:space="preserve">d strengthening the role of the NVETC in policy-making, supporting the inclusion of social partners in the decision-making </w:t>
      </w:r>
      <w:r>
        <w:rPr>
          <w:rFonts w:eastAsia="Times New Roman" w:cs="Times New Roman"/>
        </w:rPr>
        <w:lastRenderedPageBreak/>
        <w:t xml:space="preserve">process. </w:t>
      </w:r>
      <w:r w:rsidR="000E1F90">
        <w:rPr>
          <w:rFonts w:eastAsia="Times New Roman" w:cs="Times New Roman"/>
        </w:rPr>
        <w:t>Agreements reached within t</w:t>
      </w:r>
      <w:r>
        <w:rPr>
          <w:rFonts w:eastAsia="Times New Roman" w:cs="Times New Roman"/>
        </w:rPr>
        <w:t xml:space="preserve">he NVETC should become </w:t>
      </w:r>
      <w:r w:rsidR="00912BE5">
        <w:rPr>
          <w:rFonts w:eastAsia="Times New Roman" w:cs="Times New Roman"/>
        </w:rPr>
        <w:t xml:space="preserve">the </w:t>
      </w:r>
      <w:r w:rsidR="000E1F90">
        <w:rPr>
          <w:rFonts w:eastAsia="Times New Roman" w:cs="Times New Roman"/>
        </w:rPr>
        <w:t xml:space="preserve">basis of all VET policy decisions. The NVETC should be central not only to the formulation of policy but also to the monitoring and supervision of policy implementation. A more effective role would increase the level of participation of the social partners in NVETC and in VET generally, and should be supported by clearer procedural rules and links with the working groups. </w:t>
      </w:r>
      <w:r w:rsidR="004E57E4">
        <w:rPr>
          <w:rFonts w:eastAsia="Times New Roman" w:cs="Times New Roman"/>
        </w:rPr>
        <w:t xml:space="preserve">The report proposes development of NVETC platforms at regional and sub-regional level, supporting the basing of </w:t>
      </w:r>
      <w:r w:rsidR="004E57E4" w:rsidRPr="00394491">
        <w:rPr>
          <w:rFonts w:eastAsia="Times New Roman" w:cs="Arial"/>
          <w:bCs/>
          <w:noProof/>
        </w:rPr>
        <w:t>VET reforms on evidence about sub-region/sector-specific socioeconomic developments</w:t>
      </w:r>
      <w:r w:rsidR="004E57E4">
        <w:rPr>
          <w:rFonts w:eastAsia="Times New Roman" w:cs="Arial"/>
          <w:bCs/>
          <w:noProof/>
        </w:rPr>
        <w:t>, and the wider promotion of the NVETC and its members with the public. The report also recommends strengthening the role and independence of the NVETC Secretariat, with members selected by the Council, and the rotation of the NVETC Chair.</w:t>
      </w:r>
    </w:p>
    <w:p w14:paraId="7D152A27" w14:textId="77777777" w:rsidR="00F62DDD" w:rsidRDefault="00F62DDD" w:rsidP="009E3730">
      <w:pPr>
        <w:widowControl w:val="0"/>
        <w:suppressAutoHyphens/>
        <w:rPr>
          <w:rFonts w:eastAsia="Times New Roman" w:cs="Times New Roman"/>
        </w:rPr>
      </w:pPr>
    </w:p>
    <w:p w14:paraId="6C3D666E" w14:textId="77777777" w:rsidR="00363F34" w:rsidRDefault="00363F34" w:rsidP="009E3730">
      <w:pPr>
        <w:widowControl w:val="0"/>
        <w:suppressAutoHyphens/>
        <w:adjustRightInd w:val="0"/>
      </w:pPr>
      <w:r>
        <w:t>A</w:t>
      </w:r>
      <w:r w:rsidRPr="00282DB6">
        <w:rPr>
          <w:i/>
        </w:rPr>
        <w:t xml:space="preserve"> “Concept Paper of WBL Model Implementation in Georgia" </w:t>
      </w:r>
      <w:r w:rsidRPr="00282DB6">
        <w:t>was discussed and approved by the NVETC on 28th of December 2015</w:t>
      </w:r>
      <w:r>
        <w:t xml:space="preserve">, but there was no separate ministerial decision. MoES claimed that such a decision was inappropriate within the framework of Georgian legislation and that evidence of ministerial approval was provided by the fact that the ministry submitted the concept paper to NVETC for approval and the relevant deputy minister chairs the NVETC (a position accepted by EUD but not formalised in an exchange of letters, and rejected by EU Headquarters when considering Third Instalment disbursement). </w:t>
      </w:r>
    </w:p>
    <w:p w14:paraId="0A8F8047" w14:textId="77777777" w:rsidR="00363F34" w:rsidRDefault="00363F34" w:rsidP="009E3730">
      <w:pPr>
        <w:widowControl w:val="0"/>
        <w:suppressAutoHyphens/>
        <w:adjustRightInd w:val="0"/>
      </w:pPr>
    </w:p>
    <w:p w14:paraId="3E38D013" w14:textId="77777777" w:rsidR="00363F34" w:rsidRPr="00553DD8" w:rsidRDefault="00363F34" w:rsidP="009E3730">
      <w:pPr>
        <w:widowControl w:val="0"/>
        <w:suppressAutoHyphens/>
        <w:adjustRightInd w:val="0"/>
        <w:rPr>
          <w:rFonts w:eastAsia="Times New Roman" w:cs="Times New Roman"/>
        </w:rPr>
      </w:pPr>
      <w:r w:rsidRPr="00282DB6">
        <w:t xml:space="preserve">An Action Plan for Concept implementation </w:t>
      </w:r>
      <w:r>
        <w:t>over</w:t>
      </w:r>
      <w:r w:rsidRPr="00282DB6">
        <w:t xml:space="preserve"> 2016-2018 was presented to the NVETC on 31st of March 2016 at which the Review Mission members were present. The Action Plan provides for the initial piloting of the concept in agriculture with the support of the </w:t>
      </w:r>
      <w:r>
        <w:t>SDC/</w:t>
      </w:r>
      <w:r w:rsidRPr="00282DB6">
        <w:t>UNDP Project.</w:t>
      </w:r>
      <w:r>
        <w:t xml:space="preserve"> Just before this, o</w:t>
      </w:r>
      <w:r w:rsidRPr="00282DB6">
        <w:t>n 24th-25th March 2016</w:t>
      </w:r>
      <w:r>
        <w:t>,</w:t>
      </w:r>
      <w:r w:rsidRPr="00282DB6">
        <w:t xml:space="preserve"> </w:t>
      </w:r>
      <w:r>
        <w:t xml:space="preserve">the Prime </w:t>
      </w:r>
      <w:r w:rsidRPr="00282DB6">
        <w:t>Minister</w:t>
      </w:r>
      <w:r>
        <w:t xml:space="preserve"> </w:t>
      </w:r>
      <w:r w:rsidRPr="00282DB6">
        <w:t>announc</w:t>
      </w:r>
      <w:r>
        <w:t>ed</w:t>
      </w:r>
      <w:r w:rsidRPr="00282DB6">
        <w:t xml:space="preserve"> that the next phase of VET reforms would focus on Public-Private-Partnership </w:t>
      </w:r>
      <w:r>
        <w:t xml:space="preserve">(PPP) </w:t>
      </w:r>
      <w:r w:rsidRPr="00282DB6">
        <w:t xml:space="preserve">and </w:t>
      </w:r>
      <w:r>
        <w:t xml:space="preserve">the </w:t>
      </w:r>
      <w:r w:rsidRPr="00282DB6">
        <w:t xml:space="preserve">establishment of work based learning. A PPP concept </w:t>
      </w:r>
      <w:r>
        <w:t xml:space="preserve">paper </w:t>
      </w:r>
      <w:r w:rsidRPr="00282DB6">
        <w:t>was produced by MoES in March 2016.</w:t>
      </w:r>
      <w:r>
        <w:t xml:space="preserve"> </w:t>
      </w:r>
      <w:r w:rsidRPr="00553DD8">
        <w:rPr>
          <w:rFonts w:eastAsia="Times New Roman" w:cs="Times New Roman"/>
        </w:rPr>
        <w:t>On 18th July 2016 a first TVET Annual Conference was organized by MCA-G</w:t>
      </w:r>
      <w:r w:rsidRPr="00CF5FCE">
        <w:rPr>
          <w:rStyle w:val="FootnoteReference"/>
        </w:rPr>
        <w:footnoteReference w:id="79"/>
      </w:r>
      <w:r w:rsidRPr="00CF5FCE">
        <w:rPr>
          <w:rStyle w:val="FootnoteReference"/>
        </w:rPr>
        <w:t>,</w:t>
      </w:r>
      <w:r w:rsidRPr="00553DD8">
        <w:rPr>
          <w:rFonts w:eastAsia="Times New Roman" w:cs="Times New Roman"/>
        </w:rPr>
        <w:t xml:space="preserve"> bringing together around 200 senior participants from politics, the business community, international agencies and civil society to discuss how to increase and enhance labour market-oriented TVET development. Three parallel sessions covered public-private partnership in TVET, increasing TVET participation rates, and WBL. In September 2016, a conference on WBL funding was held by ETF. A funding scheme for WBL is reportedly being developed by MoES and is expected to be adopted by Government Decree in 2017.</w:t>
      </w:r>
    </w:p>
    <w:p w14:paraId="24935028" w14:textId="77777777" w:rsidR="00363F34" w:rsidRDefault="00363F34" w:rsidP="009E3730">
      <w:pPr>
        <w:widowControl w:val="0"/>
        <w:suppressAutoHyphens/>
        <w:rPr>
          <w:rFonts w:eastAsia="Times New Roman" w:cs="Times New Roman"/>
        </w:rPr>
      </w:pPr>
    </w:p>
    <w:p w14:paraId="116F195F" w14:textId="272DEA13" w:rsidR="00CF5FCE" w:rsidRDefault="00514BB3" w:rsidP="009E3730">
      <w:pPr>
        <w:widowControl w:val="0"/>
        <w:suppressAutoHyphens/>
        <w:rPr>
          <w:rFonts w:eastAsia="Times New Roman" w:cs="Times New Roman"/>
        </w:rPr>
      </w:pPr>
      <w:r>
        <w:rPr>
          <w:rFonts w:eastAsia="Times New Roman" w:cs="Times New Roman"/>
        </w:rPr>
        <w:t>A report on implementation of the WBL Concept Action Plan, covering the period from 22nd July 2016 to 22nd March 2017, was pres</w:t>
      </w:r>
      <w:r w:rsidR="00F31120">
        <w:rPr>
          <w:rFonts w:eastAsia="Times New Roman" w:cs="Times New Roman"/>
        </w:rPr>
        <w:t>e</w:t>
      </w:r>
      <w:r>
        <w:rPr>
          <w:rFonts w:eastAsia="Times New Roman" w:cs="Times New Roman"/>
        </w:rPr>
        <w:t>nted to the Review.</w:t>
      </w:r>
      <w:r w:rsidR="00F31120">
        <w:rPr>
          <w:rFonts w:eastAsia="Times New Roman" w:cs="Times New Roman"/>
        </w:rPr>
        <w:t xml:space="preserve"> The report is essentially about the Georgian Farmers' Association actions to implement two of the three WBL </w:t>
      </w:r>
      <w:r w:rsidR="00CF5FCE" w:rsidRPr="00553DD8">
        <w:rPr>
          <w:rFonts w:eastAsia="Times New Roman" w:cs="Times New Roman"/>
        </w:rPr>
        <w:t xml:space="preserve">pilots </w:t>
      </w:r>
      <w:r w:rsidR="00436347">
        <w:rPr>
          <w:rFonts w:eastAsia="Times New Roman" w:cs="Times New Roman"/>
        </w:rPr>
        <w:t xml:space="preserve">(see </w:t>
      </w:r>
      <w:r w:rsidR="00CF5FCE" w:rsidRPr="00553DD8">
        <w:rPr>
          <w:rFonts w:eastAsia="Times New Roman" w:cs="Times New Roman"/>
        </w:rPr>
        <w:t>Indicator 3.3.2</w:t>
      </w:r>
      <w:r w:rsidR="00436347">
        <w:rPr>
          <w:rFonts w:eastAsia="Times New Roman" w:cs="Times New Roman"/>
        </w:rPr>
        <w:t xml:space="preserve"> below)</w:t>
      </w:r>
      <w:r w:rsidR="00CF5FCE" w:rsidRPr="00553DD8">
        <w:rPr>
          <w:rFonts w:eastAsia="Times New Roman" w:cs="Times New Roman"/>
        </w:rPr>
        <w:t xml:space="preserve">. </w:t>
      </w:r>
      <w:r w:rsidR="00F31120">
        <w:rPr>
          <w:rFonts w:eastAsia="Times New Roman" w:cs="Times New Roman"/>
        </w:rPr>
        <w:t xml:space="preserve">The report's introduction seeks to show these actions as evidence of </w:t>
      </w:r>
      <w:r w:rsidR="00F31120" w:rsidRPr="00F31120">
        <w:rPr>
          <w:rFonts w:eastAsia="Times New Roman" w:cs="Times New Roman"/>
          <w:i/>
        </w:rPr>
        <w:t>'</w:t>
      </w:r>
      <w:r w:rsidR="00F31120" w:rsidRPr="00F31120">
        <w:rPr>
          <w:i/>
        </w:rPr>
        <w:t>systemic participation of social partners in VET policy cycle to implement the new WBL model aiming to transform existing supply-driven VET system towards a demand-led model to meet industry needs for the skilled workforce</w:t>
      </w:r>
      <w:r w:rsidR="00F31120" w:rsidRPr="00A260F5">
        <w:t xml:space="preserve"> </w:t>
      </w:r>
      <w:r w:rsidR="00F31120">
        <w:t>....</w:t>
      </w:r>
      <w:r w:rsidR="00F31120" w:rsidRPr="00F31120">
        <w:rPr>
          <w:i/>
        </w:rPr>
        <w:t>linking employers’ interests to the training provision, to make the best use of the workplace as a powerful learning environment as well as to make VET more attracti</w:t>
      </w:r>
      <w:r w:rsidR="00F31120">
        <w:rPr>
          <w:i/>
        </w:rPr>
        <w:t xml:space="preserve">ve and labour-market-oriented.' </w:t>
      </w:r>
    </w:p>
    <w:p w14:paraId="7BDEB863" w14:textId="77777777" w:rsidR="00363F34" w:rsidRDefault="00363F34" w:rsidP="009E3730">
      <w:pPr>
        <w:widowControl w:val="0"/>
        <w:suppressAutoHyphens/>
        <w:rPr>
          <w:rFonts w:eastAsia="Times New Roman" w:cs="Times New Roman"/>
        </w:rPr>
      </w:pPr>
    </w:p>
    <w:p w14:paraId="2A54B0E7" w14:textId="3A762255" w:rsidR="00363F34" w:rsidRPr="00460B73" w:rsidRDefault="00436347" w:rsidP="009E3730">
      <w:pPr>
        <w:widowControl w:val="0"/>
        <w:suppressAutoHyphens/>
        <w:rPr>
          <w:rFonts w:eastAsia="Times New Roman" w:cs="Times New Roman"/>
        </w:rPr>
      </w:pPr>
      <w:r>
        <w:rPr>
          <w:rFonts w:eastAsia="Times New Roman" w:cs="Times New Roman"/>
        </w:rPr>
        <w:t>Besides the policy area of NVETC, t</w:t>
      </w:r>
      <w:r w:rsidR="00363F34" w:rsidRPr="00460B73">
        <w:rPr>
          <w:rFonts w:eastAsia="Times New Roman" w:cs="Times New Roman"/>
        </w:rPr>
        <w:t xml:space="preserve">he framework of cooperation with </w:t>
      </w:r>
      <w:r w:rsidR="00363F34">
        <w:rPr>
          <w:rFonts w:eastAsia="Times New Roman" w:cs="Times New Roman"/>
        </w:rPr>
        <w:t>employers</w:t>
      </w:r>
      <w:r w:rsidR="00363F34" w:rsidRPr="00460B73">
        <w:rPr>
          <w:rFonts w:eastAsia="Times New Roman" w:cs="Times New Roman"/>
        </w:rPr>
        <w:t xml:space="preserve"> includes their involvement in defining occupational standards through the sectoral committees</w:t>
      </w:r>
      <w:r w:rsidR="00363F34">
        <w:rPr>
          <w:rFonts w:eastAsia="Times New Roman" w:cs="Times New Roman"/>
        </w:rPr>
        <w:t>, their role in governance of VET colleges, and their support for workplace elements of VET courses, including through internships, and the training of VET teachers</w:t>
      </w:r>
      <w:r>
        <w:rPr>
          <w:rFonts w:eastAsia="Times New Roman" w:cs="Times New Roman"/>
        </w:rPr>
        <w:t>, elements of which are inc</w:t>
      </w:r>
      <w:r w:rsidR="008B69DE">
        <w:rPr>
          <w:rFonts w:eastAsia="Times New Roman" w:cs="Times New Roman"/>
        </w:rPr>
        <w:t>l</w:t>
      </w:r>
      <w:r>
        <w:rPr>
          <w:rFonts w:eastAsia="Times New Roman" w:cs="Times New Roman"/>
        </w:rPr>
        <w:t>uded in the Framework for Enhanced Social Partnership Action Plan</w:t>
      </w:r>
      <w:r w:rsidR="00363F34">
        <w:rPr>
          <w:rFonts w:eastAsia="Times New Roman" w:cs="Times New Roman"/>
        </w:rPr>
        <w:t>.</w:t>
      </w:r>
      <w:r w:rsidR="00363F34" w:rsidRPr="00460B73">
        <w:rPr>
          <w:rFonts w:eastAsia="Times New Roman" w:cs="Times New Roman"/>
        </w:rPr>
        <w:t xml:space="preserve"> </w:t>
      </w:r>
    </w:p>
    <w:p w14:paraId="0E13649D" w14:textId="77777777" w:rsidR="00363F34" w:rsidRDefault="00363F34" w:rsidP="009E3730">
      <w:pPr>
        <w:widowControl w:val="0"/>
        <w:suppressAutoHyphens/>
        <w:rPr>
          <w:rFonts w:eastAsia="Times New Roman" w:cs="Times New Roman"/>
        </w:rPr>
      </w:pPr>
    </w:p>
    <w:p w14:paraId="19079495" w14:textId="77777777" w:rsidR="00363F34" w:rsidRDefault="00363F34" w:rsidP="009E3730">
      <w:pPr>
        <w:widowControl w:val="0"/>
        <w:suppressAutoHyphens/>
        <w:rPr>
          <w:rFonts w:eastAsia="Times New Roman" w:cs="Times New Roman"/>
        </w:rPr>
      </w:pPr>
      <w:r>
        <w:rPr>
          <w:rFonts w:eastAsia="Times New Roman" w:cs="Times New Roman"/>
        </w:rPr>
        <w:t xml:space="preserve">With respect to their role in occupational standards, this is covered under Indicator 2.1.3 above, where the main conclusion was of limited involvement in the drafting of standards and a role limited to ex-post validation by sectoral committees. This is despite the realization that </w:t>
      </w:r>
      <w:r>
        <w:rPr>
          <w:rFonts w:eastAsia="Times New Roman" w:cs="Times New Roman"/>
        </w:rPr>
        <w:lastRenderedPageBreak/>
        <w:t xml:space="preserve">the OS formulated initially, largely in an academic bubble, had limited connection with the realities of the workplace and the actual requirements of employment. This was reinforced by the employers' survey (Indicator 3.2.2) which referred to limited relevance of VET qualifications to employment requirements. </w:t>
      </w:r>
    </w:p>
    <w:p w14:paraId="52DBDEC9" w14:textId="77777777" w:rsidR="00363F34" w:rsidRDefault="00363F34" w:rsidP="009E3730">
      <w:pPr>
        <w:widowControl w:val="0"/>
        <w:suppressAutoHyphens/>
        <w:rPr>
          <w:rFonts w:eastAsia="Times New Roman" w:cs="Times New Roman"/>
        </w:rPr>
      </w:pPr>
    </w:p>
    <w:p w14:paraId="57FEA9DF" w14:textId="610FEA59" w:rsidR="00363F34" w:rsidRDefault="00363F34" w:rsidP="009E3730">
      <w:pPr>
        <w:widowControl w:val="0"/>
        <w:suppressAutoHyphens/>
        <w:rPr>
          <w:rFonts w:eastAsia="Times New Roman" w:cs="Times New Roman"/>
        </w:rPr>
      </w:pPr>
      <w:r>
        <w:rPr>
          <w:rFonts w:eastAsia="Times New Roman" w:cs="Times New Roman"/>
        </w:rPr>
        <w:t>On college governance, when college boards were established in 2011/12 they were supposed to include at least one employer among the five members. However, the role of the boards in some institutions was minimal and appeared to diminish over the period since they were a positive element of EU assistance under the previous budget support programme and received training through IoM. As shown in the employers' surveys, few employers have been involved in recent years, though the situation varied substantially from one co</w:t>
      </w:r>
      <w:r w:rsidR="008B69DE">
        <w:rPr>
          <w:rFonts w:eastAsia="Times New Roman" w:cs="Times New Roman"/>
        </w:rPr>
        <w:t>l</w:t>
      </w:r>
      <w:r>
        <w:rPr>
          <w:rFonts w:eastAsia="Times New Roman" w:cs="Times New Roman"/>
        </w:rPr>
        <w:t>lege to another. New regulations on supervisory boards, and related legislative changes, based around a new model, were scheduled for development and approval in 2015 in the Framework for Enhanced Social Partnership in VET Action Plan approved in December 2014. A new model is reported to have been developed and discussed, and was reflected in the new draft VET Law, the draft regulations referring to a board of nine members with three employers, alongside one local government, two NGO, one teacher and one student representative. But still in 2017 this has yet to be introduced.</w:t>
      </w:r>
    </w:p>
    <w:p w14:paraId="5FC7BC95" w14:textId="77777777" w:rsidR="00363F34" w:rsidRDefault="00363F34" w:rsidP="009E3730">
      <w:pPr>
        <w:widowControl w:val="0"/>
        <w:suppressAutoHyphens/>
        <w:rPr>
          <w:rFonts w:eastAsia="Times New Roman" w:cs="Times New Roman"/>
        </w:rPr>
      </w:pPr>
    </w:p>
    <w:p w14:paraId="0C9A818A" w14:textId="77777777" w:rsidR="00363F34" w:rsidRDefault="00363F34" w:rsidP="009E3730">
      <w:pPr>
        <w:widowControl w:val="0"/>
        <w:suppressAutoHyphens/>
        <w:rPr>
          <w:rFonts w:eastAsia="Times New Roman" w:cs="Times New Roman"/>
        </w:rPr>
      </w:pPr>
      <w:r>
        <w:rPr>
          <w:rFonts w:eastAsia="Times New Roman" w:cs="Times New Roman"/>
        </w:rPr>
        <w:t>The positive involvement of employers with teachers' development is covered under Indicator 2.2.2 above. Opportunities, managed through TPDC, are expanding for placing teachers for short periods with employers to update both their skills and knowledge. This has been relatively successful but needs expanding on the basis of individual teacher needs and professional development plans.</w:t>
      </w:r>
    </w:p>
    <w:p w14:paraId="1E6843B5" w14:textId="77777777" w:rsidR="00363F34" w:rsidRPr="00460B73" w:rsidRDefault="00363F34" w:rsidP="009E3730">
      <w:pPr>
        <w:widowControl w:val="0"/>
        <w:suppressAutoHyphens/>
        <w:rPr>
          <w:rFonts w:eastAsia="Times New Roman" w:cs="Times New Roman"/>
        </w:rPr>
      </w:pPr>
    </w:p>
    <w:p w14:paraId="20FA2F8D" w14:textId="77777777" w:rsidR="00363F34" w:rsidRPr="00460B73" w:rsidRDefault="00363F34" w:rsidP="009E3730">
      <w:pPr>
        <w:widowControl w:val="0"/>
        <w:suppressAutoHyphens/>
        <w:rPr>
          <w:rFonts w:eastAsia="Times New Roman" w:cs="Times New Roman"/>
        </w:rPr>
      </w:pPr>
      <w:r w:rsidRPr="00460B73">
        <w:rPr>
          <w:rFonts w:eastAsia="Times New Roman" w:cs="Times New Roman"/>
        </w:rPr>
        <w:t xml:space="preserve">Employers are also involved through various agreements in the delivery of VET courses by providing work placements and with the updating of VET teacher skills through training, but as noted with the employers' survey (Indicator 3.2.2) few employers have agreements with VET providers (2% according to the 2016 survey, down from 4% in 2015), few cooperate in VET provision (4% in 2016, compared with 6% in 2015), doing so mainly through providing internships (4% in 2016 compared with 4% also in 2015), and few employ VET graduates (8% in 2016 compared with 11% in 2015), and even then the evidence points to a reduction rather than increase in relationships.. </w:t>
      </w:r>
    </w:p>
    <w:p w14:paraId="57E686B6" w14:textId="77777777" w:rsidR="008B6DCC" w:rsidRDefault="008B6DCC" w:rsidP="009E3730">
      <w:pPr>
        <w:widowControl w:val="0"/>
        <w:suppressAutoHyphens/>
        <w:rPr>
          <w:rFonts w:eastAsia="Times New Roman" w:cs="Times New Roman"/>
        </w:rPr>
      </w:pPr>
    </w:p>
    <w:p w14:paraId="391CEE9B" w14:textId="15EE66A2" w:rsidR="00B67400" w:rsidRPr="00460B73" w:rsidRDefault="00B67400" w:rsidP="009E3730">
      <w:pPr>
        <w:widowControl w:val="0"/>
        <w:suppressAutoHyphens/>
        <w:rPr>
          <w:rFonts w:eastAsia="Times New Roman" w:cs="Times New Roman"/>
        </w:rPr>
      </w:pPr>
      <w:r w:rsidRPr="00515A3A">
        <w:rPr>
          <w:rFonts w:eastAsia="Times New Roman" w:cs="Times New Roman"/>
        </w:rPr>
        <w:t xml:space="preserve">No evidence of improvement in the social partnership framework </w:t>
      </w:r>
      <w:r w:rsidR="00734301">
        <w:rPr>
          <w:rFonts w:eastAsia="Times New Roman" w:cs="Times New Roman"/>
        </w:rPr>
        <w:t xml:space="preserve">as such </w:t>
      </w:r>
      <w:r w:rsidRPr="00515A3A">
        <w:rPr>
          <w:rFonts w:eastAsia="Times New Roman" w:cs="Times New Roman"/>
        </w:rPr>
        <w:t>w</w:t>
      </w:r>
      <w:r>
        <w:rPr>
          <w:rFonts w:eastAsia="Times New Roman" w:cs="Times New Roman"/>
        </w:rPr>
        <w:t>as</w:t>
      </w:r>
      <w:r w:rsidRPr="00515A3A">
        <w:rPr>
          <w:rFonts w:eastAsia="Times New Roman" w:cs="Times New Roman"/>
        </w:rPr>
        <w:t xml:space="preserve"> provided to the </w:t>
      </w:r>
      <w:r>
        <w:rPr>
          <w:rFonts w:eastAsia="Times New Roman" w:cs="Times New Roman"/>
        </w:rPr>
        <w:t>Final</w:t>
      </w:r>
      <w:r w:rsidRPr="00515A3A">
        <w:rPr>
          <w:rFonts w:eastAsia="Times New Roman" w:cs="Times New Roman"/>
        </w:rPr>
        <w:t xml:space="preserve"> Review</w:t>
      </w:r>
      <w:r w:rsidR="00734301">
        <w:rPr>
          <w:rFonts w:eastAsia="Times New Roman" w:cs="Times New Roman"/>
        </w:rPr>
        <w:t xml:space="preserve"> and no progress report on implementation of the Framework presented as evidence for the Second Instalment</w:t>
      </w:r>
      <w:r w:rsidRPr="00553DD8">
        <w:rPr>
          <w:rFonts w:eastAsia="Times New Roman" w:cs="Times New Roman"/>
        </w:rPr>
        <w:t xml:space="preserve">. </w:t>
      </w:r>
      <w:r w:rsidR="00734301">
        <w:rPr>
          <w:rFonts w:eastAsia="Times New Roman" w:cs="Times New Roman"/>
        </w:rPr>
        <w:t xml:space="preserve">While the ETF report on the functioning of the social partnership was obtained by the Review, it was not presented by the Government. The ETF report questions the validity of continuing the quadripartite arrangement for the NVETC, the central feature of the Framework document but not included in the Action Plan, and Government, while indicating an intention to consider NVETC restructuring following the ETF report, does not appear to have acted, nor expressed what form this might take. </w:t>
      </w:r>
      <w:r w:rsidRPr="00553DD8">
        <w:rPr>
          <w:rFonts w:eastAsia="Times New Roman" w:cs="Times New Roman"/>
        </w:rPr>
        <w:t>Interviews with the Presidents of the two main social partners, the Georgian Association of Employers and the Georgian Trade Unions Confederation did not suggest progress in the improvement of the social partnership (and specifically in</w:t>
      </w:r>
      <w:r>
        <w:rPr>
          <w:rFonts w:eastAsia="Times New Roman" w:cs="Times New Roman"/>
        </w:rPr>
        <w:t xml:space="preserve"> the</w:t>
      </w:r>
      <w:r w:rsidRPr="00553DD8">
        <w:rPr>
          <w:rFonts w:eastAsia="Times New Roman" w:cs="Times New Roman"/>
        </w:rPr>
        <w:t xml:space="preserve"> </w:t>
      </w:r>
      <w:r>
        <w:rPr>
          <w:rFonts w:eastAsia="Times New Roman" w:cs="Times New Roman"/>
        </w:rPr>
        <w:t>'</w:t>
      </w:r>
      <w:r w:rsidRPr="00F62DDD">
        <w:rPr>
          <w:rFonts w:eastAsia="Times New Roman" w:cs="Times New Roman"/>
          <w:i/>
        </w:rPr>
        <w:t>systemic participation of social partners in VET policy</w:t>
      </w:r>
      <w:r>
        <w:rPr>
          <w:rFonts w:eastAsia="Times New Roman" w:cs="Times New Roman"/>
          <w:i/>
        </w:rPr>
        <w:t>'</w:t>
      </w:r>
      <w:r w:rsidRPr="00553DD8">
        <w:rPr>
          <w:rFonts w:eastAsia="Times New Roman" w:cs="Times New Roman"/>
        </w:rPr>
        <w:t xml:space="preserve"> making p</w:t>
      </w:r>
      <w:r w:rsidRPr="00460B73">
        <w:rPr>
          <w:rFonts w:eastAsia="Times New Roman" w:cs="Times New Roman"/>
        </w:rPr>
        <w:t xml:space="preserve">rocess) had been achieved, nor an increased level of satisfaction of the social partners in this regard. </w:t>
      </w:r>
      <w:r w:rsidR="00734301">
        <w:rPr>
          <w:rFonts w:eastAsia="Times New Roman" w:cs="Times New Roman"/>
        </w:rPr>
        <w:t xml:space="preserve">Thus although there has been some progress in implementation of elements of the Framework, the central issue has not been addressed, and there is no evidence </w:t>
      </w:r>
      <w:r w:rsidR="00C10C64">
        <w:rPr>
          <w:rFonts w:eastAsia="Times New Roman" w:cs="Times New Roman"/>
        </w:rPr>
        <w:t>of improvements in the '</w:t>
      </w:r>
      <w:r w:rsidR="00C10C64" w:rsidRPr="00F62DDD">
        <w:rPr>
          <w:rFonts w:eastAsia="Times New Roman" w:cs="Times New Roman"/>
          <w:i/>
        </w:rPr>
        <w:t xml:space="preserve">systemic participation of social partners in </w:t>
      </w:r>
      <w:r w:rsidR="00C10C64">
        <w:rPr>
          <w:rFonts w:eastAsia="Times New Roman" w:cs="Times New Roman"/>
          <w:i/>
        </w:rPr>
        <w:t xml:space="preserve">the </w:t>
      </w:r>
      <w:r w:rsidR="00C10C64" w:rsidRPr="00F62DDD">
        <w:rPr>
          <w:rFonts w:eastAsia="Times New Roman" w:cs="Times New Roman"/>
          <w:i/>
        </w:rPr>
        <w:t>VET policy</w:t>
      </w:r>
      <w:r w:rsidR="00C10C64">
        <w:rPr>
          <w:rFonts w:eastAsia="Times New Roman" w:cs="Times New Roman"/>
          <w:i/>
        </w:rPr>
        <w:t xml:space="preserve"> cycle'</w:t>
      </w:r>
      <w:r w:rsidR="00C10C64" w:rsidRPr="00553DD8">
        <w:rPr>
          <w:rFonts w:eastAsia="Times New Roman" w:cs="Times New Roman"/>
        </w:rPr>
        <w:t xml:space="preserve"> </w:t>
      </w:r>
      <w:r w:rsidR="00C10C64">
        <w:rPr>
          <w:rFonts w:eastAsia="Times New Roman" w:cs="Times New Roman"/>
        </w:rPr>
        <w:t>being implemented. There have been steps towards the introduction of WBL, but in 2016 limited to three pilot projects in agriculture.</w:t>
      </w:r>
    </w:p>
    <w:p w14:paraId="01CD4079" w14:textId="77777777" w:rsidR="00B67400" w:rsidRDefault="00B67400" w:rsidP="009E3730">
      <w:pPr>
        <w:widowControl w:val="0"/>
        <w:suppressAutoHyphens/>
      </w:pPr>
    </w:p>
    <w:p w14:paraId="23808BCC" w14:textId="77777777" w:rsidR="009601AE" w:rsidRDefault="009601AE" w:rsidP="009E3730">
      <w:pPr>
        <w:widowControl w:val="0"/>
        <w:suppressAutoHyphens/>
        <w:rPr>
          <w:b/>
          <w:bCs/>
          <w:i/>
          <w:iCs/>
        </w:rPr>
      </w:pPr>
      <w:r>
        <w:rPr>
          <w:b/>
          <w:bCs/>
          <w:u w:val="single"/>
        </w:rPr>
        <w:t>Indicator 3.3.2</w:t>
      </w:r>
      <w:r>
        <w:rPr>
          <w:b/>
          <w:bCs/>
        </w:rPr>
        <w:t xml:space="preserve">: </w:t>
      </w:r>
      <w:r>
        <w:rPr>
          <w:b/>
          <w:bCs/>
          <w:i/>
          <w:iCs/>
        </w:rPr>
        <w:t>At least three pilot projects with elements of work-based learning (operational).</w:t>
      </w:r>
    </w:p>
    <w:p w14:paraId="157FC88F" w14:textId="77777777" w:rsidR="009601AE" w:rsidRDefault="009601AE" w:rsidP="009E3730">
      <w:pPr>
        <w:widowControl w:val="0"/>
        <w:suppressAutoHyphens/>
        <w:rPr>
          <w:i/>
          <w:iCs/>
        </w:rPr>
      </w:pPr>
    </w:p>
    <w:p w14:paraId="623DD94F" w14:textId="77777777" w:rsidR="009601AE" w:rsidRDefault="009601AE" w:rsidP="009E3730">
      <w:pPr>
        <w:widowControl w:val="0"/>
        <w:suppressAutoHyphens/>
      </w:pPr>
      <w:r>
        <w:lastRenderedPageBreak/>
        <w:t xml:space="preserve">Source of Verification: </w:t>
      </w:r>
    </w:p>
    <w:p w14:paraId="79C690D9" w14:textId="77777777" w:rsidR="009601AE" w:rsidRDefault="009601AE" w:rsidP="009E3730">
      <w:pPr>
        <w:widowControl w:val="0"/>
        <w:numPr>
          <w:ilvl w:val="0"/>
          <w:numId w:val="1"/>
        </w:numPr>
        <w:suppressAutoHyphens/>
        <w:autoSpaceDE w:val="0"/>
        <w:autoSpaceDN w:val="0"/>
        <w:ind w:left="714" w:hanging="357"/>
        <w:jc w:val="left"/>
      </w:pPr>
      <w:r>
        <w:t>Reference/planning documents for work-based learning pilot projects;</w:t>
      </w:r>
    </w:p>
    <w:p w14:paraId="51AFDD47" w14:textId="77777777" w:rsidR="009601AE" w:rsidRDefault="009601AE" w:rsidP="009E3730">
      <w:pPr>
        <w:widowControl w:val="0"/>
        <w:numPr>
          <w:ilvl w:val="0"/>
          <w:numId w:val="1"/>
        </w:numPr>
        <w:suppressAutoHyphens/>
        <w:autoSpaceDE w:val="0"/>
        <w:autoSpaceDN w:val="0"/>
        <w:ind w:left="714" w:hanging="357"/>
        <w:jc w:val="left"/>
      </w:pPr>
      <w:r>
        <w:t>Site visits.</w:t>
      </w:r>
    </w:p>
    <w:p w14:paraId="62C8BDCA" w14:textId="77777777" w:rsidR="009601AE" w:rsidRDefault="009601AE" w:rsidP="009E3730">
      <w:pPr>
        <w:widowControl w:val="0"/>
        <w:suppressAutoHyphens/>
      </w:pPr>
    </w:p>
    <w:p w14:paraId="4A25D5C9" w14:textId="012F4575" w:rsidR="009601AE" w:rsidRDefault="009601AE" w:rsidP="009E3730">
      <w:pPr>
        <w:widowControl w:val="0"/>
        <w:suppressAutoHyphens/>
        <w:rPr>
          <w:b/>
          <w:bCs/>
          <w:i/>
          <w:iCs/>
        </w:rPr>
      </w:pPr>
      <w:r>
        <w:rPr>
          <w:b/>
          <w:bCs/>
          <w:u w:val="single"/>
        </w:rPr>
        <w:t>Review Assessment</w:t>
      </w:r>
      <w:r>
        <w:rPr>
          <w:b/>
          <w:bCs/>
        </w:rPr>
        <w:t>: fulfilled.</w:t>
      </w:r>
    </w:p>
    <w:p w14:paraId="28874CF9" w14:textId="77777777" w:rsidR="009601AE" w:rsidRDefault="009601AE" w:rsidP="009E3730">
      <w:pPr>
        <w:widowControl w:val="0"/>
        <w:suppressAutoHyphens/>
      </w:pPr>
    </w:p>
    <w:p w14:paraId="743FE376" w14:textId="5F389994" w:rsidR="00571E83" w:rsidRDefault="00571E83" w:rsidP="009E3730">
      <w:pPr>
        <w:widowControl w:val="0"/>
        <w:suppressAutoHyphens/>
        <w:rPr>
          <w:bCs/>
        </w:rPr>
      </w:pPr>
      <w:r>
        <w:t>A</w:t>
      </w:r>
      <w:r w:rsidRPr="00282DB6">
        <w:rPr>
          <w:i/>
        </w:rPr>
        <w:t xml:space="preserve"> “Concept Paper of WBL Model Implementation in Georgia" </w:t>
      </w:r>
      <w:r w:rsidRPr="00282DB6">
        <w:t>was discussed and approved by the NVETC on 28th of December 2015</w:t>
      </w:r>
      <w:r>
        <w:t xml:space="preserve">. A further updated draft of the Concept </w:t>
      </w:r>
      <w:r w:rsidRPr="00BC0359">
        <w:rPr>
          <w:bCs/>
        </w:rPr>
        <w:t>was discussed at the NVETC at its meeting held on 31</w:t>
      </w:r>
      <w:r>
        <w:rPr>
          <w:bCs/>
        </w:rPr>
        <w:t xml:space="preserve">st March </w:t>
      </w:r>
      <w:r w:rsidRPr="00BC0359">
        <w:rPr>
          <w:bCs/>
        </w:rPr>
        <w:t>2016</w:t>
      </w:r>
      <w:r>
        <w:rPr>
          <w:bCs/>
        </w:rPr>
        <w:t xml:space="preserve">. The draft had three </w:t>
      </w:r>
      <w:r w:rsidRPr="00BC0359">
        <w:rPr>
          <w:bCs/>
        </w:rPr>
        <w:t xml:space="preserve">Annexes: </w:t>
      </w:r>
    </w:p>
    <w:p w14:paraId="1968A6A6" w14:textId="77777777" w:rsidR="00571E83" w:rsidRPr="00BC0359" w:rsidRDefault="00571E83" w:rsidP="009E3730">
      <w:pPr>
        <w:widowControl w:val="0"/>
        <w:suppressAutoHyphens/>
        <w:rPr>
          <w:bCs/>
        </w:rPr>
      </w:pPr>
    </w:p>
    <w:p w14:paraId="52062971" w14:textId="77777777" w:rsidR="00571E83" w:rsidRPr="00BC0359" w:rsidRDefault="00571E83" w:rsidP="009E3730">
      <w:pPr>
        <w:widowControl w:val="0"/>
        <w:suppressAutoHyphens/>
        <w:ind w:left="567" w:hanging="283"/>
        <w:rPr>
          <w:bCs/>
        </w:rPr>
      </w:pPr>
      <w:r w:rsidRPr="00BC0359">
        <w:rPr>
          <w:bCs/>
          <w:i/>
        </w:rPr>
        <w:t>1.</w:t>
      </w:r>
      <w:r w:rsidRPr="00BC0359">
        <w:rPr>
          <w:bCs/>
        </w:rPr>
        <w:t xml:space="preserve"> </w:t>
      </w:r>
      <w:r w:rsidRPr="00BC0359">
        <w:rPr>
          <w:bCs/>
          <w:i/>
        </w:rPr>
        <w:t>Selected country Case Study</w:t>
      </w:r>
      <w:r w:rsidRPr="00BC0359">
        <w:rPr>
          <w:bCs/>
        </w:rPr>
        <w:t xml:space="preserve"> (Germany, Switzerland, Slovak Republic and Albania); </w:t>
      </w:r>
    </w:p>
    <w:p w14:paraId="5170AC64" w14:textId="228D5ED2" w:rsidR="00571E83" w:rsidRPr="00BC0359" w:rsidRDefault="00571E83" w:rsidP="009E3730">
      <w:pPr>
        <w:widowControl w:val="0"/>
        <w:suppressAutoHyphens/>
        <w:ind w:left="567" w:hanging="283"/>
        <w:rPr>
          <w:bCs/>
        </w:rPr>
      </w:pPr>
      <w:r w:rsidRPr="00BC0359">
        <w:rPr>
          <w:bCs/>
          <w:i/>
        </w:rPr>
        <w:t>2. A Situation Analysis of the Work-Based Learning (WBL) in VET in Georgia</w:t>
      </w:r>
      <w:r w:rsidRPr="00BC0359">
        <w:rPr>
          <w:bCs/>
        </w:rPr>
        <w:t xml:space="preserve"> </w:t>
      </w:r>
      <w:r>
        <w:rPr>
          <w:bCs/>
        </w:rPr>
        <w:t xml:space="preserve">(completed </w:t>
      </w:r>
      <w:r w:rsidRPr="00BC0359">
        <w:rPr>
          <w:bCs/>
        </w:rPr>
        <w:t>in December 2015</w:t>
      </w:r>
      <w:r>
        <w:rPr>
          <w:bCs/>
        </w:rPr>
        <w:t>)</w:t>
      </w:r>
      <w:r w:rsidRPr="00BC0359">
        <w:rPr>
          <w:bCs/>
        </w:rPr>
        <w:t xml:space="preserve">; </w:t>
      </w:r>
      <w:r>
        <w:rPr>
          <w:bCs/>
        </w:rPr>
        <w:t>and a</w:t>
      </w:r>
    </w:p>
    <w:p w14:paraId="6A925816" w14:textId="77777777" w:rsidR="00571E83" w:rsidRPr="00BC0359" w:rsidRDefault="00571E83" w:rsidP="009E3730">
      <w:pPr>
        <w:widowControl w:val="0"/>
        <w:suppressAutoHyphens/>
        <w:ind w:left="567" w:hanging="283"/>
        <w:rPr>
          <w:bCs/>
        </w:rPr>
      </w:pPr>
      <w:r w:rsidRPr="00BC0359">
        <w:rPr>
          <w:bCs/>
        </w:rPr>
        <w:t xml:space="preserve">3. </w:t>
      </w:r>
      <w:r w:rsidRPr="00BC0359">
        <w:rPr>
          <w:bCs/>
          <w:i/>
        </w:rPr>
        <w:t>New WBL piloting and implementation Action Plan</w:t>
      </w:r>
      <w:r w:rsidRPr="00BC0359">
        <w:rPr>
          <w:bCs/>
        </w:rPr>
        <w:t>.</w:t>
      </w:r>
    </w:p>
    <w:p w14:paraId="76E315DD" w14:textId="77777777" w:rsidR="00326234" w:rsidRDefault="00326234" w:rsidP="009E3730">
      <w:pPr>
        <w:widowControl w:val="0"/>
        <w:suppressAutoHyphens/>
        <w:rPr>
          <w:bCs/>
        </w:rPr>
      </w:pPr>
    </w:p>
    <w:p w14:paraId="1DC60FB7" w14:textId="77777777" w:rsidR="00326234" w:rsidRDefault="00326234" w:rsidP="009E3730">
      <w:pPr>
        <w:widowControl w:val="0"/>
        <w:suppressAutoHyphens/>
        <w:rPr>
          <w:bCs/>
        </w:rPr>
      </w:pPr>
      <w:r w:rsidRPr="00524B15">
        <w:rPr>
          <w:bCs/>
        </w:rPr>
        <w:t xml:space="preserve">The Concept was </w:t>
      </w:r>
      <w:r>
        <w:rPr>
          <w:bCs/>
        </w:rPr>
        <w:t xml:space="preserve">further </w:t>
      </w:r>
      <w:r w:rsidRPr="00524B15">
        <w:rPr>
          <w:bCs/>
        </w:rPr>
        <w:t>presented and discussed with stakeholders on the Kick-off Conference on 28</w:t>
      </w:r>
      <w:r>
        <w:rPr>
          <w:bCs/>
        </w:rPr>
        <w:t xml:space="preserve">th September </w:t>
      </w:r>
      <w:r w:rsidRPr="00524B15">
        <w:rPr>
          <w:bCs/>
        </w:rPr>
        <w:t>2016.</w:t>
      </w:r>
    </w:p>
    <w:p w14:paraId="3B774A33" w14:textId="77777777" w:rsidR="00326234" w:rsidRDefault="00326234" w:rsidP="009E3730">
      <w:pPr>
        <w:widowControl w:val="0"/>
        <w:suppressAutoHyphens/>
        <w:rPr>
          <w:bCs/>
        </w:rPr>
      </w:pPr>
    </w:p>
    <w:p w14:paraId="5BD84796" w14:textId="768E12A4" w:rsidR="00326234" w:rsidRPr="00BC0359" w:rsidRDefault="00326234" w:rsidP="009E3730">
      <w:pPr>
        <w:widowControl w:val="0"/>
        <w:suppressAutoHyphens/>
        <w:rPr>
          <w:bCs/>
        </w:rPr>
      </w:pPr>
      <w:r w:rsidRPr="00BC0359">
        <w:rPr>
          <w:bCs/>
        </w:rPr>
        <w:t xml:space="preserve">MoES </w:t>
      </w:r>
      <w:r w:rsidRPr="00524B15">
        <w:rPr>
          <w:bCs/>
        </w:rPr>
        <w:t xml:space="preserve">Order </w:t>
      </w:r>
      <w:r>
        <w:rPr>
          <w:bCs/>
        </w:rPr>
        <w:t>No.</w:t>
      </w:r>
      <w:r w:rsidRPr="00524B15">
        <w:rPr>
          <w:bCs/>
        </w:rPr>
        <w:t>125/N of 22</w:t>
      </w:r>
      <w:r>
        <w:rPr>
          <w:bCs/>
        </w:rPr>
        <w:t xml:space="preserve">nd September </w:t>
      </w:r>
      <w:r w:rsidRPr="00524B15">
        <w:rPr>
          <w:bCs/>
        </w:rPr>
        <w:t>2016 amend</w:t>
      </w:r>
      <w:r>
        <w:rPr>
          <w:bCs/>
        </w:rPr>
        <w:t>ed</w:t>
      </w:r>
      <w:r w:rsidRPr="00524B15">
        <w:rPr>
          <w:bCs/>
        </w:rPr>
        <w:t xml:space="preserve"> MoES Order </w:t>
      </w:r>
      <w:r>
        <w:rPr>
          <w:bCs/>
        </w:rPr>
        <w:t>No.1</w:t>
      </w:r>
      <w:r w:rsidRPr="00524B15">
        <w:rPr>
          <w:bCs/>
        </w:rPr>
        <w:t>52/N of 27</w:t>
      </w:r>
      <w:r>
        <w:rPr>
          <w:bCs/>
        </w:rPr>
        <w:t xml:space="preserve">th September </w:t>
      </w:r>
      <w:r w:rsidRPr="00524B15">
        <w:rPr>
          <w:bCs/>
        </w:rPr>
        <w:t xml:space="preserve">2013 regulating the Vocational Testing (entrance exams) to streamline the testing of </w:t>
      </w:r>
      <w:r>
        <w:rPr>
          <w:bCs/>
        </w:rPr>
        <w:t>WBL VET course applicants.</w:t>
      </w:r>
      <w:r w:rsidRPr="00524B15">
        <w:rPr>
          <w:bCs/>
        </w:rPr>
        <w:t xml:space="preserve"> </w:t>
      </w:r>
      <w:r w:rsidR="00BF2CC9">
        <w:rPr>
          <w:bCs/>
        </w:rPr>
        <w:t>Government Decree</w:t>
      </w:r>
      <w:r w:rsidRPr="00524B15">
        <w:rPr>
          <w:bCs/>
        </w:rPr>
        <w:t xml:space="preserve"> </w:t>
      </w:r>
      <w:r>
        <w:rPr>
          <w:bCs/>
        </w:rPr>
        <w:t>No.</w:t>
      </w:r>
      <w:r w:rsidRPr="00524B15">
        <w:rPr>
          <w:bCs/>
        </w:rPr>
        <w:t>622 of 29</w:t>
      </w:r>
      <w:r>
        <w:rPr>
          <w:bCs/>
        </w:rPr>
        <w:t xml:space="preserve">th December </w:t>
      </w:r>
      <w:r w:rsidRPr="00524B15">
        <w:rPr>
          <w:bCs/>
        </w:rPr>
        <w:t>2016 amend</w:t>
      </w:r>
      <w:r>
        <w:rPr>
          <w:bCs/>
        </w:rPr>
        <w:t xml:space="preserve">ed </w:t>
      </w:r>
      <w:r w:rsidR="00BF2CC9">
        <w:rPr>
          <w:bCs/>
        </w:rPr>
        <w:t xml:space="preserve">Government </w:t>
      </w:r>
      <w:r w:rsidR="00071400">
        <w:rPr>
          <w:bCs/>
        </w:rPr>
        <w:t>Order</w:t>
      </w:r>
      <w:r>
        <w:rPr>
          <w:bCs/>
        </w:rPr>
        <w:t xml:space="preserve"> No.244 of 19th September 2013 governing </w:t>
      </w:r>
      <w:r w:rsidRPr="00524B15">
        <w:rPr>
          <w:bCs/>
        </w:rPr>
        <w:t xml:space="preserve">the Rules of Funding of Vocational Education and Maximum Amount of Tuition Fee in the State-Funded Educational Institutions providing Vocational Education Programmes </w:t>
      </w:r>
      <w:r>
        <w:rPr>
          <w:bCs/>
        </w:rPr>
        <w:t>to</w:t>
      </w:r>
      <w:r w:rsidRPr="00BC0359">
        <w:rPr>
          <w:bCs/>
        </w:rPr>
        <w:t xml:space="preserve"> regulate also WB</w:t>
      </w:r>
      <w:r>
        <w:rPr>
          <w:bCs/>
        </w:rPr>
        <w:t>L</w:t>
      </w:r>
      <w:r w:rsidRPr="00BC0359">
        <w:rPr>
          <w:bCs/>
        </w:rPr>
        <w:t xml:space="preserve"> VET</w:t>
      </w:r>
      <w:r>
        <w:rPr>
          <w:bCs/>
        </w:rPr>
        <w:t xml:space="preserve"> programmes</w:t>
      </w:r>
      <w:r w:rsidRPr="00BC0359">
        <w:rPr>
          <w:bCs/>
        </w:rPr>
        <w:t>.</w:t>
      </w:r>
    </w:p>
    <w:p w14:paraId="65C19170" w14:textId="77777777" w:rsidR="00326234" w:rsidRDefault="00326234" w:rsidP="009E3730">
      <w:pPr>
        <w:widowControl w:val="0"/>
        <w:suppressAutoHyphens/>
        <w:rPr>
          <w:bCs/>
        </w:rPr>
      </w:pPr>
    </w:p>
    <w:p w14:paraId="2D73A424" w14:textId="04CA7E67" w:rsidR="00571E83" w:rsidRPr="00BC0359" w:rsidRDefault="00571E83" w:rsidP="009E3730">
      <w:pPr>
        <w:widowControl w:val="0"/>
        <w:suppressAutoHyphens/>
        <w:rPr>
          <w:rFonts w:cs="Arial"/>
          <w:color w:val="000000" w:themeColor="text1"/>
        </w:rPr>
      </w:pPr>
      <w:r w:rsidRPr="001E40B1">
        <w:rPr>
          <w:bCs/>
        </w:rPr>
        <w:t xml:space="preserve">NCEQE </w:t>
      </w:r>
      <w:r>
        <w:rPr>
          <w:bCs/>
        </w:rPr>
        <w:t xml:space="preserve">Order No.787 </w:t>
      </w:r>
      <w:r w:rsidRPr="001E40B1">
        <w:rPr>
          <w:bCs/>
        </w:rPr>
        <w:t xml:space="preserve">of </w:t>
      </w:r>
      <w:r>
        <w:rPr>
          <w:bCs/>
        </w:rPr>
        <w:t xml:space="preserve">15th August 2013 had approved </w:t>
      </w:r>
      <w:r w:rsidRPr="001E40B1">
        <w:rPr>
          <w:bCs/>
        </w:rPr>
        <w:t xml:space="preserve">Occupational Standards </w:t>
      </w:r>
      <w:r>
        <w:rPr>
          <w:bCs/>
        </w:rPr>
        <w:t xml:space="preserve">for </w:t>
      </w:r>
      <w:r w:rsidRPr="00571E83">
        <w:rPr>
          <w:bCs/>
          <w:i/>
        </w:rPr>
        <w:t>inter alia</w:t>
      </w:r>
      <w:r>
        <w:rPr>
          <w:bCs/>
        </w:rPr>
        <w:t xml:space="preserve"> </w:t>
      </w:r>
      <w:r w:rsidRPr="001E40B1">
        <w:rPr>
          <w:bCs/>
        </w:rPr>
        <w:t xml:space="preserve">qualifications </w:t>
      </w:r>
      <w:r>
        <w:rPr>
          <w:bCs/>
        </w:rPr>
        <w:t>as c</w:t>
      </w:r>
      <w:r w:rsidRPr="00150251">
        <w:rPr>
          <w:rFonts w:cs="Arial"/>
          <w:color w:val="000000" w:themeColor="text1"/>
        </w:rPr>
        <w:t>attle farm specialist,</w:t>
      </w:r>
      <w:r>
        <w:rPr>
          <w:rFonts w:cs="Arial"/>
          <w:color w:val="000000" w:themeColor="text1"/>
        </w:rPr>
        <w:t xml:space="preserve"> h</w:t>
      </w:r>
      <w:r w:rsidRPr="00150251">
        <w:rPr>
          <w:rFonts w:cs="Arial"/>
          <w:color w:val="000000" w:themeColor="text1"/>
        </w:rPr>
        <w:t>orticulturist,</w:t>
      </w:r>
      <w:r>
        <w:rPr>
          <w:rFonts w:cs="Arial"/>
          <w:color w:val="000000" w:themeColor="text1"/>
        </w:rPr>
        <w:t xml:space="preserve"> and w</w:t>
      </w:r>
      <w:r w:rsidRPr="00150251">
        <w:rPr>
          <w:rFonts w:cs="Arial"/>
          <w:color w:val="000000" w:themeColor="text1"/>
        </w:rPr>
        <w:t>inegrower-winemaker.</w:t>
      </w:r>
      <w:r w:rsidR="00712584">
        <w:rPr>
          <w:rFonts w:cs="Arial"/>
          <w:color w:val="000000" w:themeColor="text1"/>
        </w:rPr>
        <w:t xml:space="preserve"> </w:t>
      </w:r>
      <w:r w:rsidRPr="00BC0359">
        <w:rPr>
          <w:bCs/>
        </w:rPr>
        <w:t xml:space="preserve">MoES Order </w:t>
      </w:r>
      <w:r w:rsidR="00712584">
        <w:rPr>
          <w:bCs/>
        </w:rPr>
        <w:t>No.</w:t>
      </w:r>
      <w:r w:rsidRPr="00E67322">
        <w:rPr>
          <w:bCs/>
        </w:rPr>
        <w:t>788 of 15</w:t>
      </w:r>
      <w:r w:rsidR="00712584">
        <w:rPr>
          <w:bCs/>
        </w:rPr>
        <w:t xml:space="preserve">th August </w:t>
      </w:r>
      <w:r w:rsidRPr="00E67322">
        <w:rPr>
          <w:bCs/>
        </w:rPr>
        <w:t>2016</w:t>
      </w:r>
      <w:r>
        <w:rPr>
          <w:bCs/>
        </w:rPr>
        <w:t xml:space="preserve"> approved the f</w:t>
      </w:r>
      <w:r w:rsidRPr="00E67322">
        <w:rPr>
          <w:bCs/>
        </w:rPr>
        <w:t>ramework</w:t>
      </w:r>
      <w:r w:rsidRPr="00BC0359">
        <w:rPr>
          <w:bCs/>
        </w:rPr>
        <w:t xml:space="preserve"> curricula for programmes</w:t>
      </w:r>
      <w:r w:rsidR="00712584">
        <w:rPr>
          <w:bCs/>
        </w:rPr>
        <w:t xml:space="preserve"> in </w:t>
      </w:r>
      <w:r w:rsidR="00D903F7">
        <w:rPr>
          <w:bCs/>
        </w:rPr>
        <w:t>cattle</w:t>
      </w:r>
      <w:r w:rsidRPr="00BC0359">
        <w:rPr>
          <w:rFonts w:cs="Arial"/>
          <w:color w:val="000000" w:themeColor="text1"/>
        </w:rPr>
        <w:t xml:space="preserve"> </w:t>
      </w:r>
      <w:r w:rsidR="00D903F7">
        <w:rPr>
          <w:rFonts w:cs="Arial"/>
          <w:color w:val="000000" w:themeColor="text1"/>
        </w:rPr>
        <w:t>husbandry/breeding</w:t>
      </w:r>
      <w:r w:rsidR="00712584">
        <w:rPr>
          <w:rFonts w:cs="Arial"/>
          <w:color w:val="000000" w:themeColor="text1"/>
        </w:rPr>
        <w:t xml:space="preserve">, horticulture (drupaceous crops, </w:t>
      </w:r>
      <w:r w:rsidRPr="00BC0359">
        <w:rPr>
          <w:rFonts w:cs="Arial"/>
          <w:color w:val="000000" w:themeColor="text1"/>
        </w:rPr>
        <w:t>s</w:t>
      </w:r>
      <w:r w:rsidR="00712584">
        <w:rPr>
          <w:rFonts w:cs="Arial"/>
          <w:color w:val="000000" w:themeColor="text1"/>
        </w:rPr>
        <w:t xml:space="preserve">tone fruit and </w:t>
      </w:r>
      <w:r w:rsidRPr="00BC0359">
        <w:rPr>
          <w:rFonts w:cs="Arial"/>
          <w:color w:val="000000" w:themeColor="text1"/>
        </w:rPr>
        <w:t>nut</w:t>
      </w:r>
      <w:r w:rsidR="00712584">
        <w:rPr>
          <w:rFonts w:cs="Arial"/>
          <w:color w:val="000000" w:themeColor="text1"/>
        </w:rPr>
        <w:t>s</w:t>
      </w:r>
      <w:r w:rsidRPr="00BC0359">
        <w:rPr>
          <w:rFonts w:cs="Arial"/>
          <w:color w:val="000000" w:themeColor="text1"/>
        </w:rPr>
        <w:t>)</w:t>
      </w:r>
      <w:r w:rsidRPr="00BC0359">
        <w:rPr>
          <w:rFonts w:cs="Arial"/>
          <w:bCs/>
        </w:rPr>
        <w:t>,</w:t>
      </w:r>
      <w:r w:rsidR="00712584">
        <w:rPr>
          <w:rFonts w:cs="Arial"/>
          <w:bCs/>
        </w:rPr>
        <w:t xml:space="preserve"> and </w:t>
      </w:r>
      <w:r w:rsidR="00D903F7">
        <w:rPr>
          <w:rFonts w:cs="Arial"/>
          <w:bCs/>
        </w:rPr>
        <w:t>w</w:t>
      </w:r>
      <w:r w:rsidRPr="00BC0359">
        <w:rPr>
          <w:rFonts w:cs="Arial"/>
          <w:color w:val="000000" w:themeColor="text1"/>
        </w:rPr>
        <w:t>inegrow</w:t>
      </w:r>
      <w:r>
        <w:rPr>
          <w:rFonts w:cs="Arial"/>
          <w:color w:val="000000" w:themeColor="text1"/>
        </w:rPr>
        <w:t>ing</w:t>
      </w:r>
      <w:r w:rsidR="00D903F7">
        <w:rPr>
          <w:rFonts w:cs="Arial"/>
          <w:color w:val="000000" w:themeColor="text1"/>
        </w:rPr>
        <w:t xml:space="preserve"> (viticulture)/</w:t>
      </w:r>
      <w:r w:rsidRPr="00BC0359">
        <w:rPr>
          <w:rFonts w:cs="Arial"/>
          <w:color w:val="000000" w:themeColor="text1"/>
        </w:rPr>
        <w:t>winemak</w:t>
      </w:r>
      <w:r>
        <w:rPr>
          <w:rFonts w:cs="Arial"/>
          <w:color w:val="000000" w:themeColor="text1"/>
        </w:rPr>
        <w:t>ing</w:t>
      </w:r>
      <w:r w:rsidRPr="00BC0359">
        <w:rPr>
          <w:rFonts w:cs="Arial"/>
          <w:bCs/>
        </w:rPr>
        <w:t>.</w:t>
      </w:r>
      <w:r w:rsidR="00712584">
        <w:rPr>
          <w:rFonts w:cs="Arial"/>
          <w:bCs/>
        </w:rPr>
        <w:t xml:space="preserve"> Subsequently, curricula were developed with partner companies by four VET colleges with agricultural programmes over August/September 2016. The curricula </w:t>
      </w:r>
      <w:r w:rsidR="00D903F7">
        <w:rPr>
          <w:rFonts w:cs="Arial"/>
          <w:bCs/>
        </w:rPr>
        <w:t xml:space="preserve">comprise </w:t>
      </w:r>
      <w:r w:rsidR="00CA16DE">
        <w:rPr>
          <w:rFonts w:cs="Arial"/>
          <w:bCs/>
        </w:rPr>
        <w:t xml:space="preserve">at least </w:t>
      </w:r>
      <w:r w:rsidR="00712584">
        <w:rPr>
          <w:rFonts w:cs="Arial"/>
          <w:bCs/>
        </w:rPr>
        <w:t xml:space="preserve">60% </w:t>
      </w:r>
      <w:r w:rsidR="00D903F7">
        <w:rPr>
          <w:rFonts w:cs="Arial"/>
          <w:bCs/>
        </w:rPr>
        <w:t>workplace training with the partner companies</w:t>
      </w:r>
      <w:r w:rsidR="00CA16DE">
        <w:rPr>
          <w:rStyle w:val="FootnoteReference"/>
          <w:bCs/>
        </w:rPr>
        <w:footnoteReference w:id="80"/>
      </w:r>
      <w:r w:rsidR="00D903F7">
        <w:rPr>
          <w:rFonts w:cs="Arial"/>
          <w:bCs/>
        </w:rPr>
        <w:t xml:space="preserve">, </w:t>
      </w:r>
      <w:r w:rsidR="00CA16DE">
        <w:rPr>
          <w:rFonts w:cs="Arial"/>
          <w:bCs/>
        </w:rPr>
        <w:t xml:space="preserve">the balance as </w:t>
      </w:r>
      <w:r w:rsidR="00D903F7">
        <w:rPr>
          <w:rFonts w:cs="Arial"/>
          <w:bCs/>
        </w:rPr>
        <w:t xml:space="preserve">theoretical and practical training with the colleges. Six courses began at the four colleges on 21st November 2016 (two in cattle husbandry/breeding at Aisi (Kachreti) and Opizari (Akhaltsikhe) colleges; two in horticulture - one in stone fruit at </w:t>
      </w:r>
      <w:r w:rsidR="00D903F7" w:rsidRPr="00BC0359">
        <w:rPr>
          <w:rFonts w:cs="Arial"/>
          <w:color w:val="000000" w:themeColor="text1"/>
        </w:rPr>
        <w:t>Ilia Tsinamdzghvrishvili</w:t>
      </w:r>
      <w:r w:rsidR="00D903F7">
        <w:rPr>
          <w:rFonts w:cs="Arial"/>
          <w:color w:val="000000" w:themeColor="text1"/>
        </w:rPr>
        <w:t xml:space="preserve"> (Mtskheta)</w:t>
      </w:r>
      <w:r w:rsidR="00245B54">
        <w:rPr>
          <w:rFonts w:cs="Arial"/>
          <w:color w:val="000000" w:themeColor="text1"/>
        </w:rPr>
        <w:t xml:space="preserve"> college</w:t>
      </w:r>
      <w:r w:rsidR="00D903F7">
        <w:rPr>
          <w:rFonts w:cs="Arial"/>
          <w:color w:val="000000" w:themeColor="text1"/>
        </w:rPr>
        <w:t xml:space="preserve">, one in nut crops at Senaki (part of Zugdidi University); </w:t>
      </w:r>
      <w:r w:rsidR="00245B54">
        <w:rPr>
          <w:rFonts w:cs="Arial"/>
          <w:color w:val="000000" w:themeColor="text1"/>
        </w:rPr>
        <w:t xml:space="preserve">and two in viticulture and winemaking at Aisi (Kachreti) and </w:t>
      </w:r>
      <w:r w:rsidR="00245B54" w:rsidRPr="00BC0359">
        <w:rPr>
          <w:rFonts w:cs="Arial"/>
          <w:color w:val="000000" w:themeColor="text1"/>
        </w:rPr>
        <w:t>Ilia Tsinamdzghvrishvili</w:t>
      </w:r>
      <w:r w:rsidR="00245B54">
        <w:rPr>
          <w:rFonts w:cs="Arial"/>
          <w:color w:val="000000" w:themeColor="text1"/>
        </w:rPr>
        <w:t xml:space="preserve"> (Mtskheta) colleges)</w:t>
      </w:r>
      <w:r w:rsidR="00D903F7">
        <w:rPr>
          <w:rFonts w:cs="Arial"/>
          <w:bCs/>
        </w:rPr>
        <w:t>.</w:t>
      </w:r>
      <w:r w:rsidR="00245B54">
        <w:rPr>
          <w:rFonts w:cs="Arial"/>
          <w:bCs/>
        </w:rPr>
        <w:t xml:space="preserve"> </w:t>
      </w:r>
      <w:r w:rsidR="00730CD2">
        <w:rPr>
          <w:rFonts w:cs="Arial"/>
          <w:bCs/>
        </w:rPr>
        <w:t xml:space="preserve">MoES </w:t>
      </w:r>
      <w:r w:rsidR="00730CD2">
        <w:t>reported that 121 had registered interest for the 78 places on offer, and that 63 had been selected (21 for each pilot)</w:t>
      </w:r>
      <w:r w:rsidR="00730CD2">
        <w:rPr>
          <w:rFonts w:cs="Arial"/>
          <w:bCs/>
        </w:rPr>
        <w:t xml:space="preserve">. </w:t>
      </w:r>
      <w:r w:rsidR="00245B54">
        <w:rPr>
          <w:rFonts w:cs="Arial"/>
          <w:bCs/>
        </w:rPr>
        <w:t xml:space="preserve">The Review visited </w:t>
      </w:r>
      <w:r w:rsidR="00245B54" w:rsidRPr="00BC0359">
        <w:rPr>
          <w:rFonts w:cs="Arial"/>
          <w:color w:val="000000" w:themeColor="text1"/>
        </w:rPr>
        <w:t>Ilia Tsinamdzghvrishvili</w:t>
      </w:r>
      <w:r w:rsidR="00245B54">
        <w:rPr>
          <w:rFonts w:cs="Arial"/>
          <w:color w:val="000000" w:themeColor="text1"/>
        </w:rPr>
        <w:t xml:space="preserve"> (Mtskheta)</w:t>
      </w:r>
      <w:r w:rsidR="001F5D06">
        <w:rPr>
          <w:rStyle w:val="FootnoteReference"/>
          <w:color w:val="000000" w:themeColor="text1"/>
        </w:rPr>
        <w:footnoteReference w:id="81"/>
      </w:r>
      <w:r w:rsidR="00245B54">
        <w:rPr>
          <w:rFonts w:cs="Arial"/>
          <w:color w:val="000000" w:themeColor="text1"/>
        </w:rPr>
        <w:t xml:space="preserve"> and </w:t>
      </w:r>
      <w:r w:rsidR="00245B54">
        <w:rPr>
          <w:rFonts w:cs="Arial"/>
          <w:bCs/>
        </w:rPr>
        <w:t xml:space="preserve">Opizari (Akhaltsikhe) colleges to discuss the state of implementation of the pilots and examine the facilities: six students were pursuing the cattle husbandry project in Akhaltsikhe; six the stone fruit course and ten the viticulture project at </w:t>
      </w:r>
      <w:r w:rsidR="00245B54">
        <w:rPr>
          <w:rFonts w:cs="Arial"/>
          <w:bCs/>
        </w:rPr>
        <w:lastRenderedPageBreak/>
        <w:t>Mtskheta</w:t>
      </w:r>
      <w:r w:rsidR="006F3B13">
        <w:rPr>
          <w:rStyle w:val="FootnoteReference"/>
          <w:bCs/>
        </w:rPr>
        <w:footnoteReference w:id="82"/>
      </w:r>
      <w:r w:rsidR="00245B54">
        <w:rPr>
          <w:rFonts w:cs="Arial"/>
          <w:bCs/>
        </w:rPr>
        <w:t>.</w:t>
      </w:r>
      <w:r w:rsidR="00917D28">
        <w:rPr>
          <w:rFonts w:cs="Arial"/>
          <w:bCs/>
        </w:rPr>
        <w:t xml:space="preserve"> Eleven students are enrolled for the viticulture course at Aisi College (Kachreti)</w:t>
      </w:r>
      <w:r w:rsidR="006F3B13">
        <w:rPr>
          <w:rStyle w:val="FootnoteReference"/>
          <w:bCs/>
        </w:rPr>
        <w:footnoteReference w:id="83"/>
      </w:r>
      <w:r w:rsidR="00917D28">
        <w:rPr>
          <w:rFonts w:cs="Arial"/>
          <w:bCs/>
        </w:rPr>
        <w:t>.</w:t>
      </w:r>
    </w:p>
    <w:p w14:paraId="486CCFEB" w14:textId="77777777" w:rsidR="00571E83" w:rsidRPr="00BC0359" w:rsidRDefault="00571E83" w:rsidP="009E3730">
      <w:pPr>
        <w:widowControl w:val="0"/>
        <w:suppressAutoHyphens/>
        <w:rPr>
          <w:bCs/>
        </w:rPr>
      </w:pPr>
    </w:p>
    <w:p w14:paraId="0DF1A877" w14:textId="402DBAA5" w:rsidR="005D5D1E" w:rsidRDefault="00712584" w:rsidP="009E3730">
      <w:pPr>
        <w:widowControl w:val="0"/>
        <w:suppressAutoHyphens/>
        <w:rPr>
          <w:color w:val="000000" w:themeColor="text1"/>
        </w:rPr>
      </w:pPr>
      <w:r>
        <w:rPr>
          <w:bCs/>
        </w:rPr>
        <w:t>The Work-based learning (or dual</w:t>
      </w:r>
      <w:r w:rsidR="008B69DE">
        <w:rPr>
          <w:bCs/>
        </w:rPr>
        <w:t xml:space="preserve"> education</w:t>
      </w:r>
      <w:r w:rsidR="008B69DE">
        <w:rPr>
          <w:rStyle w:val="FootnoteReference"/>
          <w:bCs/>
        </w:rPr>
        <w:footnoteReference w:id="84"/>
      </w:r>
      <w:r>
        <w:rPr>
          <w:bCs/>
        </w:rPr>
        <w:t>) courses are supported by UNDP/SDC (</w:t>
      </w:r>
      <w:r w:rsidRPr="00BC0359">
        <w:rPr>
          <w:color w:val="000000" w:themeColor="text1"/>
        </w:rPr>
        <w:t>Livestock</w:t>
      </w:r>
      <w:r>
        <w:rPr>
          <w:color w:val="000000" w:themeColor="text1"/>
        </w:rPr>
        <w:t xml:space="preserve"> </w:t>
      </w:r>
      <w:r w:rsidR="00F27A15">
        <w:rPr>
          <w:color w:val="000000" w:themeColor="text1"/>
        </w:rPr>
        <w:t>husbandry</w:t>
      </w:r>
      <w:r>
        <w:rPr>
          <w:color w:val="000000" w:themeColor="text1"/>
        </w:rPr>
        <w:t xml:space="preserve"> and </w:t>
      </w:r>
      <w:r w:rsidRPr="00BC0359">
        <w:rPr>
          <w:color w:val="000000" w:themeColor="text1"/>
        </w:rPr>
        <w:t>Horticulture</w:t>
      </w:r>
      <w:r>
        <w:rPr>
          <w:color w:val="000000" w:themeColor="text1"/>
        </w:rPr>
        <w:t>) and GIZ (</w:t>
      </w:r>
      <w:r w:rsidRPr="00BC0359">
        <w:rPr>
          <w:color w:val="000000" w:themeColor="text1"/>
        </w:rPr>
        <w:t>Winegrowing-Winemaking</w:t>
      </w:r>
      <w:r>
        <w:rPr>
          <w:color w:val="000000" w:themeColor="text1"/>
        </w:rPr>
        <w:t>)</w:t>
      </w:r>
      <w:r w:rsidR="000038EF">
        <w:rPr>
          <w:color w:val="000000" w:themeColor="text1"/>
        </w:rPr>
        <w:t>, largely through technical assistance, no funding is provided</w:t>
      </w:r>
      <w:r>
        <w:rPr>
          <w:color w:val="000000" w:themeColor="text1"/>
        </w:rPr>
        <w:t xml:space="preserve">. </w:t>
      </w:r>
      <w:r w:rsidR="005D5D1E">
        <w:rPr>
          <w:color w:val="000000" w:themeColor="text1"/>
        </w:rPr>
        <w:t>GIZ linked with the Bavarian Centre for Viticulture, with long experience of dual education, to guide the WBL process.</w:t>
      </w:r>
      <w:r w:rsidR="00F65A17">
        <w:rPr>
          <w:color w:val="000000" w:themeColor="text1"/>
        </w:rPr>
        <w:t xml:space="preserve"> </w:t>
      </w:r>
      <w:r w:rsidR="005D5D1E">
        <w:rPr>
          <w:rFonts w:eastAsia="Times New Roman" w:cs="Times New Roman"/>
        </w:rPr>
        <w:t xml:space="preserve">Eight Georgian companies </w:t>
      </w:r>
      <w:r w:rsidR="00F65A17">
        <w:rPr>
          <w:rFonts w:eastAsia="Times New Roman" w:cs="Times New Roman"/>
        </w:rPr>
        <w:t xml:space="preserve">(one with </w:t>
      </w:r>
      <w:r w:rsidR="008B79DD">
        <w:rPr>
          <w:rFonts w:eastAsia="Times New Roman" w:cs="Times New Roman"/>
        </w:rPr>
        <w:t>Mtskheta</w:t>
      </w:r>
      <w:r w:rsidR="00F65A17">
        <w:rPr>
          <w:rFonts w:eastAsia="Times New Roman" w:cs="Times New Roman"/>
        </w:rPr>
        <w:t xml:space="preserve">, seven with Kachreti) </w:t>
      </w:r>
      <w:r w:rsidR="005D5D1E">
        <w:rPr>
          <w:rFonts w:eastAsia="Times New Roman" w:cs="Times New Roman"/>
        </w:rPr>
        <w:t xml:space="preserve">are involved in different stages of the viticulture/winemaking programmes, ranging widely in size (producing from a few thousand to over a million bottles of wine). </w:t>
      </w:r>
      <w:r w:rsidR="005D5D1E">
        <w:rPr>
          <w:bCs/>
        </w:rPr>
        <w:t xml:space="preserve">GIZ provided pedagogical training for the company trainers, who are not paid by the college. However, students provide labour at 30% of average wages (not less than GEL240). </w:t>
      </w:r>
    </w:p>
    <w:p w14:paraId="3087C930" w14:textId="77777777" w:rsidR="005D5D1E" w:rsidRDefault="005D5D1E" w:rsidP="009E3730">
      <w:pPr>
        <w:widowControl w:val="0"/>
        <w:suppressAutoHyphens/>
        <w:rPr>
          <w:color w:val="000000" w:themeColor="text1"/>
        </w:rPr>
      </w:pPr>
    </w:p>
    <w:p w14:paraId="75667C92" w14:textId="78A29267" w:rsidR="00712584" w:rsidRDefault="00712584" w:rsidP="009E3730">
      <w:pPr>
        <w:widowControl w:val="0"/>
        <w:suppressAutoHyphens/>
        <w:rPr>
          <w:rFonts w:eastAsia="Times New Roman" w:cs="Times New Roman"/>
        </w:rPr>
      </w:pPr>
      <w:r>
        <w:rPr>
          <w:color w:val="000000" w:themeColor="text1"/>
        </w:rPr>
        <w:t xml:space="preserve">Georgian Farmers’ Association </w:t>
      </w:r>
      <w:r w:rsidR="005D5D1E">
        <w:rPr>
          <w:color w:val="000000" w:themeColor="text1"/>
        </w:rPr>
        <w:t xml:space="preserve">(GFA) </w:t>
      </w:r>
      <w:r>
        <w:rPr>
          <w:color w:val="000000" w:themeColor="text1"/>
        </w:rPr>
        <w:t xml:space="preserve">is the main partner </w:t>
      </w:r>
      <w:r w:rsidR="005D5D1E">
        <w:rPr>
          <w:color w:val="000000" w:themeColor="text1"/>
        </w:rPr>
        <w:t xml:space="preserve">contracted by SDC/UNDP to support the stone fruit/nuts and cattle husbandry programmes. GFA conducted the </w:t>
      </w:r>
      <w:r w:rsidRPr="00553DD8">
        <w:rPr>
          <w:rFonts w:eastAsia="Times New Roman" w:cs="Times New Roman"/>
        </w:rPr>
        <w:t>select</w:t>
      </w:r>
      <w:r w:rsidR="005D5D1E">
        <w:rPr>
          <w:rFonts w:eastAsia="Times New Roman" w:cs="Times New Roman"/>
        </w:rPr>
        <w:t xml:space="preserve">ion </w:t>
      </w:r>
      <w:r w:rsidRPr="00553DD8">
        <w:rPr>
          <w:rFonts w:eastAsia="Times New Roman" w:cs="Times New Roman"/>
        </w:rPr>
        <w:t xml:space="preserve">of </w:t>
      </w:r>
      <w:r w:rsidR="005D5D1E">
        <w:rPr>
          <w:rFonts w:eastAsia="Times New Roman" w:cs="Times New Roman"/>
        </w:rPr>
        <w:t xml:space="preserve">participating </w:t>
      </w:r>
      <w:r w:rsidRPr="00553DD8">
        <w:rPr>
          <w:rFonts w:eastAsia="Times New Roman" w:cs="Times New Roman"/>
        </w:rPr>
        <w:t xml:space="preserve">farmers (not only from among its members) meeting the criteria established beforehand, to host the learners. GFA supported VET colleges to attract applicants through communication with farmers and to determine criteria for the testing and selection of students. </w:t>
      </w:r>
      <w:r w:rsidR="00F27A15">
        <w:rPr>
          <w:rFonts w:eastAsia="Times New Roman" w:cs="Times New Roman"/>
        </w:rPr>
        <w:t xml:space="preserve">Five companies are associated with the cattle programmes, three with stone fruit at </w:t>
      </w:r>
      <w:r w:rsidR="008B79DD">
        <w:rPr>
          <w:rFonts w:eastAsia="Times New Roman" w:cs="Times New Roman"/>
        </w:rPr>
        <w:t>Mtskheta</w:t>
      </w:r>
      <w:r w:rsidR="00F27A15">
        <w:rPr>
          <w:rFonts w:eastAsia="Times New Roman" w:cs="Times New Roman"/>
        </w:rPr>
        <w:t xml:space="preserve">, one with nuts at Senaki. A web platform is being developed to support contacts with companies and promote future programmes. </w:t>
      </w:r>
      <w:r w:rsidR="00F27A15" w:rsidRPr="008C4B06">
        <w:t xml:space="preserve">GFA experts </w:t>
      </w:r>
      <w:r w:rsidR="00F27A15">
        <w:t>also</w:t>
      </w:r>
      <w:r w:rsidR="00F27A15" w:rsidRPr="008C4B06">
        <w:t xml:space="preserve"> developed alternative registration and testing rules for WBL applicants as well as the WBL </w:t>
      </w:r>
      <w:r w:rsidR="00F27A15">
        <w:t xml:space="preserve">applicant’s selection guidebook, </w:t>
      </w:r>
      <w:r w:rsidR="00F27A15" w:rsidRPr="008C4B06">
        <w:t>selection standard</w:t>
      </w:r>
      <w:r w:rsidR="00F27A15">
        <w:t xml:space="preserve">s, </w:t>
      </w:r>
      <w:r w:rsidR="00F27A15" w:rsidRPr="008C4B06">
        <w:t>instruments</w:t>
      </w:r>
      <w:r w:rsidR="00F27A15">
        <w:t>, and commission composition.</w:t>
      </w:r>
    </w:p>
    <w:p w14:paraId="77C5F5A1" w14:textId="77777777" w:rsidR="00712584" w:rsidRDefault="00712584" w:rsidP="009E3730">
      <w:pPr>
        <w:widowControl w:val="0"/>
        <w:suppressAutoHyphens/>
        <w:rPr>
          <w:rFonts w:eastAsia="Times New Roman" w:cs="Times New Roman"/>
        </w:rPr>
      </w:pPr>
    </w:p>
    <w:p w14:paraId="4B26DCD2" w14:textId="4AA2D39D" w:rsidR="00571E83" w:rsidRPr="00553DD8" w:rsidRDefault="00571E83" w:rsidP="009E3730">
      <w:pPr>
        <w:widowControl w:val="0"/>
        <w:suppressAutoHyphens/>
        <w:rPr>
          <w:rFonts w:eastAsia="Times New Roman" w:cs="Times New Roman"/>
        </w:rPr>
      </w:pPr>
      <w:r w:rsidRPr="00553DD8">
        <w:rPr>
          <w:rFonts w:eastAsia="Times New Roman" w:cs="Times New Roman"/>
        </w:rPr>
        <w:t xml:space="preserve">The SDC/UNDP project </w:t>
      </w:r>
      <w:r w:rsidR="002D0F0A">
        <w:rPr>
          <w:rFonts w:eastAsia="Times New Roman" w:cs="Times New Roman"/>
        </w:rPr>
        <w:t>ha</w:t>
      </w:r>
      <w:r w:rsidRPr="00553DD8">
        <w:rPr>
          <w:rFonts w:eastAsia="Times New Roman" w:cs="Times New Roman"/>
        </w:rPr>
        <w:t>s also developing five videos to promote WBL in connection with VET programmes to provide training for agricultural occupations. Other videos are being produced to cover entrepreneurship issues related to agricultural occupations.</w:t>
      </w:r>
    </w:p>
    <w:p w14:paraId="2CF24CE4" w14:textId="77777777" w:rsidR="00571E83" w:rsidRDefault="00571E83" w:rsidP="009E3730">
      <w:pPr>
        <w:widowControl w:val="0"/>
        <w:suppressAutoHyphens/>
        <w:rPr>
          <w:rFonts w:eastAsia="Times New Roman" w:cs="Times New Roman"/>
        </w:rPr>
      </w:pPr>
    </w:p>
    <w:p w14:paraId="667C902E" w14:textId="089AB4C4" w:rsidR="00571E83" w:rsidRPr="00553DD8" w:rsidRDefault="00571E83" w:rsidP="009E3730">
      <w:pPr>
        <w:widowControl w:val="0"/>
        <w:suppressAutoHyphens/>
        <w:rPr>
          <w:rFonts w:eastAsia="Times New Roman" w:cs="Times New Roman"/>
        </w:rPr>
      </w:pPr>
      <w:r w:rsidRPr="00553DD8">
        <w:rPr>
          <w:rFonts w:eastAsia="Times New Roman" w:cs="Times New Roman"/>
        </w:rPr>
        <w:t xml:space="preserve">Plans are to expand </w:t>
      </w:r>
      <w:r w:rsidR="002D0F0A">
        <w:rPr>
          <w:rFonts w:eastAsia="Times New Roman" w:cs="Times New Roman"/>
        </w:rPr>
        <w:t xml:space="preserve">the WBL </w:t>
      </w:r>
      <w:r w:rsidRPr="00553DD8">
        <w:rPr>
          <w:rFonts w:eastAsia="Times New Roman" w:cs="Times New Roman"/>
        </w:rPr>
        <w:t>approach to tourism and railway occupations in 2017.</w:t>
      </w:r>
    </w:p>
    <w:p w14:paraId="65E3B27D" w14:textId="77777777" w:rsidR="00AC272E" w:rsidRDefault="00AC272E" w:rsidP="009E3730">
      <w:pPr>
        <w:widowControl w:val="0"/>
        <w:suppressAutoHyphens/>
      </w:pPr>
    </w:p>
    <w:p w14:paraId="6B434671" w14:textId="6AE12E1D" w:rsidR="00AC272E" w:rsidRDefault="00AC272E" w:rsidP="009E3730">
      <w:pPr>
        <w:pStyle w:val="Heading1"/>
        <w:widowControl w:val="0"/>
        <w:suppressAutoHyphens/>
      </w:pPr>
      <w:bookmarkStart w:id="73" w:name="_Toc486837771"/>
      <w:r>
        <w:t>6.</w:t>
      </w:r>
      <w:r>
        <w:tab/>
        <w:t>Compliance with Outstanding Third Instalment Indicators</w:t>
      </w:r>
      <w:bookmarkEnd w:id="73"/>
    </w:p>
    <w:p w14:paraId="0EF23F83" w14:textId="77777777" w:rsidR="00AC272E" w:rsidRDefault="00AC272E" w:rsidP="009E3730">
      <w:pPr>
        <w:widowControl w:val="0"/>
        <w:suppressAutoHyphens/>
      </w:pPr>
    </w:p>
    <w:p w14:paraId="282DC7FA" w14:textId="2AC20B52" w:rsidR="00DC6CAA" w:rsidRDefault="00AC272E" w:rsidP="009E3730">
      <w:pPr>
        <w:widowControl w:val="0"/>
        <w:suppressAutoHyphens/>
      </w:pPr>
      <w:r>
        <w:t>EU when assessing disbursement of the Third Instalment in December 2016 decided that three Indicators were unfulfilled: Indicator 2.2.2. on a revised NQF, Indicator 3.1.2 on the piloting of the new career guidance and counselling scheme (described in a manual developed in relation to Indicator 3.1.1); and Indicator 3.3.1 on approval of a Concept for development of work-based learning (WBL). The result was that the full amount of €</w:t>
      </w:r>
      <w:r w:rsidR="00DC6CAA">
        <w:t>1.0mn</w:t>
      </w:r>
      <w:r>
        <w:t xml:space="preserve"> in funds </w:t>
      </w:r>
      <w:r w:rsidR="00DC6CAA">
        <w:t xml:space="preserve">related to Specific Condition 2.2 and the full amount of €0.5mn related to Specific Condition 3.1 </w:t>
      </w:r>
      <w:r>
        <w:t>w</w:t>
      </w:r>
      <w:r w:rsidR="00DC6CAA">
        <w:t>ere</w:t>
      </w:r>
      <w:r>
        <w:t xml:space="preserve"> withheld</w:t>
      </w:r>
      <w:r w:rsidR="00DC6CAA">
        <w:t xml:space="preserve"> since in both cases compliance with one out of two indicators did not allow for partial disbursement, and €0.25mn from the €0.5mn in funds related to Specific Condition 3.3 with</w:t>
      </w:r>
      <w:r w:rsidR="00D92DA1">
        <w:t>h</w:t>
      </w:r>
      <w:r w:rsidR="00DC6CAA">
        <w:t>eld, because fulfilment of two of the three allowed for partial (50%) disbursement.</w:t>
      </w:r>
      <w:r>
        <w:t xml:space="preserve"> </w:t>
      </w:r>
    </w:p>
    <w:p w14:paraId="3FB472EB" w14:textId="77777777" w:rsidR="00DC6CAA" w:rsidRDefault="00DC6CAA" w:rsidP="009E3730">
      <w:pPr>
        <w:widowControl w:val="0"/>
        <w:suppressAutoHyphens/>
      </w:pPr>
    </w:p>
    <w:p w14:paraId="6CACD4EC" w14:textId="57A4FFF7" w:rsidR="00AC272E" w:rsidRDefault="00AC272E" w:rsidP="009E3730">
      <w:pPr>
        <w:widowControl w:val="0"/>
        <w:suppressAutoHyphens/>
      </w:pPr>
      <w:r>
        <w:t>EU in its disbursement decision agreed that fulfilment of Indicators 2.2.2 and 3.1.2 could be reassessed along with the Fourth Instalment Indicators for potential release of the related funds with held, but did not agree to reassessment of Indicator 3.3.1.</w:t>
      </w:r>
      <w:r w:rsidR="00DC6CAA">
        <w:t xml:space="preserve"> This depending on the reassessment of fulfilment offered the potential for release of an additional €1.5mn from the €1.75mn withheld from Third Instalment disbursement.</w:t>
      </w:r>
    </w:p>
    <w:p w14:paraId="3D7155B9" w14:textId="77777777" w:rsidR="00AC272E" w:rsidRDefault="00AC272E" w:rsidP="009E3730">
      <w:pPr>
        <w:widowControl w:val="0"/>
        <w:suppressAutoHyphens/>
      </w:pPr>
    </w:p>
    <w:p w14:paraId="18179992" w14:textId="059C7225" w:rsidR="006E3ED6" w:rsidRDefault="00D61D69" w:rsidP="009E3730">
      <w:pPr>
        <w:widowControl w:val="0"/>
        <w:suppressAutoHyphens/>
        <w:ind w:right="26"/>
        <w:rPr>
          <w:b/>
          <w:bCs/>
          <w:lang w:eastAsia="en-GB"/>
        </w:rPr>
      </w:pPr>
      <w:r w:rsidRPr="00D92DA1">
        <w:rPr>
          <w:b/>
          <w:bCs/>
        </w:rPr>
        <w:t>i)</w:t>
      </w:r>
      <w:r w:rsidRPr="00D92DA1">
        <w:rPr>
          <w:b/>
          <w:bCs/>
        </w:rPr>
        <w:tab/>
      </w:r>
      <w:r w:rsidR="006E3ED6" w:rsidRPr="00464FBD">
        <w:rPr>
          <w:b/>
          <w:bCs/>
          <w:u w:val="single"/>
        </w:rPr>
        <w:t>Specific Condition 2.2</w:t>
      </w:r>
      <w:r w:rsidR="006E3ED6">
        <w:rPr>
          <w:b/>
          <w:bCs/>
        </w:rPr>
        <w:t>:</w:t>
      </w:r>
      <w:r w:rsidR="006E3ED6">
        <w:rPr>
          <w:b/>
          <w:bCs/>
          <w:lang w:eastAsia="en-GB"/>
        </w:rPr>
        <w:t xml:space="preserve"> </w:t>
      </w:r>
      <w:r w:rsidR="006E3ED6" w:rsidRPr="001F659E">
        <w:rPr>
          <w:b/>
          <w:bCs/>
          <w:i/>
          <w:lang w:eastAsia="en-GB"/>
        </w:rPr>
        <w:t>Improved quality of VET qualifications.</w:t>
      </w:r>
    </w:p>
    <w:p w14:paraId="5C6B259E" w14:textId="77777777" w:rsidR="006E3ED6" w:rsidRDefault="006E3ED6" w:rsidP="009E3730">
      <w:pPr>
        <w:widowControl w:val="0"/>
        <w:suppressAutoHyphens/>
        <w:ind w:right="26"/>
        <w:rPr>
          <w:b/>
          <w:bCs/>
          <w:lang w:eastAsia="en-GB"/>
        </w:rPr>
      </w:pPr>
    </w:p>
    <w:p w14:paraId="158F055A" w14:textId="77777777" w:rsidR="006E3ED6" w:rsidRPr="0095050A" w:rsidRDefault="006E3ED6" w:rsidP="009E3730">
      <w:pPr>
        <w:widowControl w:val="0"/>
        <w:suppressAutoHyphens/>
        <w:rPr>
          <w:b/>
          <w:bCs/>
        </w:rPr>
      </w:pPr>
      <w:r w:rsidRPr="0095050A">
        <w:rPr>
          <w:b/>
          <w:bCs/>
          <w:lang w:eastAsia="en-GB"/>
        </w:rPr>
        <w:t>Review Assessment</w:t>
      </w:r>
      <w:r w:rsidRPr="0095050A">
        <w:rPr>
          <w:b/>
          <w:bCs/>
        </w:rPr>
        <w:t xml:space="preserve">: </w:t>
      </w:r>
      <w:r>
        <w:rPr>
          <w:b/>
          <w:bCs/>
        </w:rPr>
        <w:t>non-</w:t>
      </w:r>
      <w:r w:rsidRPr="0095050A">
        <w:rPr>
          <w:b/>
          <w:bCs/>
        </w:rPr>
        <w:t>compliance</w:t>
      </w:r>
      <w:r>
        <w:rPr>
          <w:bCs/>
        </w:rPr>
        <w:t xml:space="preserve"> </w:t>
      </w:r>
      <w:r w:rsidRPr="00464FBD">
        <w:rPr>
          <w:bCs/>
        </w:rPr>
        <w:t>(one of two indicators fulfilled insufficient for partial compliance).</w:t>
      </w:r>
    </w:p>
    <w:p w14:paraId="2ACD1734" w14:textId="77777777" w:rsidR="006E3ED6" w:rsidRPr="0095050A" w:rsidRDefault="006E3ED6" w:rsidP="009E3730">
      <w:pPr>
        <w:widowControl w:val="0"/>
        <w:suppressAutoHyphens/>
        <w:rPr>
          <w:bCs/>
        </w:rPr>
      </w:pPr>
      <w:r w:rsidRPr="0095050A">
        <w:rPr>
          <w:bCs/>
        </w:rPr>
        <w:t xml:space="preserve">(Potential value: €1.0mn; </w:t>
      </w:r>
      <w:r>
        <w:rPr>
          <w:bCs/>
        </w:rPr>
        <w:t xml:space="preserve">Previous </w:t>
      </w:r>
      <w:r w:rsidRPr="0095050A">
        <w:rPr>
          <w:bCs/>
        </w:rPr>
        <w:t>Score: 0</w:t>
      </w:r>
      <w:r>
        <w:rPr>
          <w:bCs/>
        </w:rPr>
        <w:t>.</w:t>
      </w:r>
      <w:r w:rsidRPr="0095050A">
        <w:rPr>
          <w:bCs/>
        </w:rPr>
        <w:t xml:space="preserve">0; </w:t>
      </w:r>
      <w:r>
        <w:rPr>
          <w:bCs/>
        </w:rPr>
        <w:t xml:space="preserve">Current Score 0.0; Funds available for release: €1.0mn; </w:t>
      </w:r>
      <w:r w:rsidRPr="0095050A">
        <w:rPr>
          <w:bCs/>
        </w:rPr>
        <w:t xml:space="preserve">Recommended funds release: </w:t>
      </w:r>
      <w:r>
        <w:rPr>
          <w:bCs/>
        </w:rPr>
        <w:t>nil</w:t>
      </w:r>
      <w:r w:rsidRPr="0095050A">
        <w:rPr>
          <w:bCs/>
        </w:rPr>
        <w:t>)</w:t>
      </w:r>
    </w:p>
    <w:p w14:paraId="18FFE0A3" w14:textId="77777777" w:rsidR="006E3ED6" w:rsidRDefault="006E3ED6" w:rsidP="009E3730">
      <w:pPr>
        <w:widowControl w:val="0"/>
        <w:suppressAutoHyphens/>
        <w:ind w:right="26"/>
      </w:pPr>
    </w:p>
    <w:p w14:paraId="2B599047" w14:textId="77777777" w:rsidR="006E3ED6" w:rsidRDefault="006E3ED6" w:rsidP="009E3730">
      <w:pPr>
        <w:widowControl w:val="0"/>
        <w:suppressAutoHyphens/>
      </w:pPr>
      <w:r>
        <w:rPr>
          <w:b/>
          <w:bCs/>
          <w:u w:val="single"/>
        </w:rPr>
        <w:t>Indicator 2.2.1</w:t>
      </w:r>
      <w:r>
        <w:rPr>
          <w:b/>
          <w:bCs/>
        </w:rPr>
        <w:t>: teacher professional development - previously assessed as fulfilled.</w:t>
      </w:r>
    </w:p>
    <w:p w14:paraId="2600BD13" w14:textId="77777777" w:rsidR="006E3ED6" w:rsidRDefault="006E3ED6" w:rsidP="009E3730">
      <w:pPr>
        <w:widowControl w:val="0"/>
        <w:suppressAutoHyphens/>
        <w:ind w:right="26"/>
      </w:pPr>
    </w:p>
    <w:p w14:paraId="4C764BCE" w14:textId="77777777" w:rsidR="006B6C56" w:rsidRDefault="006B6C56" w:rsidP="009E3730">
      <w:pPr>
        <w:widowControl w:val="0"/>
        <w:suppressAutoHyphens/>
        <w:rPr>
          <w:b/>
          <w:bCs/>
          <w:i/>
          <w:iCs/>
          <w:lang w:eastAsia="en-GB"/>
        </w:rPr>
      </w:pPr>
      <w:r>
        <w:rPr>
          <w:b/>
          <w:bCs/>
          <w:u w:val="single"/>
        </w:rPr>
        <w:t>Indicator 2.2.2</w:t>
      </w:r>
      <w:r>
        <w:rPr>
          <w:b/>
          <w:bCs/>
        </w:rPr>
        <w:t xml:space="preserve">: </w:t>
      </w:r>
      <w:r>
        <w:rPr>
          <w:b/>
          <w:bCs/>
          <w:i/>
          <w:iCs/>
          <w:lang w:eastAsia="en-GB"/>
        </w:rPr>
        <w:t>Revised NQF takes into consideration formal and non-formal learning, and includes updated list of vocational qualifications. An improved online catalogue of occupational standards is approved and published, and disseminated for users.</w:t>
      </w:r>
    </w:p>
    <w:p w14:paraId="7146EF48" w14:textId="77777777" w:rsidR="006B6C56" w:rsidRDefault="006B6C56" w:rsidP="009E3730">
      <w:pPr>
        <w:widowControl w:val="0"/>
        <w:suppressAutoHyphens/>
      </w:pPr>
    </w:p>
    <w:p w14:paraId="49568801" w14:textId="77777777" w:rsidR="006B6C56" w:rsidRDefault="006B6C56" w:rsidP="009E3730">
      <w:pPr>
        <w:widowControl w:val="0"/>
        <w:suppressAutoHyphens/>
      </w:pPr>
      <w:r>
        <w:t xml:space="preserve">Source of Verification: </w:t>
      </w:r>
    </w:p>
    <w:p w14:paraId="17AC691B" w14:textId="77777777" w:rsidR="006B6C56" w:rsidRDefault="006B6C56" w:rsidP="009E3730">
      <w:pPr>
        <w:widowControl w:val="0"/>
        <w:numPr>
          <w:ilvl w:val="0"/>
          <w:numId w:val="1"/>
        </w:numPr>
        <w:suppressAutoHyphens/>
        <w:autoSpaceDE w:val="0"/>
        <w:autoSpaceDN w:val="0"/>
        <w:ind w:left="714" w:hanging="357"/>
        <w:rPr>
          <w:lang w:eastAsia="en-GB"/>
        </w:rPr>
      </w:pPr>
      <w:r>
        <w:rPr>
          <w:lang w:eastAsia="en-GB"/>
        </w:rPr>
        <w:t>Ministerial Decision;</w:t>
      </w:r>
    </w:p>
    <w:p w14:paraId="4C48E303" w14:textId="77777777" w:rsidR="006B6C56" w:rsidRDefault="006B6C56" w:rsidP="009E3730">
      <w:pPr>
        <w:widowControl w:val="0"/>
        <w:numPr>
          <w:ilvl w:val="0"/>
          <w:numId w:val="1"/>
        </w:numPr>
        <w:suppressAutoHyphens/>
        <w:autoSpaceDE w:val="0"/>
        <w:autoSpaceDN w:val="0"/>
        <w:ind w:left="714" w:hanging="357"/>
        <w:rPr>
          <w:lang w:eastAsia="en-GB"/>
        </w:rPr>
      </w:pPr>
      <w:r>
        <w:rPr>
          <w:lang w:eastAsia="en-GB"/>
        </w:rPr>
        <w:t>Online catalogue of occupational Standards;</w:t>
      </w:r>
    </w:p>
    <w:p w14:paraId="2339B864" w14:textId="77777777" w:rsidR="006B6C56" w:rsidRDefault="006B6C56" w:rsidP="009E3730">
      <w:pPr>
        <w:widowControl w:val="0"/>
        <w:numPr>
          <w:ilvl w:val="0"/>
          <w:numId w:val="1"/>
        </w:numPr>
        <w:suppressAutoHyphens/>
        <w:autoSpaceDE w:val="0"/>
        <w:autoSpaceDN w:val="0"/>
        <w:ind w:left="714" w:hanging="357"/>
        <w:rPr>
          <w:lang w:eastAsia="en-GB"/>
        </w:rPr>
      </w:pPr>
      <w:r>
        <w:rPr>
          <w:lang w:eastAsia="en-GB"/>
        </w:rPr>
        <w:t>Information on NQF developments for users (media, minutes of meetings and others).</w:t>
      </w:r>
    </w:p>
    <w:p w14:paraId="275B313C" w14:textId="77777777" w:rsidR="006E3ED6" w:rsidRDefault="006E3ED6" w:rsidP="009E3730">
      <w:pPr>
        <w:widowControl w:val="0"/>
        <w:suppressAutoHyphens/>
      </w:pPr>
    </w:p>
    <w:p w14:paraId="6A0C67C1" w14:textId="78F5534E" w:rsidR="00D61D69" w:rsidRDefault="00D61D69" w:rsidP="009E3730">
      <w:pPr>
        <w:widowControl w:val="0"/>
        <w:suppressAutoHyphens/>
      </w:pPr>
      <w:r>
        <w:rPr>
          <w:b/>
          <w:bCs/>
        </w:rPr>
        <w:t>Previous assessment: unfulfilled; Current assessment: unfulfilled.</w:t>
      </w:r>
    </w:p>
    <w:p w14:paraId="2E93756B" w14:textId="77777777" w:rsidR="00D61D69" w:rsidRDefault="00D61D69" w:rsidP="009E3730">
      <w:pPr>
        <w:widowControl w:val="0"/>
        <w:suppressAutoHyphens/>
      </w:pPr>
    </w:p>
    <w:p w14:paraId="707C92F3" w14:textId="5BDF20EA" w:rsidR="006E3ED6" w:rsidRDefault="004C0D48" w:rsidP="009E3730">
      <w:pPr>
        <w:widowControl w:val="0"/>
        <w:suppressAutoHyphens/>
      </w:pPr>
      <w:r>
        <w:t>There has been no change in the situation with the NQF and its inclusion non-formal learning since the Third Instalment Review. The revised NQF remains in draft awaiting the adoption of the new VET Law. The catalogue of OS, as noted for Indicator 2.1.1 is being periodically updated and published on the VET and NCEQE websites.</w:t>
      </w:r>
    </w:p>
    <w:p w14:paraId="761E7168" w14:textId="77777777" w:rsidR="006E3ED6" w:rsidRDefault="006E3ED6" w:rsidP="009E3730">
      <w:pPr>
        <w:widowControl w:val="0"/>
        <w:suppressAutoHyphens/>
      </w:pPr>
    </w:p>
    <w:p w14:paraId="08F189D0" w14:textId="5DD3A791" w:rsidR="006E3ED6" w:rsidRDefault="00D61D69" w:rsidP="009E3730">
      <w:pPr>
        <w:widowControl w:val="0"/>
        <w:suppressAutoHyphens/>
        <w:ind w:right="580"/>
        <w:rPr>
          <w:b/>
          <w:bCs/>
          <w:lang w:eastAsia="en-GB"/>
        </w:rPr>
      </w:pPr>
      <w:r w:rsidRPr="00D92DA1">
        <w:rPr>
          <w:b/>
          <w:bCs/>
        </w:rPr>
        <w:t>ii)</w:t>
      </w:r>
      <w:r w:rsidRPr="00D92DA1">
        <w:rPr>
          <w:b/>
          <w:bCs/>
        </w:rPr>
        <w:tab/>
      </w:r>
      <w:r w:rsidR="006E3ED6" w:rsidRPr="00464FBD">
        <w:rPr>
          <w:b/>
          <w:bCs/>
          <w:u w:val="single"/>
        </w:rPr>
        <w:t>Specific Condition 3.1</w:t>
      </w:r>
      <w:r w:rsidR="006E3ED6">
        <w:rPr>
          <w:b/>
          <w:bCs/>
        </w:rPr>
        <w:t>:</w:t>
      </w:r>
      <w:r w:rsidR="006E3ED6">
        <w:rPr>
          <w:b/>
          <w:bCs/>
          <w:lang w:eastAsia="en-GB"/>
        </w:rPr>
        <w:t xml:space="preserve"> </w:t>
      </w:r>
      <w:r w:rsidR="006E3ED6" w:rsidRPr="00464FBD">
        <w:rPr>
          <w:b/>
          <w:bCs/>
          <w:i/>
          <w:lang w:eastAsia="en-GB"/>
        </w:rPr>
        <w:t>Efficient transition from training to employment.</w:t>
      </w:r>
    </w:p>
    <w:p w14:paraId="35409AC0" w14:textId="77777777" w:rsidR="006E3ED6" w:rsidRDefault="006E3ED6" w:rsidP="009E3730">
      <w:pPr>
        <w:widowControl w:val="0"/>
        <w:suppressAutoHyphens/>
        <w:rPr>
          <w:b/>
          <w:bCs/>
          <w:i/>
          <w:lang w:eastAsia="en-GB"/>
        </w:rPr>
      </w:pPr>
    </w:p>
    <w:p w14:paraId="0A7D7558" w14:textId="77313BFC" w:rsidR="006E3ED6" w:rsidRPr="0095050A" w:rsidRDefault="006E3ED6" w:rsidP="009E3730">
      <w:pPr>
        <w:widowControl w:val="0"/>
        <w:suppressAutoHyphens/>
        <w:rPr>
          <w:b/>
          <w:bCs/>
        </w:rPr>
      </w:pPr>
      <w:r w:rsidRPr="0095050A">
        <w:rPr>
          <w:b/>
          <w:bCs/>
          <w:lang w:eastAsia="en-GB"/>
        </w:rPr>
        <w:t>Review Assessment</w:t>
      </w:r>
      <w:r w:rsidRPr="0095050A">
        <w:rPr>
          <w:b/>
          <w:bCs/>
        </w:rPr>
        <w:t>: compliance</w:t>
      </w:r>
      <w:r w:rsidRPr="00464FBD">
        <w:rPr>
          <w:bCs/>
        </w:rPr>
        <w:t>.</w:t>
      </w:r>
    </w:p>
    <w:p w14:paraId="0A0B7049" w14:textId="44F7696A" w:rsidR="006E3ED6" w:rsidRPr="0095050A" w:rsidRDefault="00A865F8" w:rsidP="009E3730">
      <w:pPr>
        <w:widowControl w:val="0"/>
        <w:suppressAutoHyphens/>
        <w:rPr>
          <w:bCs/>
        </w:rPr>
      </w:pPr>
      <w:r>
        <w:rPr>
          <w:bCs/>
        </w:rPr>
        <w:t>(Potential value: €</w:t>
      </w:r>
      <w:r w:rsidR="006E3ED6" w:rsidRPr="0095050A">
        <w:rPr>
          <w:bCs/>
        </w:rPr>
        <w:t>0</w:t>
      </w:r>
      <w:r>
        <w:rPr>
          <w:bCs/>
        </w:rPr>
        <w:t>.5</w:t>
      </w:r>
      <w:r w:rsidR="006E3ED6" w:rsidRPr="0095050A">
        <w:rPr>
          <w:bCs/>
        </w:rPr>
        <w:t xml:space="preserve">mn; </w:t>
      </w:r>
      <w:r w:rsidR="006E3ED6">
        <w:rPr>
          <w:bCs/>
        </w:rPr>
        <w:t xml:space="preserve">Previous </w:t>
      </w:r>
      <w:r w:rsidR="006E3ED6" w:rsidRPr="0095050A">
        <w:rPr>
          <w:bCs/>
        </w:rPr>
        <w:t>Score: 0</w:t>
      </w:r>
      <w:r w:rsidR="006E3ED6">
        <w:rPr>
          <w:bCs/>
        </w:rPr>
        <w:t>.</w:t>
      </w:r>
      <w:r w:rsidR="006E3ED6" w:rsidRPr="0095050A">
        <w:rPr>
          <w:bCs/>
        </w:rPr>
        <w:t xml:space="preserve">0; </w:t>
      </w:r>
      <w:r w:rsidR="006E3ED6">
        <w:rPr>
          <w:bCs/>
        </w:rPr>
        <w:t xml:space="preserve">Current Score </w:t>
      </w:r>
      <w:r w:rsidR="00D61D69">
        <w:rPr>
          <w:bCs/>
        </w:rPr>
        <w:t>1</w:t>
      </w:r>
      <w:r w:rsidR="006E3ED6">
        <w:rPr>
          <w:bCs/>
        </w:rPr>
        <w:t xml:space="preserve">.0; Funds available for release: €1.0mn; </w:t>
      </w:r>
      <w:r w:rsidR="006E3ED6" w:rsidRPr="0095050A">
        <w:rPr>
          <w:bCs/>
        </w:rPr>
        <w:t xml:space="preserve">Recommended funds release: </w:t>
      </w:r>
      <w:r>
        <w:rPr>
          <w:bCs/>
        </w:rPr>
        <w:t>€</w:t>
      </w:r>
      <w:r w:rsidR="00D61D69">
        <w:rPr>
          <w:bCs/>
        </w:rPr>
        <w:t>0</w:t>
      </w:r>
      <w:r>
        <w:rPr>
          <w:bCs/>
        </w:rPr>
        <w:t>.5</w:t>
      </w:r>
      <w:r w:rsidR="00D61D69">
        <w:rPr>
          <w:bCs/>
        </w:rPr>
        <w:t>mn</w:t>
      </w:r>
      <w:r w:rsidR="006E3ED6" w:rsidRPr="0095050A">
        <w:rPr>
          <w:bCs/>
        </w:rPr>
        <w:t>)</w:t>
      </w:r>
    </w:p>
    <w:p w14:paraId="73DF66A6" w14:textId="77777777" w:rsidR="006E3ED6" w:rsidRDefault="006E3ED6" w:rsidP="009E3730">
      <w:pPr>
        <w:widowControl w:val="0"/>
        <w:suppressAutoHyphens/>
      </w:pPr>
    </w:p>
    <w:p w14:paraId="5C71EF1B" w14:textId="77777777" w:rsidR="006E3ED6" w:rsidRDefault="006E3ED6" w:rsidP="009E3730">
      <w:pPr>
        <w:widowControl w:val="0"/>
        <w:suppressAutoHyphens/>
        <w:rPr>
          <w:b/>
          <w:bCs/>
        </w:rPr>
      </w:pPr>
      <w:r>
        <w:rPr>
          <w:b/>
          <w:bCs/>
          <w:u w:val="single"/>
        </w:rPr>
        <w:t>Indicator 3.1.1</w:t>
      </w:r>
      <w:r>
        <w:rPr>
          <w:b/>
          <w:bCs/>
        </w:rPr>
        <w:t>: career guidance manual - previously assessed as fulfilled.</w:t>
      </w:r>
    </w:p>
    <w:p w14:paraId="19EEC1F1" w14:textId="77777777" w:rsidR="006E3ED6" w:rsidRDefault="006E3ED6" w:rsidP="009E3730">
      <w:pPr>
        <w:widowControl w:val="0"/>
        <w:suppressAutoHyphens/>
        <w:rPr>
          <w:b/>
          <w:bCs/>
        </w:rPr>
      </w:pPr>
    </w:p>
    <w:p w14:paraId="00A76FED" w14:textId="77777777" w:rsidR="006B6C56" w:rsidRDefault="006B6C56" w:rsidP="009E3730">
      <w:pPr>
        <w:widowControl w:val="0"/>
        <w:suppressAutoHyphens/>
        <w:rPr>
          <w:b/>
          <w:bCs/>
          <w:i/>
          <w:iCs/>
          <w:lang w:eastAsia="en-GB"/>
        </w:rPr>
      </w:pPr>
      <w:r>
        <w:rPr>
          <w:b/>
          <w:bCs/>
          <w:u w:val="single"/>
        </w:rPr>
        <w:t>Indicator 3.1.2</w:t>
      </w:r>
      <w:r>
        <w:rPr>
          <w:b/>
          <w:bCs/>
        </w:rPr>
        <w:t>:</w:t>
      </w:r>
      <w:r>
        <w:rPr>
          <w:b/>
          <w:bCs/>
          <w:lang w:eastAsia="en-GB"/>
        </w:rPr>
        <w:t xml:space="preserve"> </w:t>
      </w:r>
      <w:r>
        <w:rPr>
          <w:b/>
          <w:bCs/>
          <w:i/>
          <w:iCs/>
          <w:lang w:eastAsia="en-GB"/>
        </w:rPr>
        <w:t>New career guidance and counselling scheme piloted in at least 18 public VET institutions and 5 centres of ESS.</w:t>
      </w:r>
    </w:p>
    <w:p w14:paraId="327D79DE" w14:textId="77777777" w:rsidR="006B6C56" w:rsidRDefault="006B6C56" w:rsidP="009E3730">
      <w:pPr>
        <w:widowControl w:val="0"/>
        <w:suppressAutoHyphens/>
      </w:pPr>
    </w:p>
    <w:p w14:paraId="12B8F7EB" w14:textId="77777777" w:rsidR="006B6C56" w:rsidRDefault="006B6C56" w:rsidP="009E3730">
      <w:pPr>
        <w:widowControl w:val="0"/>
        <w:suppressAutoHyphens/>
      </w:pPr>
      <w:r>
        <w:t xml:space="preserve">Source of Verification: </w:t>
      </w:r>
    </w:p>
    <w:p w14:paraId="5D0BAF2D" w14:textId="77777777" w:rsidR="006B6C56" w:rsidRDefault="006B6C56" w:rsidP="009E3730">
      <w:pPr>
        <w:widowControl w:val="0"/>
        <w:numPr>
          <w:ilvl w:val="0"/>
          <w:numId w:val="2"/>
        </w:numPr>
        <w:suppressAutoHyphens/>
        <w:autoSpaceDE w:val="0"/>
        <w:autoSpaceDN w:val="0"/>
        <w:ind w:left="714" w:hanging="357"/>
        <w:rPr>
          <w:lang w:eastAsia="en-GB"/>
        </w:rPr>
      </w:pPr>
      <w:r>
        <w:rPr>
          <w:lang w:eastAsia="en-GB"/>
        </w:rPr>
        <w:t>MoLHSA and MoES Annual Reports.</w:t>
      </w:r>
    </w:p>
    <w:p w14:paraId="17338A16" w14:textId="77777777" w:rsidR="00D61D69" w:rsidRDefault="00D61D69" w:rsidP="009E3730">
      <w:pPr>
        <w:widowControl w:val="0"/>
        <w:suppressAutoHyphens/>
        <w:rPr>
          <w:b/>
          <w:bCs/>
        </w:rPr>
      </w:pPr>
    </w:p>
    <w:p w14:paraId="525E19DD" w14:textId="47C86EA3" w:rsidR="00D61D69" w:rsidRDefault="00D61D69" w:rsidP="009E3730">
      <w:pPr>
        <w:widowControl w:val="0"/>
        <w:suppressAutoHyphens/>
      </w:pPr>
      <w:r>
        <w:rPr>
          <w:b/>
          <w:bCs/>
        </w:rPr>
        <w:t>Previous assessment: unfulfilled; Current assessment: fulfilled.</w:t>
      </w:r>
    </w:p>
    <w:p w14:paraId="244C2768" w14:textId="77777777" w:rsidR="006B6C56" w:rsidRPr="00B714DC" w:rsidRDefault="006B6C56" w:rsidP="009E3730">
      <w:pPr>
        <w:widowControl w:val="0"/>
        <w:suppressAutoHyphens/>
      </w:pPr>
    </w:p>
    <w:p w14:paraId="69E1600F" w14:textId="308628AB" w:rsidR="006E3ED6" w:rsidRPr="00B714DC" w:rsidRDefault="00477E00" w:rsidP="009E3730">
      <w:pPr>
        <w:widowControl w:val="0"/>
        <w:suppressAutoHyphens/>
        <w:rPr>
          <w:bCs/>
        </w:rPr>
      </w:pPr>
      <w:r w:rsidRPr="00B714DC">
        <w:rPr>
          <w:bCs/>
        </w:rPr>
        <w:t xml:space="preserve">The issue for fulfilment for the Third Instalment was that implementation of the pilot had not been effectively commenced in 2015. </w:t>
      </w:r>
      <w:r w:rsidR="00A63DBA" w:rsidRPr="00B714DC">
        <w:rPr>
          <w:bCs/>
        </w:rPr>
        <w:t>A discussion as to the number of ESS offices involved was addressed by an immediate response from the SSA, but whether or not five as opposed to three (as reported in the last Review Aide Memoire), the required five have been involved in 2016</w:t>
      </w:r>
      <w:r w:rsidR="008C629F">
        <w:rPr>
          <w:rStyle w:val="FootnoteReference"/>
          <w:bCs/>
        </w:rPr>
        <w:footnoteReference w:id="85"/>
      </w:r>
      <w:r w:rsidR="00A63DBA" w:rsidRPr="00B714DC">
        <w:rPr>
          <w:bCs/>
        </w:rPr>
        <w:t xml:space="preserve">. As is evident from the discussion on Fourth Instalment Indicator 3.1.1 above, the </w:t>
      </w:r>
      <w:r w:rsidR="00A63DBA" w:rsidRPr="00B714DC">
        <w:rPr>
          <w:bCs/>
        </w:rPr>
        <w:lastRenderedPageBreak/>
        <w:t xml:space="preserve">pilot has been extensively implemented through 2016 (indeed already by the time of the EU decision in December 2016) through 18 VET colleges and 5 ESS of the SSA. While the Review does not think the new approach has been adequately finalised and rolled out across all state VET providers, and hence has concluded the equivalent Fourth Instalment Indicator has not been fulfilled, the Review does believe sufficient has been achieved to qualify for fulfilment of this Third Instalment Indicator and that, therefore, </w:t>
      </w:r>
      <w:r w:rsidR="00B714DC" w:rsidRPr="00B714DC">
        <w:rPr>
          <w:bCs/>
        </w:rPr>
        <w:t>the Government is eligible to receive the full €0</w:t>
      </w:r>
      <w:r w:rsidR="00A865F8">
        <w:rPr>
          <w:bCs/>
        </w:rPr>
        <w:t>.5</w:t>
      </w:r>
      <w:r w:rsidR="00B714DC" w:rsidRPr="00B714DC">
        <w:rPr>
          <w:bCs/>
        </w:rPr>
        <w:t>mn of the Third Instalment tranche related to this Specific Condition.</w:t>
      </w:r>
    </w:p>
    <w:p w14:paraId="062F09DA" w14:textId="77777777" w:rsidR="006E3ED6" w:rsidRPr="00B714DC" w:rsidRDefault="006E3ED6" w:rsidP="009E3730">
      <w:pPr>
        <w:widowControl w:val="0"/>
        <w:suppressAutoHyphens/>
        <w:rPr>
          <w:bCs/>
        </w:rPr>
      </w:pPr>
    </w:p>
    <w:p w14:paraId="68422F6E" w14:textId="77777777" w:rsidR="00D61D69" w:rsidRDefault="00D61D69" w:rsidP="009E3730">
      <w:pPr>
        <w:pStyle w:val="Heading3"/>
        <w:widowControl w:val="0"/>
        <w:suppressAutoHyphens/>
      </w:pPr>
      <w:bookmarkStart w:id="74" w:name="_Toc456280470"/>
      <w:bookmarkStart w:id="75" w:name="_Toc486837772"/>
      <w:r>
        <w:t>iii)</w:t>
      </w:r>
      <w:r>
        <w:tab/>
      </w:r>
      <w:r w:rsidRPr="00FB2155">
        <w:rPr>
          <w:u w:val="single"/>
        </w:rPr>
        <w:t>Specific Condition 3.3</w:t>
      </w:r>
      <w:r>
        <w:t>:</w:t>
      </w:r>
      <w:r>
        <w:rPr>
          <w:lang w:eastAsia="en-GB"/>
        </w:rPr>
        <w:t xml:space="preserve"> </w:t>
      </w:r>
      <w:r w:rsidRPr="00FB2155">
        <w:rPr>
          <w:i/>
          <w:lang w:eastAsia="en-GB"/>
        </w:rPr>
        <w:t>Enhanced social partnership</w:t>
      </w:r>
      <w:r>
        <w:rPr>
          <w:lang w:eastAsia="en-GB"/>
        </w:rPr>
        <w:t>.</w:t>
      </w:r>
      <w:bookmarkEnd w:id="74"/>
      <w:bookmarkEnd w:id="75"/>
    </w:p>
    <w:p w14:paraId="4E22711E" w14:textId="77777777" w:rsidR="00D61D69" w:rsidRDefault="00D61D69" w:rsidP="009E3730">
      <w:pPr>
        <w:widowControl w:val="0"/>
        <w:suppressAutoHyphens/>
      </w:pPr>
    </w:p>
    <w:p w14:paraId="3A29E4E8" w14:textId="400CEC51" w:rsidR="004E44A8" w:rsidRDefault="004E44A8" w:rsidP="009E3730">
      <w:pPr>
        <w:widowControl w:val="0"/>
        <w:suppressAutoHyphens/>
      </w:pPr>
      <w:r>
        <w:t>This is covered briefly by the Review, but EU decided in December that it was not eligible for reassessment, so the results are not included in the disbursement recommendations.</w:t>
      </w:r>
    </w:p>
    <w:p w14:paraId="743F6B86" w14:textId="77777777" w:rsidR="004E44A8" w:rsidRDefault="004E44A8" w:rsidP="009E3730">
      <w:pPr>
        <w:widowControl w:val="0"/>
        <w:suppressAutoHyphens/>
      </w:pPr>
    </w:p>
    <w:p w14:paraId="1A5A63CB" w14:textId="77777777" w:rsidR="00D61D69" w:rsidRDefault="00D61D69" w:rsidP="009E3730">
      <w:pPr>
        <w:widowControl w:val="0"/>
        <w:suppressAutoHyphens/>
      </w:pPr>
      <w:r w:rsidRPr="008B2C58">
        <w:rPr>
          <w:b/>
          <w:bCs/>
          <w:u w:val="single"/>
        </w:rPr>
        <w:t>Review Assessment</w:t>
      </w:r>
      <w:r>
        <w:rPr>
          <w:b/>
          <w:bCs/>
        </w:rPr>
        <w:t xml:space="preserve">: </w:t>
      </w:r>
      <w:r w:rsidRPr="005017B1">
        <w:rPr>
          <w:b/>
          <w:bCs/>
        </w:rPr>
        <w:t>compliance</w:t>
      </w:r>
      <w:r>
        <w:rPr>
          <w:b/>
          <w:bCs/>
        </w:rPr>
        <w:t>.</w:t>
      </w:r>
    </w:p>
    <w:p w14:paraId="26F1D87C" w14:textId="78BB07DF" w:rsidR="004E44A8" w:rsidRPr="0095050A" w:rsidRDefault="004E44A8" w:rsidP="009E3730">
      <w:pPr>
        <w:widowControl w:val="0"/>
        <w:suppressAutoHyphens/>
        <w:rPr>
          <w:bCs/>
        </w:rPr>
      </w:pPr>
      <w:r w:rsidRPr="0095050A">
        <w:rPr>
          <w:bCs/>
        </w:rPr>
        <w:t>(Potential value: €</w:t>
      </w:r>
      <w:r>
        <w:rPr>
          <w:bCs/>
        </w:rPr>
        <w:t>0.5</w:t>
      </w:r>
      <w:r w:rsidRPr="0095050A">
        <w:rPr>
          <w:bCs/>
        </w:rPr>
        <w:t xml:space="preserve">mn; </w:t>
      </w:r>
      <w:r>
        <w:rPr>
          <w:bCs/>
        </w:rPr>
        <w:t xml:space="preserve">Previous </w:t>
      </w:r>
      <w:r w:rsidRPr="0095050A">
        <w:rPr>
          <w:bCs/>
        </w:rPr>
        <w:t>Score: 0</w:t>
      </w:r>
      <w:r>
        <w:rPr>
          <w:bCs/>
        </w:rPr>
        <w:t>.5</w:t>
      </w:r>
      <w:r w:rsidRPr="0095050A">
        <w:rPr>
          <w:bCs/>
        </w:rPr>
        <w:t xml:space="preserve">; </w:t>
      </w:r>
      <w:r>
        <w:rPr>
          <w:bCs/>
        </w:rPr>
        <w:t xml:space="preserve">Current Score 1.0; Funds available for release: €0.25mn; </w:t>
      </w:r>
      <w:r w:rsidRPr="0095050A">
        <w:rPr>
          <w:bCs/>
        </w:rPr>
        <w:t xml:space="preserve">Recommended funds release: </w:t>
      </w:r>
      <w:r>
        <w:rPr>
          <w:bCs/>
        </w:rPr>
        <w:t>€0.25mn - however not agreed by EU as eligible for reassessment</w:t>
      </w:r>
      <w:r w:rsidRPr="0095050A">
        <w:rPr>
          <w:bCs/>
        </w:rPr>
        <w:t>)</w:t>
      </w:r>
    </w:p>
    <w:p w14:paraId="486A0941" w14:textId="77777777" w:rsidR="004E44A8" w:rsidRDefault="004E44A8" w:rsidP="009E3730">
      <w:pPr>
        <w:widowControl w:val="0"/>
        <w:suppressAutoHyphens/>
      </w:pPr>
    </w:p>
    <w:p w14:paraId="29C7361D" w14:textId="77777777" w:rsidR="00D61D69" w:rsidRDefault="00D61D69" w:rsidP="009E3730">
      <w:pPr>
        <w:widowControl w:val="0"/>
        <w:suppressAutoHyphens/>
        <w:rPr>
          <w:b/>
          <w:bCs/>
          <w:i/>
          <w:iCs/>
          <w:lang w:eastAsia="en-GB"/>
        </w:rPr>
      </w:pPr>
      <w:r>
        <w:rPr>
          <w:b/>
          <w:bCs/>
          <w:u w:val="single"/>
        </w:rPr>
        <w:t>Indicator 3.3.1</w:t>
      </w:r>
      <w:r>
        <w:rPr>
          <w:b/>
          <w:bCs/>
        </w:rPr>
        <w:t xml:space="preserve">: </w:t>
      </w:r>
      <w:r>
        <w:rPr>
          <w:b/>
          <w:bCs/>
          <w:i/>
          <w:iCs/>
          <w:lang w:eastAsia="en-GB"/>
        </w:rPr>
        <w:t>Concept for the development of elements of work-based learning (WBL) in the national context is elaborated, published and discussed with stakeholders (including at least: objectives, forms of WBL, online access to list of WBL opportunities for learners and businesses, mentoring in-companies, learners’ assessment, link with employment, monitoring).</w:t>
      </w:r>
    </w:p>
    <w:p w14:paraId="5A73BB05" w14:textId="77777777" w:rsidR="00D61D69" w:rsidRDefault="00D61D69" w:rsidP="009E3730">
      <w:pPr>
        <w:widowControl w:val="0"/>
        <w:suppressAutoHyphens/>
        <w:rPr>
          <w:lang w:eastAsia="en-GB"/>
        </w:rPr>
      </w:pPr>
    </w:p>
    <w:p w14:paraId="24DA8968" w14:textId="77777777" w:rsidR="00D61D69" w:rsidRDefault="00D61D69" w:rsidP="009E3730">
      <w:pPr>
        <w:widowControl w:val="0"/>
        <w:suppressAutoHyphens/>
        <w:rPr>
          <w:lang w:eastAsia="en-GB"/>
        </w:rPr>
      </w:pPr>
      <w:r>
        <w:rPr>
          <w:lang w:eastAsia="en-GB"/>
        </w:rPr>
        <w:t>[TAPs footnote 1 defines w</w:t>
      </w:r>
      <w:r>
        <w:t xml:space="preserve">ork-based learning as </w:t>
      </w:r>
      <w:r>
        <w:rPr>
          <w:i/>
          <w:iCs/>
        </w:rPr>
        <w:t>'acquisition of knowledge and skills through carrying out – and reflecting on – tasks in a vocational context, either at the workplace or in a VET institution. WBL comprehends various forms / models, e.g.: apprenticeships, on-the-job training in companies, practical learning in the school context (in workshops, laboratories, simulated work environment), internships after graduation</w:t>
      </w:r>
      <w:r>
        <w:t>'.]</w:t>
      </w:r>
    </w:p>
    <w:p w14:paraId="6ED62568" w14:textId="77777777" w:rsidR="00D61D69" w:rsidRDefault="00D61D69" w:rsidP="009E3730">
      <w:pPr>
        <w:widowControl w:val="0"/>
        <w:suppressAutoHyphens/>
        <w:rPr>
          <w:lang w:eastAsia="en-GB"/>
        </w:rPr>
      </w:pPr>
    </w:p>
    <w:p w14:paraId="286603B0" w14:textId="77777777" w:rsidR="00D61D69" w:rsidRDefault="00D61D69" w:rsidP="009E3730">
      <w:pPr>
        <w:widowControl w:val="0"/>
        <w:suppressAutoHyphens/>
      </w:pPr>
      <w:r>
        <w:t xml:space="preserve">Source of Verification: </w:t>
      </w:r>
    </w:p>
    <w:p w14:paraId="6CA848FB" w14:textId="77777777" w:rsidR="00D61D69" w:rsidRDefault="00D61D69" w:rsidP="009E3730">
      <w:pPr>
        <w:widowControl w:val="0"/>
        <w:numPr>
          <w:ilvl w:val="0"/>
          <w:numId w:val="1"/>
        </w:numPr>
        <w:suppressAutoHyphens/>
        <w:autoSpaceDE w:val="0"/>
        <w:autoSpaceDN w:val="0"/>
        <w:ind w:left="714" w:hanging="357"/>
        <w:rPr>
          <w:lang w:eastAsia="en-GB"/>
        </w:rPr>
      </w:pPr>
      <w:r>
        <w:rPr>
          <w:lang w:eastAsia="en-GB"/>
        </w:rPr>
        <w:t>Ministerial Decision approving Concept for elements of work- based learning;</w:t>
      </w:r>
    </w:p>
    <w:p w14:paraId="0F04C16B" w14:textId="77777777" w:rsidR="00D61D69" w:rsidRDefault="00D61D69" w:rsidP="009E3730">
      <w:pPr>
        <w:widowControl w:val="0"/>
        <w:numPr>
          <w:ilvl w:val="0"/>
          <w:numId w:val="1"/>
        </w:numPr>
        <w:suppressAutoHyphens/>
        <w:autoSpaceDE w:val="0"/>
        <w:autoSpaceDN w:val="0"/>
        <w:ind w:left="714" w:hanging="357"/>
        <w:rPr>
          <w:lang w:eastAsia="en-GB"/>
        </w:rPr>
      </w:pPr>
      <w:r>
        <w:rPr>
          <w:lang w:eastAsia="en-GB"/>
        </w:rPr>
        <w:t>Concept approved by Ministry and social partners.</w:t>
      </w:r>
    </w:p>
    <w:p w14:paraId="447CDFA4" w14:textId="77777777" w:rsidR="00D61D69" w:rsidRDefault="00D61D69" w:rsidP="009E3730">
      <w:pPr>
        <w:widowControl w:val="0"/>
        <w:suppressAutoHyphens/>
      </w:pPr>
    </w:p>
    <w:p w14:paraId="19906718" w14:textId="64D8D222" w:rsidR="005017B1" w:rsidRDefault="005017B1" w:rsidP="009E3730">
      <w:pPr>
        <w:widowControl w:val="0"/>
        <w:suppressAutoHyphens/>
      </w:pPr>
      <w:r w:rsidRPr="008B2C58">
        <w:rPr>
          <w:b/>
          <w:bCs/>
          <w:u w:val="single"/>
        </w:rPr>
        <w:t>Review Assessment</w:t>
      </w:r>
      <w:r>
        <w:rPr>
          <w:b/>
          <w:bCs/>
        </w:rPr>
        <w:t xml:space="preserve">: </w:t>
      </w:r>
      <w:r w:rsidRPr="005017B1">
        <w:rPr>
          <w:b/>
          <w:bCs/>
        </w:rPr>
        <w:t>fulfilled</w:t>
      </w:r>
      <w:r>
        <w:rPr>
          <w:b/>
          <w:bCs/>
        </w:rPr>
        <w:t>.</w:t>
      </w:r>
    </w:p>
    <w:p w14:paraId="3F3CC64E" w14:textId="77777777" w:rsidR="005017B1" w:rsidRDefault="005017B1" w:rsidP="009E3730">
      <w:pPr>
        <w:widowControl w:val="0"/>
        <w:suppressAutoHyphens/>
      </w:pPr>
    </w:p>
    <w:p w14:paraId="5599A0F9" w14:textId="71391B6F" w:rsidR="006E3ED6" w:rsidRDefault="004C0D48" w:rsidP="009E3730">
      <w:pPr>
        <w:widowControl w:val="0"/>
        <w:suppressAutoHyphens/>
      </w:pPr>
      <w:r>
        <w:t>The issue for EU was about whether a suitable level of ministerial decision had been enacted. MoES has responded that, as discussed with EUD during 2015, a Ministerial Order was inappropriate for appr</w:t>
      </w:r>
      <w:r w:rsidR="00D92DA1">
        <w:t>o</w:t>
      </w:r>
      <w:r>
        <w:t>val of a Concept paper, and that the submission of the Concept to the NVETC constituted recognition of approval, especially as the NVETC is chaired by the Minister of MoES, usually deputized to the current First Deputy Minister, who has special responsibility for VET. Since its presentation and approval by the NVETC in December 2015, the Concept has been extended and represented with an Action Plan for implementation over 2016-2018 at an NVETC meeting in March 2016. Subsequently various amendments to regulations have been agreed by Government, Ministerial and NCEQE orders to facilitate implementation of WBL programmes, and pilots were launched in November 2016 for three programmes (on cattle husband</w:t>
      </w:r>
      <w:r w:rsidR="005017B1">
        <w:t>ry, stone fruit and</w:t>
      </w:r>
      <w:r>
        <w:t xml:space="preserve"> nut horticulture, and </w:t>
      </w:r>
      <w:r w:rsidR="005017B1">
        <w:t>viticulture and wine-</w:t>
      </w:r>
      <w:r w:rsidR="005017B1">
        <w:lastRenderedPageBreak/>
        <w:t>making, carried out at four state VET providing institutions (Akhaltsikhe, Kachreti and Mtskheta VET colleges and the Senaki facility of Zugdidi University). Given that discussion of the relevance of a Ministerial Order was held with EUD and the Review during the Third Instalment Interim Review in 2015 and Final Review in 2016, though not formalised through an exchange of letters, and the fact that sources of verification are indicative and not a binding part of the Specific Condition or Indicator, the Review believes that, even if there was doubt at the time of the decision on Third Instalment disbursement, there are no grounds for continuing to withhold the funds (€0.25mn) given that the Concept is well passed the approval stage and is being implemented.</w:t>
      </w:r>
    </w:p>
    <w:p w14:paraId="7689C6FA" w14:textId="77777777" w:rsidR="00D61D69" w:rsidRPr="00D61D69" w:rsidRDefault="00D61D69" w:rsidP="009E3730">
      <w:pPr>
        <w:widowControl w:val="0"/>
        <w:suppressAutoHyphens/>
        <w:rPr>
          <w:b/>
        </w:rPr>
      </w:pPr>
    </w:p>
    <w:p w14:paraId="1EA3578A" w14:textId="3EDAEA43" w:rsidR="00D61D69" w:rsidRPr="00D61D69" w:rsidRDefault="00D61D69" w:rsidP="009E3730">
      <w:pPr>
        <w:widowControl w:val="0"/>
        <w:suppressAutoHyphens/>
        <w:rPr>
          <w:b/>
        </w:rPr>
      </w:pPr>
      <w:r w:rsidRPr="00D61D69">
        <w:rPr>
          <w:b/>
          <w:u w:val="single"/>
        </w:rPr>
        <w:t>Indicator 3.3.2</w:t>
      </w:r>
      <w:r w:rsidRPr="00D61D69">
        <w:rPr>
          <w:b/>
        </w:rPr>
        <w:t>: information on practical training places published</w:t>
      </w:r>
      <w:r w:rsidRPr="00D61D69">
        <w:rPr>
          <w:b/>
          <w:bCs/>
        </w:rPr>
        <w:t xml:space="preserve"> - previously assessed as fulfilled.</w:t>
      </w:r>
    </w:p>
    <w:p w14:paraId="3FF27AF1" w14:textId="77777777" w:rsidR="00AC272E" w:rsidRDefault="00AC272E" w:rsidP="009E3730">
      <w:pPr>
        <w:widowControl w:val="0"/>
        <w:suppressAutoHyphens/>
      </w:pPr>
    </w:p>
    <w:p w14:paraId="62A8F761" w14:textId="43BF9F36" w:rsidR="00D61D69" w:rsidRPr="00D61D69" w:rsidRDefault="00D61D69" w:rsidP="009E3730">
      <w:pPr>
        <w:widowControl w:val="0"/>
        <w:suppressAutoHyphens/>
        <w:rPr>
          <w:b/>
        </w:rPr>
      </w:pPr>
      <w:r w:rsidRPr="00D61D69">
        <w:rPr>
          <w:b/>
          <w:u w:val="single"/>
        </w:rPr>
        <w:t>Indicator 3.3.</w:t>
      </w:r>
      <w:r>
        <w:rPr>
          <w:b/>
          <w:u w:val="single"/>
        </w:rPr>
        <w:t>3</w:t>
      </w:r>
      <w:r w:rsidRPr="00D61D69">
        <w:rPr>
          <w:b/>
        </w:rPr>
        <w:t xml:space="preserve">: </w:t>
      </w:r>
      <w:r>
        <w:rPr>
          <w:b/>
        </w:rPr>
        <w:t>opportunities for teacher training in companies</w:t>
      </w:r>
      <w:r w:rsidRPr="00D61D69">
        <w:rPr>
          <w:b/>
          <w:bCs/>
        </w:rPr>
        <w:t xml:space="preserve"> - previously assessed as fulfilled.</w:t>
      </w:r>
    </w:p>
    <w:p w14:paraId="7D20943C" w14:textId="77777777" w:rsidR="00AC272E" w:rsidRDefault="00AC272E" w:rsidP="009E3730">
      <w:pPr>
        <w:widowControl w:val="0"/>
        <w:suppressAutoHyphens/>
      </w:pPr>
    </w:p>
    <w:p w14:paraId="63818DB0" w14:textId="7BFF005F" w:rsidR="009601AE" w:rsidRDefault="00AC272E" w:rsidP="009E3730">
      <w:pPr>
        <w:pStyle w:val="Heading1"/>
        <w:widowControl w:val="0"/>
        <w:suppressAutoHyphens/>
      </w:pPr>
      <w:bookmarkStart w:id="76" w:name="_Toc404511351"/>
      <w:bookmarkStart w:id="77" w:name="_Toc413019058"/>
      <w:bookmarkStart w:id="78" w:name="_Toc486837773"/>
      <w:r>
        <w:t>7</w:t>
      </w:r>
      <w:r w:rsidR="009601AE">
        <w:t>.</w:t>
      </w:r>
      <w:r w:rsidR="009601AE">
        <w:tab/>
        <w:t>Conclusions</w:t>
      </w:r>
      <w:bookmarkEnd w:id="76"/>
      <w:r w:rsidR="009601AE">
        <w:t xml:space="preserve"> for Disbursement</w:t>
      </w:r>
      <w:bookmarkEnd w:id="77"/>
      <w:bookmarkEnd w:id="78"/>
    </w:p>
    <w:p w14:paraId="6FB17F9A" w14:textId="77777777" w:rsidR="006E5CA2" w:rsidRDefault="006E5CA2" w:rsidP="006E5CA2"/>
    <w:p w14:paraId="07792BC3" w14:textId="77777777" w:rsidR="006E5CA2" w:rsidRPr="00DB29A5" w:rsidRDefault="006E5CA2" w:rsidP="006E5CA2">
      <w:pPr>
        <w:rPr>
          <w:b/>
        </w:rPr>
      </w:pPr>
      <w:r w:rsidRPr="00DB29A5">
        <w:rPr>
          <w:b/>
        </w:rPr>
        <w:t>i)</w:t>
      </w:r>
      <w:r w:rsidRPr="00DB29A5">
        <w:rPr>
          <w:b/>
        </w:rPr>
        <w:tab/>
        <w:t>Fourth Instalment Conditions</w:t>
      </w:r>
    </w:p>
    <w:p w14:paraId="4E909235" w14:textId="77777777" w:rsidR="006E5CA2" w:rsidRDefault="006E5CA2" w:rsidP="006E5CA2"/>
    <w:p w14:paraId="1B45E834" w14:textId="465059D8" w:rsidR="006E5CA2" w:rsidRDefault="006E5CA2" w:rsidP="006E5CA2">
      <w:pPr>
        <w:rPr>
          <w:highlight w:val="green"/>
        </w:rPr>
      </w:pPr>
      <w:r>
        <w:t xml:space="preserve">Table </w:t>
      </w:r>
      <w:r w:rsidR="00F46A5A">
        <w:t>9</w:t>
      </w:r>
      <w:r>
        <w:t xml:space="preserve"> summarizes the Review's conclusions on the status of Government's compliance with the conditions for release of the Fourth Instalment. The Review concluded the Government was compliant with all four General Conditions, eligibility criteria for release of any funds but also conditions for disbursement of the Fixed Tranche. Based on this assessment the Final Review has concluded that Government is eligible to receive €6.0mn of the €7.5mn allocated in the FA for the Fourth Instalment. Two Indicators are considered to be unfulfilled: 3.1.1 on the extension of the new career guidance and counselling concept across all public VET institutions, and 3.3.1 on the implementation of an improved framework for social partnership. As both are one of two Indicators for the Specific Condition, the fulfilment of the other Indicator is insufficient for an assessment of partial compliance as this requires more than half the Indicators for a particular Specific Condition to be met.</w:t>
      </w:r>
    </w:p>
    <w:p w14:paraId="63E9CA69" w14:textId="77777777" w:rsidR="006E5CA2" w:rsidRDefault="006E5CA2" w:rsidP="006E5CA2"/>
    <w:p w14:paraId="1B070ED7" w14:textId="139387EA" w:rsidR="006E5CA2" w:rsidRDefault="006E5CA2" w:rsidP="006E5CA2">
      <w:pPr>
        <w:jc w:val="center"/>
        <w:rPr>
          <w:b/>
          <w:bCs/>
        </w:rPr>
      </w:pPr>
      <w:r>
        <w:rPr>
          <w:b/>
          <w:bCs/>
        </w:rPr>
        <w:t xml:space="preserve">Table </w:t>
      </w:r>
      <w:r w:rsidR="00F46A5A">
        <w:rPr>
          <w:b/>
          <w:bCs/>
        </w:rPr>
        <w:t>9</w:t>
      </w:r>
      <w:r>
        <w:rPr>
          <w:b/>
          <w:bCs/>
        </w:rPr>
        <w:t>: Summary of Fourth Instalment Disbursement Recommendation</w:t>
      </w:r>
    </w:p>
    <w:p w14:paraId="78D108C5" w14:textId="77777777" w:rsidR="006E5CA2" w:rsidRDefault="006E5CA2" w:rsidP="006E5CA2">
      <w:pPr>
        <w:rPr>
          <w:highlight w:val="green"/>
        </w:rPr>
      </w:pPr>
    </w:p>
    <w:tbl>
      <w:tblPr>
        <w:tblW w:w="8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78"/>
        <w:gridCol w:w="1417"/>
        <w:gridCol w:w="1134"/>
        <w:gridCol w:w="851"/>
        <w:gridCol w:w="1356"/>
      </w:tblGrid>
      <w:tr w:rsidR="006E5CA2" w:rsidRPr="00690428" w14:paraId="2ACAC0C3" w14:textId="77777777" w:rsidTr="006E5CA2">
        <w:trPr>
          <w:jc w:val="center"/>
        </w:trPr>
        <w:tc>
          <w:tcPr>
            <w:tcW w:w="4178" w:type="dxa"/>
          </w:tcPr>
          <w:p w14:paraId="064A7664" w14:textId="77777777" w:rsidR="006E5CA2" w:rsidRPr="00690428" w:rsidRDefault="006E5CA2" w:rsidP="006E5CA2">
            <w:pPr>
              <w:rPr>
                <w:b/>
                <w:bCs/>
                <w:sz w:val="20"/>
                <w:szCs w:val="20"/>
              </w:rPr>
            </w:pPr>
          </w:p>
          <w:p w14:paraId="71AC8183" w14:textId="77777777" w:rsidR="006E5CA2" w:rsidRPr="00690428" w:rsidRDefault="006E5CA2" w:rsidP="006E5CA2">
            <w:pPr>
              <w:jc w:val="center"/>
              <w:rPr>
                <w:b/>
                <w:bCs/>
                <w:sz w:val="20"/>
                <w:szCs w:val="20"/>
              </w:rPr>
            </w:pPr>
            <w:r w:rsidRPr="00690428">
              <w:rPr>
                <w:b/>
                <w:bCs/>
                <w:sz w:val="20"/>
                <w:szCs w:val="20"/>
              </w:rPr>
              <w:t>Condition</w:t>
            </w:r>
          </w:p>
        </w:tc>
        <w:tc>
          <w:tcPr>
            <w:tcW w:w="1417" w:type="dxa"/>
          </w:tcPr>
          <w:p w14:paraId="01F17EB9" w14:textId="77777777" w:rsidR="006E5CA2" w:rsidRPr="00690428" w:rsidRDefault="006E5CA2" w:rsidP="006E5CA2">
            <w:pPr>
              <w:jc w:val="center"/>
              <w:rPr>
                <w:b/>
                <w:bCs/>
                <w:sz w:val="20"/>
                <w:szCs w:val="20"/>
              </w:rPr>
            </w:pPr>
            <w:r w:rsidRPr="00690428">
              <w:rPr>
                <w:b/>
                <w:bCs/>
                <w:sz w:val="20"/>
                <w:szCs w:val="20"/>
              </w:rPr>
              <w:t>Compliance</w:t>
            </w:r>
          </w:p>
        </w:tc>
        <w:tc>
          <w:tcPr>
            <w:tcW w:w="1134" w:type="dxa"/>
          </w:tcPr>
          <w:p w14:paraId="289723B3" w14:textId="77777777" w:rsidR="006E5CA2" w:rsidRPr="00690428" w:rsidRDefault="006E5CA2" w:rsidP="006E5CA2">
            <w:pPr>
              <w:jc w:val="center"/>
              <w:rPr>
                <w:b/>
                <w:bCs/>
                <w:sz w:val="20"/>
                <w:szCs w:val="20"/>
              </w:rPr>
            </w:pPr>
            <w:r w:rsidRPr="00690428">
              <w:rPr>
                <w:b/>
                <w:bCs/>
                <w:sz w:val="20"/>
                <w:szCs w:val="20"/>
              </w:rPr>
              <w:t>Possible Value €mn</w:t>
            </w:r>
          </w:p>
        </w:tc>
        <w:tc>
          <w:tcPr>
            <w:tcW w:w="851" w:type="dxa"/>
          </w:tcPr>
          <w:p w14:paraId="49414F1D" w14:textId="77777777" w:rsidR="006E5CA2" w:rsidRPr="00690428" w:rsidRDefault="006E5CA2" w:rsidP="006E5CA2">
            <w:pPr>
              <w:jc w:val="center"/>
              <w:rPr>
                <w:b/>
                <w:bCs/>
                <w:sz w:val="20"/>
                <w:szCs w:val="20"/>
              </w:rPr>
            </w:pPr>
            <w:r w:rsidRPr="00690428">
              <w:rPr>
                <w:b/>
                <w:bCs/>
                <w:sz w:val="20"/>
                <w:szCs w:val="20"/>
              </w:rPr>
              <w:t>Score</w:t>
            </w:r>
          </w:p>
        </w:tc>
        <w:tc>
          <w:tcPr>
            <w:tcW w:w="1356" w:type="dxa"/>
          </w:tcPr>
          <w:p w14:paraId="6984E825" w14:textId="77777777" w:rsidR="006E5CA2" w:rsidRPr="00690428" w:rsidRDefault="006E5CA2" w:rsidP="006E5CA2">
            <w:pPr>
              <w:jc w:val="center"/>
              <w:rPr>
                <w:b/>
                <w:bCs/>
                <w:sz w:val="20"/>
                <w:szCs w:val="20"/>
              </w:rPr>
            </w:pPr>
            <w:r>
              <w:rPr>
                <w:b/>
                <w:bCs/>
                <w:sz w:val="20"/>
                <w:szCs w:val="20"/>
              </w:rPr>
              <w:t>Proposed</w:t>
            </w:r>
            <w:r w:rsidRPr="00690428">
              <w:rPr>
                <w:b/>
                <w:bCs/>
                <w:sz w:val="20"/>
                <w:szCs w:val="20"/>
              </w:rPr>
              <w:t xml:space="preserve"> release €mn</w:t>
            </w:r>
          </w:p>
        </w:tc>
      </w:tr>
      <w:tr w:rsidR="006E5CA2" w:rsidRPr="00690428" w14:paraId="6DE39C6F" w14:textId="77777777" w:rsidTr="006E5CA2">
        <w:trPr>
          <w:jc w:val="center"/>
        </w:trPr>
        <w:tc>
          <w:tcPr>
            <w:tcW w:w="4178" w:type="dxa"/>
            <w:shd w:val="clear" w:color="auto" w:fill="E0E0E0"/>
          </w:tcPr>
          <w:p w14:paraId="3F51D334" w14:textId="77777777" w:rsidR="006E5CA2" w:rsidRPr="00690428" w:rsidRDefault="006E5CA2" w:rsidP="006E5CA2">
            <w:pPr>
              <w:jc w:val="left"/>
              <w:rPr>
                <w:b/>
                <w:bCs/>
                <w:sz w:val="20"/>
                <w:szCs w:val="20"/>
              </w:rPr>
            </w:pPr>
            <w:r w:rsidRPr="00690428">
              <w:rPr>
                <w:b/>
                <w:bCs/>
                <w:sz w:val="20"/>
                <w:szCs w:val="20"/>
              </w:rPr>
              <w:t>A. Fixed Tranche (13.3%)</w:t>
            </w:r>
          </w:p>
        </w:tc>
        <w:tc>
          <w:tcPr>
            <w:tcW w:w="1417" w:type="dxa"/>
            <w:shd w:val="clear" w:color="auto" w:fill="E0E0E0"/>
          </w:tcPr>
          <w:p w14:paraId="41204DFA" w14:textId="77777777" w:rsidR="006E5CA2" w:rsidRPr="00690428" w:rsidRDefault="006E5CA2" w:rsidP="006E5CA2">
            <w:pPr>
              <w:jc w:val="center"/>
              <w:rPr>
                <w:b/>
                <w:bCs/>
                <w:sz w:val="20"/>
                <w:szCs w:val="20"/>
              </w:rPr>
            </w:pPr>
            <w:r w:rsidRPr="00690428">
              <w:rPr>
                <w:b/>
                <w:bCs/>
                <w:sz w:val="20"/>
                <w:szCs w:val="20"/>
              </w:rPr>
              <w:t>compliance</w:t>
            </w:r>
          </w:p>
        </w:tc>
        <w:tc>
          <w:tcPr>
            <w:tcW w:w="1134" w:type="dxa"/>
            <w:shd w:val="clear" w:color="auto" w:fill="E0E0E0"/>
          </w:tcPr>
          <w:p w14:paraId="0F5C52BB" w14:textId="77777777" w:rsidR="006E5CA2" w:rsidRPr="00690428" w:rsidRDefault="006E5CA2" w:rsidP="006E5CA2">
            <w:pPr>
              <w:jc w:val="center"/>
              <w:rPr>
                <w:b/>
                <w:bCs/>
                <w:sz w:val="20"/>
                <w:szCs w:val="20"/>
              </w:rPr>
            </w:pPr>
            <w:r>
              <w:rPr>
                <w:b/>
                <w:bCs/>
                <w:sz w:val="20"/>
                <w:szCs w:val="20"/>
              </w:rPr>
              <w:t>1.0</w:t>
            </w:r>
          </w:p>
        </w:tc>
        <w:tc>
          <w:tcPr>
            <w:tcW w:w="851" w:type="dxa"/>
            <w:shd w:val="clear" w:color="auto" w:fill="E0E0E0"/>
          </w:tcPr>
          <w:p w14:paraId="63DE7A6B" w14:textId="77777777" w:rsidR="006E5CA2" w:rsidRPr="00690428" w:rsidRDefault="006E5CA2" w:rsidP="006E5CA2">
            <w:pPr>
              <w:jc w:val="center"/>
              <w:rPr>
                <w:b/>
                <w:bCs/>
                <w:sz w:val="20"/>
                <w:szCs w:val="20"/>
              </w:rPr>
            </w:pPr>
          </w:p>
        </w:tc>
        <w:tc>
          <w:tcPr>
            <w:tcW w:w="1356" w:type="dxa"/>
            <w:shd w:val="clear" w:color="auto" w:fill="E0E0E0"/>
          </w:tcPr>
          <w:p w14:paraId="690B3455" w14:textId="77777777" w:rsidR="006E5CA2" w:rsidRPr="00690428" w:rsidRDefault="006E5CA2" w:rsidP="006E5CA2">
            <w:pPr>
              <w:jc w:val="center"/>
              <w:rPr>
                <w:b/>
                <w:bCs/>
                <w:sz w:val="20"/>
                <w:szCs w:val="20"/>
              </w:rPr>
            </w:pPr>
            <w:r w:rsidRPr="00690428">
              <w:rPr>
                <w:b/>
                <w:bCs/>
                <w:sz w:val="20"/>
                <w:szCs w:val="20"/>
              </w:rPr>
              <w:t>1.0</w:t>
            </w:r>
          </w:p>
        </w:tc>
      </w:tr>
      <w:tr w:rsidR="006E5CA2" w:rsidRPr="00690428" w14:paraId="76D149B8" w14:textId="77777777" w:rsidTr="006E5CA2">
        <w:trPr>
          <w:jc w:val="center"/>
        </w:trPr>
        <w:tc>
          <w:tcPr>
            <w:tcW w:w="4178" w:type="dxa"/>
            <w:shd w:val="clear" w:color="auto" w:fill="E0E0E0"/>
          </w:tcPr>
          <w:p w14:paraId="4FF53C51" w14:textId="77777777" w:rsidR="006E5CA2" w:rsidRPr="00690428" w:rsidRDefault="006E5CA2" w:rsidP="006E5CA2">
            <w:pPr>
              <w:jc w:val="left"/>
              <w:rPr>
                <w:b/>
                <w:bCs/>
                <w:sz w:val="20"/>
                <w:szCs w:val="20"/>
              </w:rPr>
            </w:pPr>
            <w:r w:rsidRPr="00690428">
              <w:rPr>
                <w:b/>
                <w:bCs/>
                <w:sz w:val="20"/>
                <w:szCs w:val="20"/>
              </w:rPr>
              <w:t>B. Variable Tranche (86.7%)</w:t>
            </w:r>
          </w:p>
        </w:tc>
        <w:tc>
          <w:tcPr>
            <w:tcW w:w="1417" w:type="dxa"/>
            <w:shd w:val="clear" w:color="auto" w:fill="E0E0E0"/>
          </w:tcPr>
          <w:p w14:paraId="0E17E225" w14:textId="77777777" w:rsidR="006E5CA2" w:rsidRPr="00690428" w:rsidRDefault="006E5CA2" w:rsidP="006E5CA2">
            <w:pPr>
              <w:jc w:val="center"/>
              <w:rPr>
                <w:b/>
                <w:bCs/>
                <w:sz w:val="20"/>
                <w:szCs w:val="20"/>
              </w:rPr>
            </w:pPr>
          </w:p>
        </w:tc>
        <w:tc>
          <w:tcPr>
            <w:tcW w:w="1134" w:type="dxa"/>
            <w:shd w:val="clear" w:color="auto" w:fill="E0E0E0"/>
          </w:tcPr>
          <w:p w14:paraId="454B5C70" w14:textId="77777777" w:rsidR="006E5CA2" w:rsidRPr="00690428" w:rsidRDefault="006E5CA2" w:rsidP="006E5CA2">
            <w:pPr>
              <w:jc w:val="center"/>
              <w:rPr>
                <w:b/>
                <w:bCs/>
                <w:sz w:val="20"/>
                <w:szCs w:val="20"/>
              </w:rPr>
            </w:pPr>
          </w:p>
        </w:tc>
        <w:tc>
          <w:tcPr>
            <w:tcW w:w="851" w:type="dxa"/>
            <w:shd w:val="clear" w:color="auto" w:fill="E0E0E0"/>
          </w:tcPr>
          <w:p w14:paraId="77261AF6" w14:textId="77777777" w:rsidR="006E5CA2" w:rsidRPr="00690428" w:rsidRDefault="006E5CA2" w:rsidP="006E5CA2">
            <w:pPr>
              <w:jc w:val="center"/>
              <w:rPr>
                <w:b/>
                <w:bCs/>
                <w:sz w:val="20"/>
                <w:szCs w:val="20"/>
              </w:rPr>
            </w:pPr>
          </w:p>
        </w:tc>
        <w:tc>
          <w:tcPr>
            <w:tcW w:w="1356" w:type="dxa"/>
            <w:shd w:val="clear" w:color="auto" w:fill="E0E0E0"/>
          </w:tcPr>
          <w:p w14:paraId="0BE54D40" w14:textId="77777777" w:rsidR="006E5CA2" w:rsidRPr="00690428" w:rsidRDefault="006E5CA2" w:rsidP="006E5CA2">
            <w:pPr>
              <w:jc w:val="center"/>
              <w:rPr>
                <w:b/>
                <w:bCs/>
                <w:sz w:val="20"/>
                <w:szCs w:val="20"/>
              </w:rPr>
            </w:pPr>
          </w:p>
        </w:tc>
      </w:tr>
      <w:tr w:rsidR="006E5CA2" w:rsidRPr="00690428" w14:paraId="3EEA2351" w14:textId="77777777" w:rsidTr="006E5CA2">
        <w:trPr>
          <w:cantSplit/>
          <w:jc w:val="center"/>
        </w:trPr>
        <w:tc>
          <w:tcPr>
            <w:tcW w:w="8936" w:type="dxa"/>
            <w:gridSpan w:val="5"/>
            <w:shd w:val="clear" w:color="auto" w:fill="F3F3F3"/>
          </w:tcPr>
          <w:p w14:paraId="5605FDE5" w14:textId="77777777" w:rsidR="006E5CA2" w:rsidRPr="00690428" w:rsidRDefault="006E5CA2" w:rsidP="006E5CA2">
            <w:pPr>
              <w:jc w:val="center"/>
              <w:rPr>
                <w:b/>
                <w:bCs/>
                <w:sz w:val="20"/>
                <w:szCs w:val="20"/>
              </w:rPr>
            </w:pPr>
            <w:r w:rsidRPr="00690428">
              <w:rPr>
                <w:b/>
                <w:bCs/>
                <w:sz w:val="20"/>
                <w:szCs w:val="20"/>
                <w:lang w:eastAsia="en-GB"/>
              </w:rPr>
              <w:t>Component 1: Effective Labour Market Management</w:t>
            </w:r>
            <w:r w:rsidRPr="00690428">
              <w:rPr>
                <w:b/>
                <w:bCs/>
                <w:sz w:val="20"/>
                <w:szCs w:val="20"/>
              </w:rPr>
              <w:t xml:space="preserve"> (26.7%)</w:t>
            </w:r>
          </w:p>
        </w:tc>
      </w:tr>
      <w:tr w:rsidR="006E5CA2" w:rsidRPr="00690428" w14:paraId="5DA97C68" w14:textId="77777777" w:rsidTr="006E5CA2">
        <w:trPr>
          <w:jc w:val="center"/>
        </w:trPr>
        <w:tc>
          <w:tcPr>
            <w:tcW w:w="4178" w:type="dxa"/>
          </w:tcPr>
          <w:p w14:paraId="3759AE32" w14:textId="77777777" w:rsidR="006E5CA2" w:rsidRPr="00690428" w:rsidRDefault="006E5CA2" w:rsidP="009C3E0C">
            <w:pPr>
              <w:widowControl w:val="0"/>
              <w:numPr>
                <w:ilvl w:val="0"/>
                <w:numId w:val="52"/>
              </w:numPr>
              <w:autoSpaceDE w:val="0"/>
              <w:autoSpaceDN w:val="0"/>
              <w:jc w:val="left"/>
              <w:rPr>
                <w:i/>
                <w:iCs/>
                <w:sz w:val="20"/>
                <w:szCs w:val="20"/>
              </w:rPr>
            </w:pPr>
            <w:r w:rsidRPr="00690428">
              <w:rPr>
                <w:i/>
                <w:iCs/>
                <w:sz w:val="20"/>
                <w:szCs w:val="20"/>
                <w:lang w:eastAsia="en-GB"/>
              </w:rPr>
              <w:t>Reliable and sustainable labour market information and forecasting</w:t>
            </w:r>
            <w:r w:rsidRPr="00690428">
              <w:rPr>
                <w:i/>
                <w:iCs/>
                <w:sz w:val="20"/>
                <w:szCs w:val="20"/>
              </w:rPr>
              <w:t>.</w:t>
            </w:r>
          </w:p>
        </w:tc>
        <w:tc>
          <w:tcPr>
            <w:tcW w:w="1417" w:type="dxa"/>
          </w:tcPr>
          <w:p w14:paraId="067C90DB" w14:textId="77777777" w:rsidR="006E5CA2" w:rsidRPr="00690428" w:rsidRDefault="006E5CA2" w:rsidP="006E5CA2">
            <w:pPr>
              <w:jc w:val="center"/>
              <w:rPr>
                <w:sz w:val="20"/>
                <w:szCs w:val="20"/>
              </w:rPr>
            </w:pPr>
            <w:r w:rsidRPr="00690428">
              <w:rPr>
                <w:sz w:val="20"/>
                <w:szCs w:val="20"/>
              </w:rPr>
              <w:t>compliance</w:t>
            </w:r>
          </w:p>
        </w:tc>
        <w:tc>
          <w:tcPr>
            <w:tcW w:w="1134" w:type="dxa"/>
          </w:tcPr>
          <w:p w14:paraId="73CDC91E" w14:textId="77777777" w:rsidR="006E5CA2" w:rsidRPr="00690428" w:rsidRDefault="006E5CA2" w:rsidP="006E5CA2">
            <w:pPr>
              <w:jc w:val="center"/>
              <w:rPr>
                <w:sz w:val="20"/>
                <w:szCs w:val="20"/>
              </w:rPr>
            </w:pPr>
            <w:r w:rsidRPr="00690428">
              <w:rPr>
                <w:sz w:val="20"/>
                <w:szCs w:val="20"/>
              </w:rPr>
              <w:t>1.0</w:t>
            </w:r>
          </w:p>
        </w:tc>
        <w:tc>
          <w:tcPr>
            <w:tcW w:w="851" w:type="dxa"/>
          </w:tcPr>
          <w:p w14:paraId="38A98081" w14:textId="77777777" w:rsidR="006E5CA2" w:rsidRPr="00690428" w:rsidRDefault="006E5CA2" w:rsidP="006E5CA2">
            <w:pPr>
              <w:jc w:val="center"/>
              <w:rPr>
                <w:sz w:val="20"/>
                <w:szCs w:val="20"/>
              </w:rPr>
            </w:pPr>
            <w:r w:rsidRPr="00690428">
              <w:rPr>
                <w:sz w:val="20"/>
                <w:szCs w:val="20"/>
              </w:rPr>
              <w:t>1.0</w:t>
            </w:r>
          </w:p>
        </w:tc>
        <w:tc>
          <w:tcPr>
            <w:tcW w:w="1356" w:type="dxa"/>
          </w:tcPr>
          <w:p w14:paraId="59B3B166" w14:textId="77777777" w:rsidR="006E5CA2" w:rsidRPr="00690428" w:rsidRDefault="006E5CA2" w:rsidP="006E5CA2">
            <w:pPr>
              <w:jc w:val="center"/>
              <w:rPr>
                <w:sz w:val="20"/>
                <w:szCs w:val="20"/>
              </w:rPr>
            </w:pPr>
            <w:r>
              <w:rPr>
                <w:sz w:val="20"/>
                <w:szCs w:val="20"/>
              </w:rPr>
              <w:t>1.</w:t>
            </w:r>
            <w:r w:rsidRPr="00690428">
              <w:rPr>
                <w:sz w:val="20"/>
                <w:szCs w:val="20"/>
              </w:rPr>
              <w:t>0</w:t>
            </w:r>
          </w:p>
        </w:tc>
      </w:tr>
      <w:tr w:rsidR="006E5CA2" w:rsidRPr="00690428" w14:paraId="64CB5F7A" w14:textId="77777777" w:rsidTr="006E5CA2">
        <w:trPr>
          <w:jc w:val="center"/>
        </w:trPr>
        <w:tc>
          <w:tcPr>
            <w:tcW w:w="4178" w:type="dxa"/>
          </w:tcPr>
          <w:p w14:paraId="4A168044" w14:textId="77777777" w:rsidR="006E5CA2" w:rsidRPr="00690428" w:rsidRDefault="006E5CA2" w:rsidP="009C3E0C">
            <w:pPr>
              <w:widowControl w:val="0"/>
              <w:numPr>
                <w:ilvl w:val="0"/>
                <w:numId w:val="52"/>
              </w:numPr>
              <w:autoSpaceDE w:val="0"/>
              <w:autoSpaceDN w:val="0"/>
              <w:jc w:val="left"/>
              <w:rPr>
                <w:i/>
                <w:iCs/>
                <w:sz w:val="20"/>
                <w:szCs w:val="20"/>
              </w:rPr>
            </w:pPr>
            <w:r w:rsidRPr="00690428">
              <w:rPr>
                <w:i/>
                <w:iCs/>
                <w:sz w:val="20"/>
                <w:szCs w:val="20"/>
                <w:lang w:eastAsia="en-GB"/>
              </w:rPr>
              <w:t>Improved Quality of Employment Support Services</w:t>
            </w:r>
            <w:r w:rsidRPr="00690428">
              <w:rPr>
                <w:i/>
                <w:iCs/>
                <w:sz w:val="20"/>
                <w:szCs w:val="20"/>
              </w:rPr>
              <w:t>.</w:t>
            </w:r>
          </w:p>
        </w:tc>
        <w:tc>
          <w:tcPr>
            <w:tcW w:w="1417" w:type="dxa"/>
          </w:tcPr>
          <w:p w14:paraId="5C438C6A" w14:textId="77777777" w:rsidR="006E5CA2" w:rsidRPr="00690428" w:rsidRDefault="006E5CA2" w:rsidP="006E5CA2">
            <w:pPr>
              <w:jc w:val="center"/>
              <w:rPr>
                <w:sz w:val="20"/>
                <w:szCs w:val="20"/>
              </w:rPr>
            </w:pPr>
            <w:r w:rsidRPr="00690428">
              <w:rPr>
                <w:sz w:val="20"/>
                <w:szCs w:val="20"/>
              </w:rPr>
              <w:t>compliance</w:t>
            </w:r>
          </w:p>
        </w:tc>
        <w:tc>
          <w:tcPr>
            <w:tcW w:w="1134" w:type="dxa"/>
          </w:tcPr>
          <w:p w14:paraId="266EA4F0" w14:textId="77777777" w:rsidR="006E5CA2" w:rsidRPr="00690428" w:rsidRDefault="006E5CA2" w:rsidP="006E5CA2">
            <w:pPr>
              <w:jc w:val="center"/>
              <w:rPr>
                <w:sz w:val="20"/>
                <w:szCs w:val="20"/>
              </w:rPr>
            </w:pPr>
            <w:r w:rsidRPr="00690428">
              <w:rPr>
                <w:sz w:val="20"/>
                <w:szCs w:val="20"/>
              </w:rPr>
              <w:t>1.0</w:t>
            </w:r>
          </w:p>
        </w:tc>
        <w:tc>
          <w:tcPr>
            <w:tcW w:w="851" w:type="dxa"/>
          </w:tcPr>
          <w:p w14:paraId="7DBA4A46" w14:textId="77777777" w:rsidR="006E5CA2" w:rsidRPr="00690428" w:rsidRDefault="006E5CA2" w:rsidP="006E5CA2">
            <w:pPr>
              <w:jc w:val="center"/>
              <w:rPr>
                <w:sz w:val="20"/>
                <w:szCs w:val="20"/>
              </w:rPr>
            </w:pPr>
            <w:r>
              <w:rPr>
                <w:sz w:val="20"/>
                <w:szCs w:val="20"/>
              </w:rPr>
              <w:t>1.0</w:t>
            </w:r>
          </w:p>
        </w:tc>
        <w:tc>
          <w:tcPr>
            <w:tcW w:w="1356" w:type="dxa"/>
          </w:tcPr>
          <w:p w14:paraId="6EC05D62" w14:textId="77777777" w:rsidR="006E5CA2" w:rsidRPr="00690428" w:rsidRDefault="006E5CA2" w:rsidP="006E5CA2">
            <w:pPr>
              <w:jc w:val="center"/>
              <w:rPr>
                <w:sz w:val="20"/>
                <w:szCs w:val="20"/>
              </w:rPr>
            </w:pPr>
            <w:r>
              <w:rPr>
                <w:sz w:val="20"/>
                <w:szCs w:val="20"/>
              </w:rPr>
              <w:t>1.0</w:t>
            </w:r>
          </w:p>
        </w:tc>
      </w:tr>
      <w:tr w:rsidR="006E5CA2" w:rsidRPr="00690428" w14:paraId="40838D71" w14:textId="77777777" w:rsidTr="006E5CA2">
        <w:trPr>
          <w:cantSplit/>
          <w:jc w:val="center"/>
        </w:trPr>
        <w:tc>
          <w:tcPr>
            <w:tcW w:w="8936" w:type="dxa"/>
            <w:gridSpan w:val="5"/>
            <w:shd w:val="clear" w:color="auto" w:fill="F3F3F3"/>
          </w:tcPr>
          <w:p w14:paraId="691AB44B" w14:textId="77777777" w:rsidR="006E5CA2" w:rsidRPr="00690428" w:rsidRDefault="006E5CA2" w:rsidP="006E5CA2">
            <w:pPr>
              <w:jc w:val="center"/>
              <w:rPr>
                <w:b/>
                <w:bCs/>
                <w:sz w:val="20"/>
                <w:szCs w:val="20"/>
              </w:rPr>
            </w:pPr>
            <w:r w:rsidRPr="00690428">
              <w:rPr>
                <w:b/>
                <w:bCs/>
                <w:sz w:val="20"/>
                <w:szCs w:val="20"/>
                <w:lang w:eastAsia="en-GB"/>
              </w:rPr>
              <w:t>Component 2: Enhanced Quality and Relevance of VET System</w:t>
            </w:r>
            <w:r w:rsidRPr="00690428">
              <w:rPr>
                <w:b/>
                <w:bCs/>
                <w:sz w:val="20"/>
                <w:szCs w:val="20"/>
              </w:rPr>
              <w:t xml:space="preserve"> (26.7%)</w:t>
            </w:r>
          </w:p>
        </w:tc>
      </w:tr>
      <w:tr w:rsidR="006E5CA2" w:rsidRPr="00690428" w14:paraId="11F5D33D" w14:textId="77777777" w:rsidTr="006E5CA2">
        <w:trPr>
          <w:jc w:val="center"/>
        </w:trPr>
        <w:tc>
          <w:tcPr>
            <w:tcW w:w="4178" w:type="dxa"/>
          </w:tcPr>
          <w:p w14:paraId="11D60CFB" w14:textId="77777777" w:rsidR="006E5CA2" w:rsidRPr="00690428" w:rsidRDefault="006E5CA2" w:rsidP="009C3E0C">
            <w:pPr>
              <w:widowControl w:val="0"/>
              <w:numPr>
                <w:ilvl w:val="0"/>
                <w:numId w:val="53"/>
              </w:numPr>
              <w:autoSpaceDE w:val="0"/>
              <w:autoSpaceDN w:val="0"/>
              <w:jc w:val="left"/>
              <w:rPr>
                <w:i/>
                <w:iCs/>
                <w:sz w:val="20"/>
                <w:szCs w:val="20"/>
              </w:rPr>
            </w:pPr>
            <w:r w:rsidRPr="00690428">
              <w:rPr>
                <w:i/>
                <w:iCs/>
                <w:sz w:val="20"/>
                <w:szCs w:val="20"/>
                <w:lang w:eastAsia="en-GB"/>
              </w:rPr>
              <w:t>Enhanced matching of skills provided by the VET system with the needs of the labour market</w:t>
            </w:r>
            <w:r w:rsidRPr="00690428">
              <w:rPr>
                <w:i/>
                <w:iCs/>
                <w:sz w:val="20"/>
                <w:szCs w:val="20"/>
              </w:rPr>
              <w:t>.</w:t>
            </w:r>
          </w:p>
        </w:tc>
        <w:tc>
          <w:tcPr>
            <w:tcW w:w="1417" w:type="dxa"/>
          </w:tcPr>
          <w:p w14:paraId="5BBCC65C" w14:textId="77777777" w:rsidR="006E5CA2" w:rsidRPr="00690428" w:rsidRDefault="006E5CA2" w:rsidP="006E5CA2">
            <w:pPr>
              <w:jc w:val="center"/>
              <w:rPr>
                <w:sz w:val="20"/>
                <w:szCs w:val="20"/>
              </w:rPr>
            </w:pPr>
            <w:r w:rsidRPr="00690428">
              <w:rPr>
                <w:sz w:val="20"/>
                <w:szCs w:val="20"/>
              </w:rPr>
              <w:t>compliance</w:t>
            </w:r>
          </w:p>
        </w:tc>
        <w:tc>
          <w:tcPr>
            <w:tcW w:w="1134" w:type="dxa"/>
          </w:tcPr>
          <w:p w14:paraId="741294B4" w14:textId="77777777" w:rsidR="006E5CA2" w:rsidRPr="00690428" w:rsidRDefault="006E5CA2" w:rsidP="006E5CA2">
            <w:pPr>
              <w:jc w:val="center"/>
              <w:rPr>
                <w:sz w:val="20"/>
                <w:szCs w:val="20"/>
              </w:rPr>
            </w:pPr>
            <w:r w:rsidRPr="00690428">
              <w:rPr>
                <w:sz w:val="20"/>
                <w:szCs w:val="20"/>
              </w:rPr>
              <w:t>1.0</w:t>
            </w:r>
          </w:p>
        </w:tc>
        <w:tc>
          <w:tcPr>
            <w:tcW w:w="851" w:type="dxa"/>
          </w:tcPr>
          <w:p w14:paraId="07DFC311" w14:textId="77777777" w:rsidR="006E5CA2" w:rsidRPr="00690428" w:rsidRDefault="006E5CA2" w:rsidP="006E5CA2">
            <w:pPr>
              <w:jc w:val="center"/>
              <w:rPr>
                <w:sz w:val="20"/>
                <w:szCs w:val="20"/>
              </w:rPr>
            </w:pPr>
            <w:r w:rsidRPr="00690428">
              <w:rPr>
                <w:sz w:val="20"/>
                <w:szCs w:val="20"/>
              </w:rPr>
              <w:t>1.0</w:t>
            </w:r>
          </w:p>
        </w:tc>
        <w:tc>
          <w:tcPr>
            <w:tcW w:w="1356" w:type="dxa"/>
          </w:tcPr>
          <w:p w14:paraId="2E4B1874" w14:textId="77777777" w:rsidR="006E5CA2" w:rsidRPr="00690428" w:rsidRDefault="006E5CA2" w:rsidP="006E5CA2">
            <w:pPr>
              <w:jc w:val="center"/>
              <w:rPr>
                <w:sz w:val="20"/>
                <w:szCs w:val="20"/>
              </w:rPr>
            </w:pPr>
            <w:r>
              <w:rPr>
                <w:sz w:val="20"/>
                <w:szCs w:val="20"/>
              </w:rPr>
              <w:t>1.</w:t>
            </w:r>
            <w:r w:rsidRPr="00690428">
              <w:rPr>
                <w:sz w:val="20"/>
                <w:szCs w:val="20"/>
              </w:rPr>
              <w:t>0</w:t>
            </w:r>
          </w:p>
        </w:tc>
      </w:tr>
      <w:tr w:rsidR="006E5CA2" w:rsidRPr="00690428" w14:paraId="6E0EC855" w14:textId="77777777" w:rsidTr="006E5CA2">
        <w:trPr>
          <w:jc w:val="center"/>
        </w:trPr>
        <w:tc>
          <w:tcPr>
            <w:tcW w:w="4178" w:type="dxa"/>
          </w:tcPr>
          <w:p w14:paraId="1EB58E60" w14:textId="77777777" w:rsidR="006E5CA2" w:rsidRPr="00690428" w:rsidRDefault="006E5CA2" w:rsidP="009C3E0C">
            <w:pPr>
              <w:widowControl w:val="0"/>
              <w:numPr>
                <w:ilvl w:val="0"/>
                <w:numId w:val="53"/>
              </w:numPr>
              <w:autoSpaceDE w:val="0"/>
              <w:autoSpaceDN w:val="0"/>
              <w:jc w:val="left"/>
              <w:rPr>
                <w:i/>
                <w:iCs/>
                <w:sz w:val="20"/>
                <w:szCs w:val="20"/>
              </w:rPr>
            </w:pPr>
            <w:r w:rsidRPr="00690428">
              <w:rPr>
                <w:i/>
                <w:iCs/>
                <w:sz w:val="20"/>
                <w:szCs w:val="20"/>
                <w:lang w:eastAsia="en-GB"/>
              </w:rPr>
              <w:t>Improved quality of VET qualifications.</w:t>
            </w:r>
          </w:p>
        </w:tc>
        <w:tc>
          <w:tcPr>
            <w:tcW w:w="1417" w:type="dxa"/>
          </w:tcPr>
          <w:p w14:paraId="3623A9BB" w14:textId="77777777" w:rsidR="006E5CA2" w:rsidRPr="00690428" w:rsidRDefault="006E5CA2" w:rsidP="006E5CA2">
            <w:pPr>
              <w:jc w:val="center"/>
              <w:rPr>
                <w:sz w:val="20"/>
                <w:szCs w:val="20"/>
              </w:rPr>
            </w:pPr>
            <w:r w:rsidRPr="00690428">
              <w:rPr>
                <w:sz w:val="20"/>
                <w:szCs w:val="20"/>
              </w:rPr>
              <w:t>compliance</w:t>
            </w:r>
          </w:p>
        </w:tc>
        <w:tc>
          <w:tcPr>
            <w:tcW w:w="1134" w:type="dxa"/>
          </w:tcPr>
          <w:p w14:paraId="11332EE6" w14:textId="77777777" w:rsidR="006E5CA2" w:rsidRPr="00690428" w:rsidRDefault="006E5CA2" w:rsidP="006E5CA2">
            <w:pPr>
              <w:jc w:val="center"/>
              <w:rPr>
                <w:sz w:val="20"/>
                <w:szCs w:val="20"/>
              </w:rPr>
            </w:pPr>
            <w:r w:rsidRPr="00690428">
              <w:rPr>
                <w:sz w:val="20"/>
                <w:szCs w:val="20"/>
              </w:rPr>
              <w:t>1.0</w:t>
            </w:r>
          </w:p>
        </w:tc>
        <w:tc>
          <w:tcPr>
            <w:tcW w:w="851" w:type="dxa"/>
          </w:tcPr>
          <w:p w14:paraId="739AD75D" w14:textId="77777777" w:rsidR="006E5CA2" w:rsidRPr="00690428" w:rsidRDefault="006E5CA2" w:rsidP="006E5CA2">
            <w:pPr>
              <w:jc w:val="center"/>
              <w:rPr>
                <w:sz w:val="20"/>
                <w:szCs w:val="20"/>
              </w:rPr>
            </w:pPr>
            <w:r>
              <w:rPr>
                <w:sz w:val="20"/>
                <w:szCs w:val="20"/>
              </w:rPr>
              <w:t>1.</w:t>
            </w:r>
            <w:r w:rsidRPr="00690428">
              <w:rPr>
                <w:sz w:val="20"/>
                <w:szCs w:val="20"/>
              </w:rPr>
              <w:t>0</w:t>
            </w:r>
          </w:p>
        </w:tc>
        <w:tc>
          <w:tcPr>
            <w:tcW w:w="1356" w:type="dxa"/>
          </w:tcPr>
          <w:p w14:paraId="1644F244" w14:textId="77777777" w:rsidR="006E5CA2" w:rsidRPr="00690428" w:rsidRDefault="006E5CA2" w:rsidP="006E5CA2">
            <w:pPr>
              <w:jc w:val="center"/>
              <w:rPr>
                <w:sz w:val="20"/>
                <w:szCs w:val="20"/>
              </w:rPr>
            </w:pPr>
            <w:r>
              <w:rPr>
                <w:sz w:val="20"/>
                <w:szCs w:val="20"/>
              </w:rPr>
              <w:t>1.</w:t>
            </w:r>
            <w:r w:rsidRPr="00690428">
              <w:rPr>
                <w:sz w:val="20"/>
                <w:szCs w:val="20"/>
              </w:rPr>
              <w:t>0</w:t>
            </w:r>
          </w:p>
        </w:tc>
      </w:tr>
      <w:tr w:rsidR="006E5CA2" w:rsidRPr="00690428" w14:paraId="4E8A2185" w14:textId="77777777" w:rsidTr="006E5CA2">
        <w:trPr>
          <w:cantSplit/>
          <w:jc w:val="center"/>
        </w:trPr>
        <w:tc>
          <w:tcPr>
            <w:tcW w:w="8936" w:type="dxa"/>
            <w:gridSpan w:val="5"/>
            <w:shd w:val="clear" w:color="auto" w:fill="F3F3F3"/>
          </w:tcPr>
          <w:p w14:paraId="48285678" w14:textId="77777777" w:rsidR="006E5CA2" w:rsidRPr="00690428" w:rsidRDefault="006E5CA2" w:rsidP="006E5CA2">
            <w:pPr>
              <w:jc w:val="center"/>
              <w:rPr>
                <w:b/>
                <w:bCs/>
                <w:sz w:val="20"/>
                <w:szCs w:val="20"/>
              </w:rPr>
            </w:pPr>
            <w:r w:rsidRPr="00690428">
              <w:rPr>
                <w:b/>
                <w:bCs/>
                <w:sz w:val="20"/>
                <w:szCs w:val="20"/>
                <w:lang w:eastAsia="en-GB"/>
              </w:rPr>
              <w:t>Component 3: Efficient Transition from Training into Employment</w:t>
            </w:r>
            <w:r w:rsidRPr="00690428">
              <w:rPr>
                <w:b/>
                <w:bCs/>
                <w:sz w:val="20"/>
                <w:szCs w:val="20"/>
              </w:rPr>
              <w:t xml:space="preserve"> (33.3%)</w:t>
            </w:r>
          </w:p>
        </w:tc>
      </w:tr>
      <w:tr w:rsidR="006E5CA2" w:rsidRPr="00690428" w14:paraId="77013B1F" w14:textId="77777777" w:rsidTr="006E5CA2">
        <w:trPr>
          <w:jc w:val="center"/>
        </w:trPr>
        <w:tc>
          <w:tcPr>
            <w:tcW w:w="4178" w:type="dxa"/>
          </w:tcPr>
          <w:p w14:paraId="2434C2AF" w14:textId="77777777" w:rsidR="006E5CA2" w:rsidRPr="00690428" w:rsidRDefault="006E5CA2" w:rsidP="009C3E0C">
            <w:pPr>
              <w:widowControl w:val="0"/>
              <w:numPr>
                <w:ilvl w:val="0"/>
                <w:numId w:val="54"/>
              </w:numPr>
              <w:autoSpaceDE w:val="0"/>
              <w:autoSpaceDN w:val="0"/>
              <w:jc w:val="left"/>
              <w:rPr>
                <w:i/>
                <w:iCs/>
                <w:sz w:val="20"/>
                <w:szCs w:val="20"/>
              </w:rPr>
            </w:pPr>
            <w:r w:rsidRPr="00690428">
              <w:rPr>
                <w:i/>
                <w:iCs/>
                <w:sz w:val="20"/>
                <w:szCs w:val="20"/>
                <w:lang w:eastAsia="en-GB"/>
              </w:rPr>
              <w:t>Efficient transition from training to employment.</w:t>
            </w:r>
          </w:p>
        </w:tc>
        <w:tc>
          <w:tcPr>
            <w:tcW w:w="1417" w:type="dxa"/>
          </w:tcPr>
          <w:p w14:paraId="171D8579" w14:textId="77777777" w:rsidR="006E5CA2" w:rsidRPr="00690428" w:rsidRDefault="006E5CA2" w:rsidP="006E5CA2">
            <w:pPr>
              <w:jc w:val="center"/>
              <w:rPr>
                <w:sz w:val="20"/>
                <w:szCs w:val="20"/>
              </w:rPr>
            </w:pPr>
            <w:r>
              <w:rPr>
                <w:sz w:val="20"/>
                <w:szCs w:val="20"/>
              </w:rPr>
              <w:t>*non-</w:t>
            </w:r>
            <w:r w:rsidRPr="00690428">
              <w:rPr>
                <w:sz w:val="20"/>
                <w:szCs w:val="20"/>
              </w:rPr>
              <w:t>compliance</w:t>
            </w:r>
          </w:p>
        </w:tc>
        <w:tc>
          <w:tcPr>
            <w:tcW w:w="1134" w:type="dxa"/>
          </w:tcPr>
          <w:p w14:paraId="62963AE3" w14:textId="77777777" w:rsidR="006E5CA2" w:rsidRPr="00690428" w:rsidRDefault="006E5CA2" w:rsidP="006E5CA2">
            <w:pPr>
              <w:jc w:val="center"/>
              <w:rPr>
                <w:sz w:val="20"/>
                <w:szCs w:val="20"/>
              </w:rPr>
            </w:pPr>
            <w:r w:rsidRPr="00690428">
              <w:rPr>
                <w:sz w:val="20"/>
                <w:szCs w:val="20"/>
              </w:rPr>
              <w:t>1.0</w:t>
            </w:r>
          </w:p>
        </w:tc>
        <w:tc>
          <w:tcPr>
            <w:tcW w:w="851" w:type="dxa"/>
          </w:tcPr>
          <w:p w14:paraId="385DFEB1" w14:textId="77777777" w:rsidR="006E5CA2" w:rsidRPr="00690428" w:rsidRDefault="006E5CA2" w:rsidP="006E5CA2">
            <w:pPr>
              <w:jc w:val="center"/>
              <w:rPr>
                <w:sz w:val="20"/>
                <w:szCs w:val="20"/>
              </w:rPr>
            </w:pPr>
            <w:r>
              <w:rPr>
                <w:sz w:val="20"/>
                <w:szCs w:val="20"/>
              </w:rPr>
              <w:t>nil</w:t>
            </w:r>
          </w:p>
        </w:tc>
        <w:tc>
          <w:tcPr>
            <w:tcW w:w="1356" w:type="dxa"/>
          </w:tcPr>
          <w:p w14:paraId="0900992E" w14:textId="77777777" w:rsidR="006E5CA2" w:rsidRPr="00690428" w:rsidRDefault="006E5CA2" w:rsidP="006E5CA2">
            <w:pPr>
              <w:jc w:val="center"/>
              <w:rPr>
                <w:sz w:val="20"/>
                <w:szCs w:val="20"/>
              </w:rPr>
            </w:pPr>
            <w:r>
              <w:rPr>
                <w:sz w:val="20"/>
                <w:szCs w:val="20"/>
              </w:rPr>
              <w:t>nil</w:t>
            </w:r>
          </w:p>
        </w:tc>
      </w:tr>
      <w:tr w:rsidR="006E5CA2" w:rsidRPr="00690428" w14:paraId="66ADEE88" w14:textId="77777777" w:rsidTr="006E5CA2">
        <w:trPr>
          <w:jc w:val="center"/>
        </w:trPr>
        <w:tc>
          <w:tcPr>
            <w:tcW w:w="4178" w:type="dxa"/>
          </w:tcPr>
          <w:p w14:paraId="0546040F" w14:textId="77777777" w:rsidR="006E5CA2" w:rsidRPr="00690428" w:rsidRDefault="006E5CA2" w:rsidP="009C3E0C">
            <w:pPr>
              <w:widowControl w:val="0"/>
              <w:numPr>
                <w:ilvl w:val="0"/>
                <w:numId w:val="54"/>
              </w:numPr>
              <w:autoSpaceDE w:val="0"/>
              <w:autoSpaceDN w:val="0"/>
              <w:jc w:val="left"/>
              <w:rPr>
                <w:i/>
                <w:iCs/>
                <w:sz w:val="20"/>
                <w:szCs w:val="20"/>
              </w:rPr>
            </w:pPr>
            <w:r w:rsidRPr="00690428">
              <w:rPr>
                <w:i/>
                <w:iCs/>
                <w:sz w:val="20"/>
                <w:szCs w:val="20"/>
                <w:lang w:eastAsia="en-GB"/>
              </w:rPr>
              <w:t>Increased awareness of VET amongst potential students and employers.</w:t>
            </w:r>
          </w:p>
        </w:tc>
        <w:tc>
          <w:tcPr>
            <w:tcW w:w="1417" w:type="dxa"/>
          </w:tcPr>
          <w:p w14:paraId="6A166739" w14:textId="77777777" w:rsidR="006E5CA2" w:rsidRPr="00690428" w:rsidRDefault="006E5CA2" w:rsidP="006E5CA2">
            <w:pPr>
              <w:jc w:val="center"/>
              <w:rPr>
                <w:sz w:val="20"/>
                <w:szCs w:val="20"/>
              </w:rPr>
            </w:pPr>
            <w:r w:rsidRPr="00690428">
              <w:rPr>
                <w:sz w:val="20"/>
                <w:szCs w:val="20"/>
              </w:rPr>
              <w:t>compliance</w:t>
            </w:r>
          </w:p>
        </w:tc>
        <w:tc>
          <w:tcPr>
            <w:tcW w:w="1134" w:type="dxa"/>
          </w:tcPr>
          <w:p w14:paraId="7882E340" w14:textId="77777777" w:rsidR="006E5CA2" w:rsidRPr="00690428" w:rsidRDefault="006E5CA2" w:rsidP="006E5CA2">
            <w:pPr>
              <w:jc w:val="center"/>
              <w:rPr>
                <w:sz w:val="20"/>
                <w:szCs w:val="20"/>
              </w:rPr>
            </w:pPr>
            <w:r w:rsidRPr="00690428">
              <w:rPr>
                <w:sz w:val="20"/>
                <w:szCs w:val="20"/>
              </w:rPr>
              <w:t>1.0</w:t>
            </w:r>
          </w:p>
        </w:tc>
        <w:tc>
          <w:tcPr>
            <w:tcW w:w="851" w:type="dxa"/>
          </w:tcPr>
          <w:p w14:paraId="5054FD85" w14:textId="77777777" w:rsidR="006E5CA2" w:rsidRPr="00690428" w:rsidRDefault="006E5CA2" w:rsidP="006E5CA2">
            <w:pPr>
              <w:jc w:val="center"/>
              <w:rPr>
                <w:sz w:val="20"/>
                <w:szCs w:val="20"/>
              </w:rPr>
            </w:pPr>
            <w:r w:rsidRPr="00690428">
              <w:rPr>
                <w:sz w:val="20"/>
                <w:szCs w:val="20"/>
              </w:rPr>
              <w:t>1.0</w:t>
            </w:r>
          </w:p>
        </w:tc>
        <w:tc>
          <w:tcPr>
            <w:tcW w:w="1356" w:type="dxa"/>
          </w:tcPr>
          <w:p w14:paraId="678EA71D" w14:textId="77777777" w:rsidR="006E5CA2" w:rsidRPr="00690428" w:rsidRDefault="006E5CA2" w:rsidP="006E5CA2">
            <w:pPr>
              <w:jc w:val="center"/>
              <w:rPr>
                <w:sz w:val="20"/>
                <w:szCs w:val="20"/>
              </w:rPr>
            </w:pPr>
            <w:r>
              <w:rPr>
                <w:sz w:val="20"/>
                <w:szCs w:val="20"/>
              </w:rPr>
              <w:t>1.</w:t>
            </w:r>
            <w:r w:rsidRPr="00690428">
              <w:rPr>
                <w:sz w:val="20"/>
                <w:szCs w:val="20"/>
              </w:rPr>
              <w:t>0</w:t>
            </w:r>
          </w:p>
        </w:tc>
      </w:tr>
      <w:tr w:rsidR="006E5CA2" w:rsidRPr="00690428" w14:paraId="1542B937" w14:textId="77777777" w:rsidTr="006E5CA2">
        <w:trPr>
          <w:jc w:val="center"/>
        </w:trPr>
        <w:tc>
          <w:tcPr>
            <w:tcW w:w="4178" w:type="dxa"/>
          </w:tcPr>
          <w:p w14:paraId="39A4BFEF" w14:textId="77777777" w:rsidR="006E5CA2" w:rsidRPr="00690428" w:rsidRDefault="006E5CA2" w:rsidP="009C3E0C">
            <w:pPr>
              <w:widowControl w:val="0"/>
              <w:numPr>
                <w:ilvl w:val="0"/>
                <w:numId w:val="54"/>
              </w:numPr>
              <w:autoSpaceDE w:val="0"/>
              <w:autoSpaceDN w:val="0"/>
              <w:jc w:val="left"/>
              <w:rPr>
                <w:i/>
                <w:iCs/>
                <w:sz w:val="20"/>
                <w:szCs w:val="20"/>
              </w:rPr>
            </w:pPr>
            <w:r w:rsidRPr="00690428">
              <w:rPr>
                <w:i/>
                <w:iCs/>
                <w:sz w:val="20"/>
                <w:szCs w:val="20"/>
                <w:lang w:eastAsia="en-GB"/>
              </w:rPr>
              <w:t>Enhanced social partnership.</w:t>
            </w:r>
          </w:p>
        </w:tc>
        <w:tc>
          <w:tcPr>
            <w:tcW w:w="1417" w:type="dxa"/>
          </w:tcPr>
          <w:p w14:paraId="0063F637" w14:textId="77777777" w:rsidR="006E5CA2" w:rsidRPr="00690428" w:rsidRDefault="006E5CA2" w:rsidP="006E5CA2">
            <w:pPr>
              <w:jc w:val="center"/>
              <w:rPr>
                <w:sz w:val="20"/>
                <w:szCs w:val="20"/>
              </w:rPr>
            </w:pPr>
            <w:r>
              <w:rPr>
                <w:sz w:val="20"/>
                <w:szCs w:val="20"/>
              </w:rPr>
              <w:t>*non-</w:t>
            </w:r>
            <w:r w:rsidRPr="00690428">
              <w:rPr>
                <w:sz w:val="20"/>
                <w:szCs w:val="20"/>
              </w:rPr>
              <w:t>compliance</w:t>
            </w:r>
          </w:p>
        </w:tc>
        <w:tc>
          <w:tcPr>
            <w:tcW w:w="1134" w:type="dxa"/>
          </w:tcPr>
          <w:p w14:paraId="15E94CE9" w14:textId="77777777" w:rsidR="006E5CA2" w:rsidRPr="00690428" w:rsidRDefault="006E5CA2" w:rsidP="006E5CA2">
            <w:pPr>
              <w:jc w:val="center"/>
              <w:rPr>
                <w:sz w:val="20"/>
                <w:szCs w:val="20"/>
              </w:rPr>
            </w:pPr>
            <w:r w:rsidRPr="00690428">
              <w:rPr>
                <w:sz w:val="20"/>
                <w:szCs w:val="20"/>
              </w:rPr>
              <w:t>0.5</w:t>
            </w:r>
          </w:p>
        </w:tc>
        <w:tc>
          <w:tcPr>
            <w:tcW w:w="851" w:type="dxa"/>
          </w:tcPr>
          <w:p w14:paraId="32385193" w14:textId="77777777" w:rsidR="006E5CA2" w:rsidRPr="00690428" w:rsidRDefault="006E5CA2" w:rsidP="006E5CA2">
            <w:pPr>
              <w:jc w:val="center"/>
              <w:rPr>
                <w:sz w:val="20"/>
                <w:szCs w:val="20"/>
              </w:rPr>
            </w:pPr>
            <w:r>
              <w:rPr>
                <w:sz w:val="20"/>
                <w:szCs w:val="20"/>
              </w:rPr>
              <w:t>nil</w:t>
            </w:r>
          </w:p>
        </w:tc>
        <w:tc>
          <w:tcPr>
            <w:tcW w:w="1356" w:type="dxa"/>
          </w:tcPr>
          <w:p w14:paraId="359E4ED3" w14:textId="77777777" w:rsidR="006E5CA2" w:rsidRPr="00690428" w:rsidRDefault="006E5CA2" w:rsidP="006E5CA2">
            <w:pPr>
              <w:jc w:val="center"/>
              <w:rPr>
                <w:sz w:val="20"/>
                <w:szCs w:val="20"/>
              </w:rPr>
            </w:pPr>
            <w:r>
              <w:rPr>
                <w:sz w:val="20"/>
                <w:szCs w:val="20"/>
              </w:rPr>
              <w:t>nil</w:t>
            </w:r>
          </w:p>
        </w:tc>
      </w:tr>
      <w:tr w:rsidR="006E5CA2" w:rsidRPr="00690428" w14:paraId="2B9066B0" w14:textId="77777777" w:rsidTr="006E5CA2">
        <w:trPr>
          <w:cantSplit/>
          <w:jc w:val="center"/>
        </w:trPr>
        <w:tc>
          <w:tcPr>
            <w:tcW w:w="5595" w:type="dxa"/>
            <w:gridSpan w:val="2"/>
            <w:shd w:val="clear" w:color="auto" w:fill="E0E0E0"/>
          </w:tcPr>
          <w:p w14:paraId="3BC82E2D" w14:textId="77777777" w:rsidR="006E5CA2" w:rsidRPr="00690428" w:rsidRDefault="006E5CA2" w:rsidP="006E5CA2">
            <w:pPr>
              <w:jc w:val="left"/>
              <w:rPr>
                <w:b/>
                <w:bCs/>
                <w:sz w:val="20"/>
                <w:szCs w:val="20"/>
              </w:rPr>
            </w:pPr>
            <w:r w:rsidRPr="00690428">
              <w:rPr>
                <w:b/>
                <w:bCs/>
                <w:sz w:val="20"/>
                <w:szCs w:val="20"/>
              </w:rPr>
              <w:lastRenderedPageBreak/>
              <w:t>Variable Tranche assessment</w:t>
            </w:r>
          </w:p>
          <w:p w14:paraId="09A03ADC" w14:textId="77777777" w:rsidR="006E5CA2" w:rsidRPr="00690428" w:rsidRDefault="006E5CA2" w:rsidP="006E5CA2">
            <w:pPr>
              <w:jc w:val="left"/>
              <w:rPr>
                <w:sz w:val="20"/>
                <w:szCs w:val="20"/>
              </w:rPr>
            </w:pPr>
            <w:r w:rsidRPr="00690428">
              <w:rPr>
                <w:sz w:val="20"/>
                <w:szCs w:val="20"/>
              </w:rPr>
              <w:t>(assuming full compliance fixed tranche)</w:t>
            </w:r>
          </w:p>
        </w:tc>
        <w:tc>
          <w:tcPr>
            <w:tcW w:w="1134" w:type="dxa"/>
            <w:shd w:val="clear" w:color="auto" w:fill="E0E0E0"/>
          </w:tcPr>
          <w:p w14:paraId="62FEBA79" w14:textId="77777777" w:rsidR="006E5CA2" w:rsidRPr="00690428" w:rsidRDefault="006E5CA2" w:rsidP="006E5CA2">
            <w:pPr>
              <w:jc w:val="center"/>
              <w:rPr>
                <w:b/>
                <w:bCs/>
                <w:sz w:val="20"/>
                <w:szCs w:val="20"/>
              </w:rPr>
            </w:pPr>
            <w:r w:rsidRPr="00690428">
              <w:rPr>
                <w:b/>
                <w:bCs/>
                <w:sz w:val="20"/>
                <w:szCs w:val="20"/>
              </w:rPr>
              <w:t>6.5</w:t>
            </w:r>
          </w:p>
        </w:tc>
        <w:tc>
          <w:tcPr>
            <w:tcW w:w="851" w:type="dxa"/>
            <w:shd w:val="clear" w:color="auto" w:fill="E0E0E0"/>
          </w:tcPr>
          <w:p w14:paraId="6144A8C5" w14:textId="77777777" w:rsidR="006E5CA2" w:rsidRPr="00690428" w:rsidRDefault="006E5CA2" w:rsidP="006E5CA2">
            <w:pPr>
              <w:jc w:val="center"/>
              <w:rPr>
                <w:b/>
                <w:bCs/>
                <w:sz w:val="20"/>
                <w:szCs w:val="20"/>
              </w:rPr>
            </w:pPr>
          </w:p>
        </w:tc>
        <w:tc>
          <w:tcPr>
            <w:tcW w:w="1356" w:type="dxa"/>
            <w:shd w:val="clear" w:color="auto" w:fill="E0E0E0"/>
          </w:tcPr>
          <w:p w14:paraId="220B6E3A" w14:textId="77777777" w:rsidR="006E5CA2" w:rsidRPr="00690428" w:rsidRDefault="006E5CA2" w:rsidP="006E5CA2">
            <w:pPr>
              <w:jc w:val="center"/>
              <w:rPr>
                <w:b/>
                <w:bCs/>
                <w:sz w:val="20"/>
                <w:szCs w:val="20"/>
              </w:rPr>
            </w:pPr>
            <w:r>
              <w:rPr>
                <w:b/>
                <w:bCs/>
                <w:sz w:val="20"/>
                <w:szCs w:val="20"/>
              </w:rPr>
              <w:t>5.0</w:t>
            </w:r>
          </w:p>
        </w:tc>
      </w:tr>
      <w:tr w:rsidR="006E5CA2" w:rsidRPr="00690428" w14:paraId="1C5CEF76" w14:textId="77777777" w:rsidTr="006E5CA2">
        <w:trPr>
          <w:cantSplit/>
          <w:jc w:val="center"/>
        </w:trPr>
        <w:tc>
          <w:tcPr>
            <w:tcW w:w="5595" w:type="dxa"/>
            <w:gridSpan w:val="2"/>
            <w:shd w:val="clear" w:color="auto" w:fill="E0E0E0"/>
          </w:tcPr>
          <w:p w14:paraId="5DC02994" w14:textId="1DD1EAAF" w:rsidR="006E5CA2" w:rsidRPr="00690428" w:rsidRDefault="006E5CA2" w:rsidP="00027DAC">
            <w:pPr>
              <w:jc w:val="left"/>
              <w:rPr>
                <w:b/>
                <w:bCs/>
                <w:sz w:val="20"/>
                <w:szCs w:val="20"/>
              </w:rPr>
            </w:pPr>
            <w:r w:rsidRPr="00690428">
              <w:rPr>
                <w:b/>
                <w:bCs/>
                <w:sz w:val="20"/>
                <w:szCs w:val="20"/>
              </w:rPr>
              <w:t xml:space="preserve">Total </w:t>
            </w:r>
            <w:r w:rsidR="00027DAC">
              <w:rPr>
                <w:b/>
                <w:bCs/>
                <w:sz w:val="20"/>
                <w:szCs w:val="20"/>
              </w:rPr>
              <w:t>Fourth</w:t>
            </w:r>
            <w:r w:rsidRPr="00690428">
              <w:rPr>
                <w:b/>
                <w:bCs/>
                <w:sz w:val="20"/>
                <w:szCs w:val="20"/>
              </w:rPr>
              <w:t xml:space="preserve"> Instalment Funds for Release </w:t>
            </w:r>
          </w:p>
        </w:tc>
        <w:tc>
          <w:tcPr>
            <w:tcW w:w="1134" w:type="dxa"/>
            <w:shd w:val="clear" w:color="auto" w:fill="E0E0E0"/>
          </w:tcPr>
          <w:p w14:paraId="30080316" w14:textId="77777777" w:rsidR="006E5CA2" w:rsidRPr="00690428" w:rsidRDefault="006E5CA2" w:rsidP="006E5CA2">
            <w:pPr>
              <w:jc w:val="center"/>
              <w:rPr>
                <w:b/>
                <w:bCs/>
                <w:sz w:val="20"/>
                <w:szCs w:val="20"/>
              </w:rPr>
            </w:pPr>
            <w:r w:rsidRPr="00690428">
              <w:rPr>
                <w:b/>
                <w:bCs/>
                <w:sz w:val="20"/>
                <w:szCs w:val="20"/>
              </w:rPr>
              <w:t>7.5</w:t>
            </w:r>
          </w:p>
        </w:tc>
        <w:tc>
          <w:tcPr>
            <w:tcW w:w="851" w:type="dxa"/>
            <w:shd w:val="clear" w:color="auto" w:fill="E0E0E0"/>
          </w:tcPr>
          <w:p w14:paraId="3E6B212F" w14:textId="77777777" w:rsidR="006E5CA2" w:rsidRPr="00690428" w:rsidRDefault="006E5CA2" w:rsidP="006E5CA2">
            <w:pPr>
              <w:jc w:val="center"/>
              <w:rPr>
                <w:b/>
                <w:bCs/>
                <w:sz w:val="20"/>
                <w:szCs w:val="20"/>
              </w:rPr>
            </w:pPr>
          </w:p>
        </w:tc>
        <w:tc>
          <w:tcPr>
            <w:tcW w:w="1356" w:type="dxa"/>
            <w:shd w:val="clear" w:color="auto" w:fill="E0E0E0"/>
          </w:tcPr>
          <w:p w14:paraId="2EE4D8C6" w14:textId="77777777" w:rsidR="006E5CA2" w:rsidRPr="00690428" w:rsidRDefault="006E5CA2" w:rsidP="006E5CA2">
            <w:pPr>
              <w:jc w:val="center"/>
              <w:rPr>
                <w:b/>
                <w:bCs/>
                <w:sz w:val="20"/>
                <w:szCs w:val="20"/>
              </w:rPr>
            </w:pPr>
            <w:r>
              <w:rPr>
                <w:b/>
                <w:bCs/>
                <w:sz w:val="20"/>
                <w:szCs w:val="20"/>
              </w:rPr>
              <w:t>6.0</w:t>
            </w:r>
          </w:p>
        </w:tc>
      </w:tr>
    </w:tbl>
    <w:p w14:paraId="345B38F1" w14:textId="0FD7695D" w:rsidR="006E5CA2" w:rsidRPr="00D66AA0" w:rsidRDefault="006E5CA2" w:rsidP="006E5CA2">
      <w:pPr>
        <w:rPr>
          <w:sz w:val="20"/>
          <w:szCs w:val="20"/>
        </w:rPr>
      </w:pPr>
      <w:r w:rsidRPr="00D66AA0">
        <w:rPr>
          <w:sz w:val="20"/>
          <w:szCs w:val="20"/>
        </w:rPr>
        <w:t>Notes: * in both instances of non-compliance, one Indicator is u</w:t>
      </w:r>
      <w:r w:rsidR="008B79DD">
        <w:rPr>
          <w:sz w:val="20"/>
          <w:szCs w:val="20"/>
        </w:rPr>
        <w:t>nfu</w:t>
      </w:r>
      <w:r w:rsidRPr="00D66AA0">
        <w:rPr>
          <w:sz w:val="20"/>
          <w:szCs w:val="20"/>
        </w:rPr>
        <w:t>lfilled and one unfulfilled. However, as per the FA, more than half of the Indicators must be met for a conclusion of 'partial compliance'.</w:t>
      </w:r>
    </w:p>
    <w:p w14:paraId="2AA43C6F" w14:textId="77777777" w:rsidR="006E5CA2" w:rsidRDefault="006E5CA2" w:rsidP="006E5CA2"/>
    <w:p w14:paraId="79AF41B7" w14:textId="77777777" w:rsidR="006E5CA2" w:rsidRPr="00DB29A5" w:rsidRDefault="006E5CA2" w:rsidP="006E5CA2">
      <w:pPr>
        <w:rPr>
          <w:b/>
        </w:rPr>
      </w:pPr>
      <w:r>
        <w:rPr>
          <w:b/>
        </w:rPr>
        <w:t>ii</w:t>
      </w:r>
      <w:r w:rsidRPr="00DB29A5">
        <w:rPr>
          <w:b/>
        </w:rPr>
        <w:t>)</w:t>
      </w:r>
      <w:r w:rsidRPr="00DB29A5">
        <w:rPr>
          <w:b/>
        </w:rPr>
        <w:tab/>
        <w:t>Outstanding Third Instalment Conditions</w:t>
      </w:r>
    </w:p>
    <w:p w14:paraId="5379100D" w14:textId="77777777" w:rsidR="006E5CA2" w:rsidRDefault="006E5CA2" w:rsidP="006E5CA2"/>
    <w:p w14:paraId="6669A540" w14:textId="19250AC7" w:rsidR="006E5CA2" w:rsidRDefault="006E5CA2" w:rsidP="006E5CA2">
      <w:pPr>
        <w:rPr>
          <w:highlight w:val="green"/>
        </w:rPr>
      </w:pPr>
      <w:r>
        <w:t xml:space="preserve">Table </w:t>
      </w:r>
      <w:r w:rsidR="00F46A5A">
        <w:t>10</w:t>
      </w:r>
      <w:r>
        <w:t xml:space="preserve"> summarizes the Review's conclusions on the status of Government's compliance with the conditions for release of the Third Instalment where funds were withheld by EU because particular Indicators were considered unfulfilled. Based on this assessment the Final Review has concluded that Government is eligible to receive an additional €0.5mn of the €1.75mn withheld from the Third Instalment. </w:t>
      </w:r>
    </w:p>
    <w:p w14:paraId="7DF582FB" w14:textId="77777777" w:rsidR="006E5CA2" w:rsidRDefault="006E5CA2" w:rsidP="006E5CA2"/>
    <w:p w14:paraId="4EAEC541" w14:textId="3D1B278B" w:rsidR="006E5CA2" w:rsidRDefault="006E5CA2" w:rsidP="006E5CA2">
      <w:pPr>
        <w:jc w:val="center"/>
        <w:rPr>
          <w:b/>
          <w:bCs/>
        </w:rPr>
      </w:pPr>
      <w:r>
        <w:rPr>
          <w:b/>
          <w:bCs/>
        </w:rPr>
        <w:t xml:space="preserve">Table </w:t>
      </w:r>
      <w:r w:rsidR="00F46A5A">
        <w:rPr>
          <w:b/>
          <w:bCs/>
        </w:rPr>
        <w:t>10</w:t>
      </w:r>
      <w:r>
        <w:rPr>
          <w:b/>
          <w:bCs/>
        </w:rPr>
        <w:t>: Summary of Outstanding Third Instalment Disbursement Recommendation</w:t>
      </w:r>
    </w:p>
    <w:p w14:paraId="21D22203" w14:textId="77777777" w:rsidR="006E5CA2" w:rsidRDefault="006E5CA2" w:rsidP="006E5CA2">
      <w:pPr>
        <w:rPr>
          <w:highlight w:val="green"/>
        </w:rPr>
      </w:pPr>
    </w:p>
    <w:tbl>
      <w:tblPr>
        <w:tblW w:w="8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36"/>
        <w:gridCol w:w="1559"/>
        <w:gridCol w:w="1134"/>
        <w:gridCol w:w="993"/>
        <w:gridCol w:w="1214"/>
      </w:tblGrid>
      <w:tr w:rsidR="006E5CA2" w:rsidRPr="00690428" w14:paraId="17FDD3F1" w14:textId="77777777" w:rsidTr="006E5CA2">
        <w:trPr>
          <w:jc w:val="center"/>
        </w:trPr>
        <w:tc>
          <w:tcPr>
            <w:tcW w:w="4036" w:type="dxa"/>
          </w:tcPr>
          <w:p w14:paraId="156F86F0" w14:textId="77777777" w:rsidR="006E5CA2" w:rsidRPr="00690428" w:rsidRDefault="006E5CA2" w:rsidP="006E5CA2">
            <w:pPr>
              <w:rPr>
                <w:b/>
                <w:bCs/>
                <w:sz w:val="20"/>
                <w:szCs w:val="20"/>
              </w:rPr>
            </w:pPr>
          </w:p>
          <w:p w14:paraId="7298615A" w14:textId="77777777" w:rsidR="006E5CA2" w:rsidRPr="00690428" w:rsidRDefault="006E5CA2" w:rsidP="006E5CA2">
            <w:pPr>
              <w:jc w:val="center"/>
              <w:rPr>
                <w:b/>
                <w:bCs/>
                <w:sz w:val="20"/>
                <w:szCs w:val="20"/>
              </w:rPr>
            </w:pPr>
            <w:r w:rsidRPr="00690428">
              <w:rPr>
                <w:b/>
                <w:bCs/>
                <w:sz w:val="20"/>
                <w:szCs w:val="20"/>
              </w:rPr>
              <w:t>Condition</w:t>
            </w:r>
          </w:p>
        </w:tc>
        <w:tc>
          <w:tcPr>
            <w:tcW w:w="1559" w:type="dxa"/>
          </w:tcPr>
          <w:p w14:paraId="5ADBB46D" w14:textId="77777777" w:rsidR="006E5CA2" w:rsidRPr="00690428" w:rsidRDefault="006E5CA2" w:rsidP="006E5CA2">
            <w:pPr>
              <w:jc w:val="center"/>
              <w:rPr>
                <w:b/>
                <w:bCs/>
                <w:sz w:val="20"/>
                <w:szCs w:val="20"/>
              </w:rPr>
            </w:pPr>
            <w:r w:rsidRPr="00690428">
              <w:rPr>
                <w:b/>
                <w:bCs/>
                <w:sz w:val="20"/>
                <w:szCs w:val="20"/>
              </w:rPr>
              <w:t>C</w:t>
            </w:r>
            <w:r>
              <w:rPr>
                <w:b/>
                <w:bCs/>
                <w:sz w:val="20"/>
                <w:szCs w:val="20"/>
              </w:rPr>
              <w:t>urrent c</w:t>
            </w:r>
            <w:r w:rsidRPr="00690428">
              <w:rPr>
                <w:b/>
                <w:bCs/>
                <w:sz w:val="20"/>
                <w:szCs w:val="20"/>
              </w:rPr>
              <w:t>ompliance</w:t>
            </w:r>
          </w:p>
        </w:tc>
        <w:tc>
          <w:tcPr>
            <w:tcW w:w="1134" w:type="dxa"/>
          </w:tcPr>
          <w:p w14:paraId="39A5A7D1" w14:textId="77777777" w:rsidR="006E5CA2" w:rsidRPr="00690428" w:rsidRDefault="006E5CA2" w:rsidP="006E5CA2">
            <w:pPr>
              <w:jc w:val="center"/>
              <w:rPr>
                <w:b/>
                <w:bCs/>
                <w:sz w:val="20"/>
                <w:szCs w:val="20"/>
              </w:rPr>
            </w:pPr>
            <w:r>
              <w:rPr>
                <w:b/>
                <w:bCs/>
                <w:sz w:val="20"/>
                <w:szCs w:val="20"/>
              </w:rPr>
              <w:t>Withheld</w:t>
            </w:r>
            <w:r w:rsidRPr="00690428">
              <w:rPr>
                <w:b/>
                <w:bCs/>
                <w:sz w:val="20"/>
                <w:szCs w:val="20"/>
              </w:rPr>
              <w:t xml:space="preserve"> €mn</w:t>
            </w:r>
          </w:p>
        </w:tc>
        <w:tc>
          <w:tcPr>
            <w:tcW w:w="993" w:type="dxa"/>
          </w:tcPr>
          <w:p w14:paraId="2323DE2F" w14:textId="77777777" w:rsidR="006E5CA2" w:rsidRPr="00690428" w:rsidRDefault="006E5CA2" w:rsidP="006E5CA2">
            <w:pPr>
              <w:jc w:val="center"/>
              <w:rPr>
                <w:b/>
                <w:bCs/>
                <w:sz w:val="20"/>
                <w:szCs w:val="20"/>
              </w:rPr>
            </w:pPr>
            <w:r>
              <w:rPr>
                <w:b/>
                <w:bCs/>
                <w:sz w:val="20"/>
                <w:szCs w:val="20"/>
              </w:rPr>
              <w:t xml:space="preserve">Current </w:t>
            </w:r>
            <w:r w:rsidRPr="00690428">
              <w:rPr>
                <w:b/>
                <w:bCs/>
                <w:sz w:val="20"/>
                <w:szCs w:val="20"/>
              </w:rPr>
              <w:t>Score</w:t>
            </w:r>
          </w:p>
        </w:tc>
        <w:tc>
          <w:tcPr>
            <w:tcW w:w="1214" w:type="dxa"/>
          </w:tcPr>
          <w:p w14:paraId="320F8213" w14:textId="77777777" w:rsidR="006E5CA2" w:rsidRPr="00690428" w:rsidRDefault="006E5CA2" w:rsidP="006E5CA2">
            <w:pPr>
              <w:jc w:val="center"/>
              <w:rPr>
                <w:b/>
                <w:bCs/>
                <w:sz w:val="20"/>
                <w:szCs w:val="20"/>
              </w:rPr>
            </w:pPr>
            <w:r>
              <w:rPr>
                <w:b/>
                <w:bCs/>
                <w:sz w:val="20"/>
                <w:szCs w:val="20"/>
              </w:rPr>
              <w:t>Proposed</w:t>
            </w:r>
            <w:r w:rsidRPr="00690428">
              <w:rPr>
                <w:b/>
                <w:bCs/>
                <w:sz w:val="20"/>
                <w:szCs w:val="20"/>
              </w:rPr>
              <w:t xml:space="preserve"> </w:t>
            </w:r>
            <w:r>
              <w:rPr>
                <w:b/>
                <w:bCs/>
                <w:sz w:val="20"/>
                <w:szCs w:val="20"/>
              </w:rPr>
              <w:t xml:space="preserve">new </w:t>
            </w:r>
            <w:r w:rsidRPr="00690428">
              <w:rPr>
                <w:b/>
                <w:bCs/>
                <w:sz w:val="20"/>
                <w:szCs w:val="20"/>
              </w:rPr>
              <w:t>release €mn</w:t>
            </w:r>
          </w:p>
        </w:tc>
      </w:tr>
      <w:tr w:rsidR="006E5CA2" w:rsidRPr="00690428" w14:paraId="1D7973D3" w14:textId="77777777" w:rsidTr="006E5CA2">
        <w:trPr>
          <w:jc w:val="center"/>
        </w:trPr>
        <w:tc>
          <w:tcPr>
            <w:tcW w:w="4036" w:type="dxa"/>
            <w:shd w:val="clear" w:color="auto" w:fill="E0E0E0"/>
          </w:tcPr>
          <w:p w14:paraId="7FB89180" w14:textId="77777777" w:rsidR="006E5CA2" w:rsidRPr="00690428" w:rsidRDefault="006E5CA2" w:rsidP="006E5CA2">
            <w:pPr>
              <w:jc w:val="left"/>
              <w:rPr>
                <w:b/>
                <w:bCs/>
                <w:sz w:val="20"/>
                <w:szCs w:val="20"/>
              </w:rPr>
            </w:pPr>
            <w:r w:rsidRPr="00690428">
              <w:rPr>
                <w:b/>
                <w:bCs/>
                <w:sz w:val="20"/>
                <w:szCs w:val="20"/>
              </w:rPr>
              <w:t>A. Fixed Tranche (1</w:t>
            </w:r>
            <w:r>
              <w:rPr>
                <w:b/>
                <w:bCs/>
                <w:sz w:val="20"/>
                <w:szCs w:val="20"/>
              </w:rPr>
              <w:t>8.2</w:t>
            </w:r>
            <w:r w:rsidRPr="00690428">
              <w:rPr>
                <w:b/>
                <w:bCs/>
                <w:sz w:val="20"/>
                <w:szCs w:val="20"/>
              </w:rPr>
              <w:t>%)</w:t>
            </w:r>
          </w:p>
        </w:tc>
        <w:tc>
          <w:tcPr>
            <w:tcW w:w="1559" w:type="dxa"/>
            <w:shd w:val="clear" w:color="auto" w:fill="E0E0E0"/>
          </w:tcPr>
          <w:p w14:paraId="66B2CA3E" w14:textId="77777777" w:rsidR="006E5CA2" w:rsidRPr="00690428" w:rsidRDefault="006E5CA2" w:rsidP="006E5CA2">
            <w:pPr>
              <w:jc w:val="center"/>
              <w:rPr>
                <w:b/>
                <w:bCs/>
                <w:sz w:val="20"/>
                <w:szCs w:val="20"/>
              </w:rPr>
            </w:pPr>
            <w:r>
              <w:rPr>
                <w:b/>
                <w:bCs/>
                <w:sz w:val="20"/>
                <w:szCs w:val="20"/>
              </w:rPr>
              <w:t>released</w:t>
            </w:r>
          </w:p>
        </w:tc>
        <w:tc>
          <w:tcPr>
            <w:tcW w:w="1134" w:type="dxa"/>
            <w:shd w:val="clear" w:color="auto" w:fill="E0E0E0"/>
          </w:tcPr>
          <w:p w14:paraId="74059858" w14:textId="77777777" w:rsidR="006E5CA2" w:rsidRPr="00690428" w:rsidRDefault="006E5CA2" w:rsidP="006E5CA2">
            <w:pPr>
              <w:jc w:val="center"/>
              <w:rPr>
                <w:b/>
                <w:bCs/>
                <w:sz w:val="20"/>
                <w:szCs w:val="20"/>
              </w:rPr>
            </w:pPr>
            <w:r>
              <w:rPr>
                <w:b/>
                <w:bCs/>
                <w:sz w:val="20"/>
                <w:szCs w:val="20"/>
              </w:rPr>
              <w:t>nil</w:t>
            </w:r>
          </w:p>
        </w:tc>
        <w:tc>
          <w:tcPr>
            <w:tcW w:w="993" w:type="dxa"/>
            <w:shd w:val="clear" w:color="auto" w:fill="E0E0E0"/>
          </w:tcPr>
          <w:p w14:paraId="15B2506C" w14:textId="77777777" w:rsidR="006E5CA2" w:rsidRPr="00690428" w:rsidRDefault="006E5CA2" w:rsidP="006E5CA2">
            <w:pPr>
              <w:jc w:val="center"/>
              <w:rPr>
                <w:b/>
                <w:bCs/>
                <w:sz w:val="20"/>
                <w:szCs w:val="20"/>
              </w:rPr>
            </w:pPr>
          </w:p>
        </w:tc>
        <w:tc>
          <w:tcPr>
            <w:tcW w:w="1214" w:type="dxa"/>
            <w:shd w:val="clear" w:color="auto" w:fill="E0E0E0"/>
          </w:tcPr>
          <w:p w14:paraId="74C3FACD" w14:textId="77777777" w:rsidR="006E5CA2" w:rsidRPr="00690428" w:rsidRDefault="006E5CA2" w:rsidP="006E5CA2">
            <w:pPr>
              <w:jc w:val="center"/>
              <w:rPr>
                <w:b/>
                <w:bCs/>
                <w:sz w:val="20"/>
                <w:szCs w:val="20"/>
              </w:rPr>
            </w:pPr>
            <w:r>
              <w:rPr>
                <w:b/>
                <w:bCs/>
                <w:sz w:val="20"/>
                <w:szCs w:val="20"/>
              </w:rPr>
              <w:t>nil</w:t>
            </w:r>
          </w:p>
        </w:tc>
      </w:tr>
      <w:tr w:rsidR="006E5CA2" w:rsidRPr="00690428" w14:paraId="2252B9D8" w14:textId="77777777" w:rsidTr="006E5CA2">
        <w:trPr>
          <w:jc w:val="center"/>
        </w:trPr>
        <w:tc>
          <w:tcPr>
            <w:tcW w:w="4036" w:type="dxa"/>
            <w:shd w:val="clear" w:color="auto" w:fill="E0E0E0"/>
          </w:tcPr>
          <w:p w14:paraId="575D281D" w14:textId="77777777" w:rsidR="006E5CA2" w:rsidRPr="00690428" w:rsidRDefault="006E5CA2" w:rsidP="006E5CA2">
            <w:pPr>
              <w:jc w:val="left"/>
              <w:rPr>
                <w:b/>
                <w:bCs/>
                <w:sz w:val="20"/>
                <w:szCs w:val="20"/>
              </w:rPr>
            </w:pPr>
            <w:r w:rsidRPr="00690428">
              <w:rPr>
                <w:b/>
                <w:bCs/>
                <w:sz w:val="20"/>
                <w:szCs w:val="20"/>
              </w:rPr>
              <w:t>B. Variable Tranche (8</w:t>
            </w:r>
            <w:r>
              <w:rPr>
                <w:b/>
                <w:bCs/>
                <w:sz w:val="20"/>
                <w:szCs w:val="20"/>
              </w:rPr>
              <w:t>1.8</w:t>
            </w:r>
            <w:r w:rsidRPr="00690428">
              <w:rPr>
                <w:b/>
                <w:bCs/>
                <w:sz w:val="20"/>
                <w:szCs w:val="20"/>
              </w:rPr>
              <w:t>%)</w:t>
            </w:r>
          </w:p>
        </w:tc>
        <w:tc>
          <w:tcPr>
            <w:tcW w:w="1559" w:type="dxa"/>
            <w:shd w:val="clear" w:color="auto" w:fill="E0E0E0"/>
          </w:tcPr>
          <w:p w14:paraId="2BD8BECC" w14:textId="77777777" w:rsidR="006E5CA2" w:rsidRPr="00690428" w:rsidRDefault="006E5CA2" w:rsidP="006E5CA2">
            <w:pPr>
              <w:jc w:val="center"/>
              <w:rPr>
                <w:b/>
                <w:bCs/>
                <w:sz w:val="20"/>
                <w:szCs w:val="20"/>
              </w:rPr>
            </w:pPr>
          </w:p>
        </w:tc>
        <w:tc>
          <w:tcPr>
            <w:tcW w:w="1134" w:type="dxa"/>
            <w:shd w:val="clear" w:color="auto" w:fill="E0E0E0"/>
          </w:tcPr>
          <w:p w14:paraId="351C5EEB" w14:textId="77777777" w:rsidR="006E5CA2" w:rsidRPr="00690428" w:rsidRDefault="006E5CA2" w:rsidP="006E5CA2">
            <w:pPr>
              <w:jc w:val="center"/>
              <w:rPr>
                <w:b/>
                <w:bCs/>
                <w:sz w:val="20"/>
                <w:szCs w:val="20"/>
              </w:rPr>
            </w:pPr>
          </w:p>
        </w:tc>
        <w:tc>
          <w:tcPr>
            <w:tcW w:w="993" w:type="dxa"/>
            <w:shd w:val="clear" w:color="auto" w:fill="E0E0E0"/>
          </w:tcPr>
          <w:p w14:paraId="1C7229CD" w14:textId="77777777" w:rsidR="006E5CA2" w:rsidRPr="00690428" w:rsidRDefault="006E5CA2" w:rsidP="006E5CA2">
            <w:pPr>
              <w:jc w:val="center"/>
              <w:rPr>
                <w:b/>
                <w:bCs/>
                <w:sz w:val="20"/>
                <w:szCs w:val="20"/>
              </w:rPr>
            </w:pPr>
          </w:p>
        </w:tc>
        <w:tc>
          <w:tcPr>
            <w:tcW w:w="1214" w:type="dxa"/>
            <w:shd w:val="clear" w:color="auto" w:fill="E0E0E0"/>
          </w:tcPr>
          <w:p w14:paraId="62BA5B70" w14:textId="77777777" w:rsidR="006E5CA2" w:rsidRPr="00690428" w:rsidRDefault="006E5CA2" w:rsidP="006E5CA2">
            <w:pPr>
              <w:jc w:val="center"/>
              <w:rPr>
                <w:b/>
                <w:bCs/>
                <w:sz w:val="20"/>
                <w:szCs w:val="20"/>
              </w:rPr>
            </w:pPr>
          </w:p>
        </w:tc>
      </w:tr>
      <w:tr w:rsidR="006E5CA2" w:rsidRPr="00690428" w14:paraId="3D1384BC" w14:textId="77777777" w:rsidTr="006E5CA2">
        <w:trPr>
          <w:cantSplit/>
          <w:jc w:val="center"/>
        </w:trPr>
        <w:tc>
          <w:tcPr>
            <w:tcW w:w="8936" w:type="dxa"/>
            <w:gridSpan w:val="5"/>
            <w:shd w:val="clear" w:color="auto" w:fill="F3F3F3"/>
          </w:tcPr>
          <w:p w14:paraId="5AB06B5C" w14:textId="77777777" w:rsidR="006E5CA2" w:rsidRPr="00690428" w:rsidRDefault="006E5CA2" w:rsidP="006E5CA2">
            <w:pPr>
              <w:jc w:val="center"/>
              <w:rPr>
                <w:b/>
                <w:bCs/>
                <w:sz w:val="20"/>
                <w:szCs w:val="20"/>
              </w:rPr>
            </w:pPr>
            <w:r w:rsidRPr="00690428">
              <w:rPr>
                <w:b/>
                <w:bCs/>
                <w:sz w:val="20"/>
                <w:szCs w:val="20"/>
                <w:lang w:eastAsia="en-GB"/>
              </w:rPr>
              <w:t>Component 1: Effective Labour Market Management</w:t>
            </w:r>
            <w:r w:rsidRPr="00690428">
              <w:rPr>
                <w:b/>
                <w:bCs/>
                <w:sz w:val="20"/>
                <w:szCs w:val="20"/>
              </w:rPr>
              <w:t xml:space="preserve"> (</w:t>
            </w:r>
            <w:r>
              <w:rPr>
                <w:b/>
                <w:bCs/>
                <w:sz w:val="20"/>
                <w:szCs w:val="20"/>
              </w:rPr>
              <w:t>18.</w:t>
            </w:r>
            <w:r w:rsidRPr="00690428">
              <w:rPr>
                <w:b/>
                <w:bCs/>
                <w:sz w:val="20"/>
                <w:szCs w:val="20"/>
              </w:rPr>
              <w:t>2%)</w:t>
            </w:r>
          </w:p>
        </w:tc>
      </w:tr>
      <w:tr w:rsidR="006E5CA2" w:rsidRPr="00690428" w14:paraId="6B0CF5E2" w14:textId="77777777" w:rsidTr="006E5CA2">
        <w:trPr>
          <w:jc w:val="center"/>
        </w:trPr>
        <w:tc>
          <w:tcPr>
            <w:tcW w:w="4036" w:type="dxa"/>
          </w:tcPr>
          <w:p w14:paraId="30D7F1BF" w14:textId="77777777" w:rsidR="006E5CA2" w:rsidRPr="00690428" w:rsidRDefault="006E5CA2" w:rsidP="009C3E0C">
            <w:pPr>
              <w:widowControl w:val="0"/>
              <w:numPr>
                <w:ilvl w:val="0"/>
                <w:numId w:val="49"/>
              </w:numPr>
              <w:autoSpaceDE w:val="0"/>
              <w:autoSpaceDN w:val="0"/>
              <w:jc w:val="left"/>
              <w:rPr>
                <w:i/>
                <w:iCs/>
                <w:sz w:val="20"/>
                <w:szCs w:val="20"/>
              </w:rPr>
            </w:pPr>
            <w:r w:rsidRPr="00690428">
              <w:rPr>
                <w:i/>
                <w:iCs/>
                <w:sz w:val="20"/>
                <w:szCs w:val="20"/>
                <w:lang w:eastAsia="en-GB"/>
              </w:rPr>
              <w:t>Reliable and sustainable labour market information and forecasting</w:t>
            </w:r>
            <w:r w:rsidRPr="00690428">
              <w:rPr>
                <w:i/>
                <w:iCs/>
                <w:sz w:val="20"/>
                <w:szCs w:val="20"/>
              </w:rPr>
              <w:t>.</w:t>
            </w:r>
          </w:p>
        </w:tc>
        <w:tc>
          <w:tcPr>
            <w:tcW w:w="1559" w:type="dxa"/>
          </w:tcPr>
          <w:p w14:paraId="6761F0DE" w14:textId="77777777" w:rsidR="006E5CA2" w:rsidRPr="00690428" w:rsidRDefault="006E5CA2" w:rsidP="006E5CA2">
            <w:pPr>
              <w:jc w:val="center"/>
              <w:rPr>
                <w:sz w:val="20"/>
                <w:szCs w:val="20"/>
              </w:rPr>
            </w:pPr>
            <w:r>
              <w:rPr>
                <w:sz w:val="20"/>
                <w:szCs w:val="20"/>
              </w:rPr>
              <w:t>released</w:t>
            </w:r>
          </w:p>
        </w:tc>
        <w:tc>
          <w:tcPr>
            <w:tcW w:w="1134" w:type="dxa"/>
          </w:tcPr>
          <w:p w14:paraId="3362759A" w14:textId="77777777" w:rsidR="006E5CA2" w:rsidRPr="00690428" w:rsidRDefault="006E5CA2" w:rsidP="006E5CA2">
            <w:pPr>
              <w:jc w:val="center"/>
              <w:rPr>
                <w:sz w:val="20"/>
                <w:szCs w:val="20"/>
              </w:rPr>
            </w:pPr>
            <w:r>
              <w:rPr>
                <w:sz w:val="20"/>
                <w:szCs w:val="20"/>
              </w:rPr>
              <w:t>nil</w:t>
            </w:r>
          </w:p>
        </w:tc>
        <w:tc>
          <w:tcPr>
            <w:tcW w:w="993" w:type="dxa"/>
          </w:tcPr>
          <w:p w14:paraId="63465F92" w14:textId="77777777" w:rsidR="006E5CA2" w:rsidRPr="00690428" w:rsidRDefault="006E5CA2" w:rsidP="006E5CA2">
            <w:pPr>
              <w:jc w:val="center"/>
              <w:rPr>
                <w:sz w:val="20"/>
                <w:szCs w:val="20"/>
              </w:rPr>
            </w:pPr>
            <w:r w:rsidRPr="00690428">
              <w:rPr>
                <w:sz w:val="20"/>
                <w:szCs w:val="20"/>
              </w:rPr>
              <w:t>1.0</w:t>
            </w:r>
          </w:p>
        </w:tc>
        <w:tc>
          <w:tcPr>
            <w:tcW w:w="1214" w:type="dxa"/>
          </w:tcPr>
          <w:p w14:paraId="1DCD60F2" w14:textId="77777777" w:rsidR="006E5CA2" w:rsidRPr="00690428" w:rsidRDefault="006E5CA2" w:rsidP="006E5CA2">
            <w:pPr>
              <w:jc w:val="center"/>
              <w:rPr>
                <w:sz w:val="20"/>
                <w:szCs w:val="20"/>
              </w:rPr>
            </w:pPr>
            <w:r>
              <w:rPr>
                <w:sz w:val="20"/>
                <w:szCs w:val="20"/>
              </w:rPr>
              <w:t>nil</w:t>
            </w:r>
          </w:p>
        </w:tc>
      </w:tr>
      <w:tr w:rsidR="006E5CA2" w:rsidRPr="00690428" w14:paraId="5DF3F772" w14:textId="77777777" w:rsidTr="006E5CA2">
        <w:trPr>
          <w:jc w:val="center"/>
        </w:trPr>
        <w:tc>
          <w:tcPr>
            <w:tcW w:w="4036" w:type="dxa"/>
          </w:tcPr>
          <w:p w14:paraId="6B41D45D" w14:textId="77777777" w:rsidR="006E5CA2" w:rsidRPr="00690428" w:rsidRDefault="006E5CA2" w:rsidP="009C3E0C">
            <w:pPr>
              <w:widowControl w:val="0"/>
              <w:numPr>
                <w:ilvl w:val="0"/>
                <w:numId w:val="49"/>
              </w:numPr>
              <w:autoSpaceDE w:val="0"/>
              <w:autoSpaceDN w:val="0"/>
              <w:jc w:val="left"/>
              <w:rPr>
                <w:i/>
                <w:iCs/>
                <w:sz w:val="20"/>
                <w:szCs w:val="20"/>
              </w:rPr>
            </w:pPr>
            <w:r w:rsidRPr="00690428">
              <w:rPr>
                <w:i/>
                <w:iCs/>
                <w:sz w:val="20"/>
                <w:szCs w:val="20"/>
                <w:lang w:eastAsia="en-GB"/>
              </w:rPr>
              <w:t>Improved Quality of Employment Support Services</w:t>
            </w:r>
            <w:r w:rsidRPr="00690428">
              <w:rPr>
                <w:i/>
                <w:iCs/>
                <w:sz w:val="20"/>
                <w:szCs w:val="20"/>
              </w:rPr>
              <w:t>.</w:t>
            </w:r>
          </w:p>
        </w:tc>
        <w:tc>
          <w:tcPr>
            <w:tcW w:w="1559" w:type="dxa"/>
          </w:tcPr>
          <w:p w14:paraId="577CD7F7" w14:textId="77777777" w:rsidR="006E5CA2" w:rsidRPr="00690428" w:rsidRDefault="006E5CA2" w:rsidP="006E5CA2">
            <w:pPr>
              <w:jc w:val="center"/>
              <w:rPr>
                <w:sz w:val="20"/>
                <w:szCs w:val="20"/>
              </w:rPr>
            </w:pPr>
            <w:r>
              <w:rPr>
                <w:sz w:val="20"/>
                <w:szCs w:val="20"/>
              </w:rPr>
              <w:t>released</w:t>
            </w:r>
          </w:p>
        </w:tc>
        <w:tc>
          <w:tcPr>
            <w:tcW w:w="1134" w:type="dxa"/>
          </w:tcPr>
          <w:p w14:paraId="6B75F306" w14:textId="77777777" w:rsidR="006E5CA2" w:rsidRPr="00690428" w:rsidRDefault="006E5CA2" w:rsidP="006E5CA2">
            <w:pPr>
              <w:jc w:val="center"/>
              <w:rPr>
                <w:sz w:val="20"/>
                <w:szCs w:val="20"/>
              </w:rPr>
            </w:pPr>
            <w:r>
              <w:rPr>
                <w:sz w:val="20"/>
                <w:szCs w:val="20"/>
              </w:rPr>
              <w:t>nil</w:t>
            </w:r>
          </w:p>
        </w:tc>
        <w:tc>
          <w:tcPr>
            <w:tcW w:w="993" w:type="dxa"/>
          </w:tcPr>
          <w:p w14:paraId="26F91448" w14:textId="77777777" w:rsidR="006E5CA2" w:rsidRPr="00690428" w:rsidRDefault="006E5CA2" w:rsidP="006E5CA2">
            <w:pPr>
              <w:jc w:val="center"/>
              <w:rPr>
                <w:sz w:val="20"/>
                <w:szCs w:val="20"/>
              </w:rPr>
            </w:pPr>
            <w:r>
              <w:rPr>
                <w:sz w:val="20"/>
                <w:szCs w:val="20"/>
              </w:rPr>
              <w:t>1.0</w:t>
            </w:r>
          </w:p>
        </w:tc>
        <w:tc>
          <w:tcPr>
            <w:tcW w:w="1214" w:type="dxa"/>
          </w:tcPr>
          <w:p w14:paraId="3C8BE599" w14:textId="77777777" w:rsidR="006E5CA2" w:rsidRPr="00690428" w:rsidRDefault="006E5CA2" w:rsidP="006E5CA2">
            <w:pPr>
              <w:jc w:val="center"/>
              <w:rPr>
                <w:sz w:val="20"/>
                <w:szCs w:val="20"/>
              </w:rPr>
            </w:pPr>
            <w:r>
              <w:rPr>
                <w:sz w:val="20"/>
                <w:szCs w:val="20"/>
              </w:rPr>
              <w:t>nil</w:t>
            </w:r>
          </w:p>
        </w:tc>
      </w:tr>
      <w:tr w:rsidR="006E5CA2" w:rsidRPr="00690428" w14:paraId="13CAF518" w14:textId="77777777" w:rsidTr="006E5CA2">
        <w:trPr>
          <w:cantSplit/>
          <w:jc w:val="center"/>
        </w:trPr>
        <w:tc>
          <w:tcPr>
            <w:tcW w:w="8936" w:type="dxa"/>
            <w:gridSpan w:val="5"/>
            <w:shd w:val="clear" w:color="auto" w:fill="F3F3F3"/>
          </w:tcPr>
          <w:p w14:paraId="7368BA96" w14:textId="77777777" w:rsidR="006E5CA2" w:rsidRPr="00690428" w:rsidRDefault="006E5CA2" w:rsidP="006E5CA2">
            <w:pPr>
              <w:jc w:val="center"/>
              <w:rPr>
                <w:b/>
                <w:bCs/>
                <w:sz w:val="20"/>
                <w:szCs w:val="20"/>
              </w:rPr>
            </w:pPr>
            <w:r w:rsidRPr="00690428">
              <w:rPr>
                <w:b/>
                <w:bCs/>
                <w:sz w:val="20"/>
                <w:szCs w:val="20"/>
                <w:lang w:eastAsia="en-GB"/>
              </w:rPr>
              <w:t>Component 2: Enhanced Quality and Relevance of VET System</w:t>
            </w:r>
            <w:r w:rsidRPr="00690428">
              <w:rPr>
                <w:b/>
                <w:bCs/>
                <w:sz w:val="20"/>
                <w:szCs w:val="20"/>
              </w:rPr>
              <w:t xml:space="preserve"> (27</w:t>
            </w:r>
            <w:r>
              <w:rPr>
                <w:b/>
                <w:bCs/>
                <w:sz w:val="20"/>
                <w:szCs w:val="20"/>
              </w:rPr>
              <w:t>.3</w:t>
            </w:r>
            <w:r w:rsidRPr="00690428">
              <w:rPr>
                <w:b/>
                <w:bCs/>
                <w:sz w:val="20"/>
                <w:szCs w:val="20"/>
              </w:rPr>
              <w:t>%)</w:t>
            </w:r>
          </w:p>
        </w:tc>
      </w:tr>
      <w:tr w:rsidR="006E5CA2" w:rsidRPr="00690428" w14:paraId="19821575" w14:textId="77777777" w:rsidTr="006E5CA2">
        <w:trPr>
          <w:jc w:val="center"/>
        </w:trPr>
        <w:tc>
          <w:tcPr>
            <w:tcW w:w="4036" w:type="dxa"/>
          </w:tcPr>
          <w:p w14:paraId="6C296312" w14:textId="77777777" w:rsidR="006E5CA2" w:rsidRPr="00690428" w:rsidRDefault="006E5CA2" w:rsidP="009C3E0C">
            <w:pPr>
              <w:widowControl w:val="0"/>
              <w:numPr>
                <w:ilvl w:val="0"/>
                <w:numId w:val="50"/>
              </w:numPr>
              <w:autoSpaceDE w:val="0"/>
              <w:autoSpaceDN w:val="0"/>
              <w:jc w:val="left"/>
              <w:rPr>
                <w:i/>
                <w:iCs/>
                <w:sz w:val="20"/>
                <w:szCs w:val="20"/>
              </w:rPr>
            </w:pPr>
            <w:r w:rsidRPr="00690428">
              <w:rPr>
                <w:i/>
                <w:iCs/>
                <w:sz w:val="20"/>
                <w:szCs w:val="20"/>
                <w:lang w:eastAsia="en-GB"/>
              </w:rPr>
              <w:t>Enhanced matching of skills provided by the VET system with the needs of the labour market</w:t>
            </w:r>
            <w:r w:rsidRPr="00690428">
              <w:rPr>
                <w:i/>
                <w:iCs/>
                <w:sz w:val="20"/>
                <w:szCs w:val="20"/>
              </w:rPr>
              <w:t>.</w:t>
            </w:r>
          </w:p>
        </w:tc>
        <w:tc>
          <w:tcPr>
            <w:tcW w:w="1559" w:type="dxa"/>
          </w:tcPr>
          <w:p w14:paraId="0ACAA314" w14:textId="77777777" w:rsidR="006E5CA2" w:rsidRPr="00690428" w:rsidRDefault="006E5CA2" w:rsidP="006E5CA2">
            <w:pPr>
              <w:jc w:val="center"/>
              <w:rPr>
                <w:sz w:val="20"/>
                <w:szCs w:val="20"/>
              </w:rPr>
            </w:pPr>
            <w:r>
              <w:rPr>
                <w:sz w:val="20"/>
                <w:szCs w:val="20"/>
              </w:rPr>
              <w:t>released</w:t>
            </w:r>
          </w:p>
        </w:tc>
        <w:tc>
          <w:tcPr>
            <w:tcW w:w="1134" w:type="dxa"/>
          </w:tcPr>
          <w:p w14:paraId="1ADEDB5C" w14:textId="77777777" w:rsidR="006E5CA2" w:rsidRPr="00690428" w:rsidRDefault="006E5CA2" w:rsidP="006E5CA2">
            <w:pPr>
              <w:jc w:val="center"/>
              <w:rPr>
                <w:sz w:val="20"/>
                <w:szCs w:val="20"/>
              </w:rPr>
            </w:pPr>
            <w:r>
              <w:rPr>
                <w:sz w:val="20"/>
                <w:szCs w:val="20"/>
              </w:rPr>
              <w:t>nil</w:t>
            </w:r>
          </w:p>
        </w:tc>
        <w:tc>
          <w:tcPr>
            <w:tcW w:w="993" w:type="dxa"/>
          </w:tcPr>
          <w:p w14:paraId="72920886" w14:textId="77777777" w:rsidR="006E5CA2" w:rsidRPr="00690428" w:rsidRDefault="006E5CA2" w:rsidP="006E5CA2">
            <w:pPr>
              <w:jc w:val="center"/>
              <w:rPr>
                <w:sz w:val="20"/>
                <w:szCs w:val="20"/>
              </w:rPr>
            </w:pPr>
            <w:r w:rsidRPr="00690428">
              <w:rPr>
                <w:sz w:val="20"/>
                <w:szCs w:val="20"/>
              </w:rPr>
              <w:t>1.0</w:t>
            </w:r>
          </w:p>
        </w:tc>
        <w:tc>
          <w:tcPr>
            <w:tcW w:w="1214" w:type="dxa"/>
          </w:tcPr>
          <w:p w14:paraId="675DEE0B" w14:textId="77777777" w:rsidR="006E5CA2" w:rsidRPr="00690428" w:rsidRDefault="006E5CA2" w:rsidP="006E5CA2">
            <w:pPr>
              <w:jc w:val="center"/>
              <w:rPr>
                <w:sz w:val="20"/>
                <w:szCs w:val="20"/>
              </w:rPr>
            </w:pPr>
            <w:r>
              <w:rPr>
                <w:sz w:val="20"/>
                <w:szCs w:val="20"/>
              </w:rPr>
              <w:t>nil</w:t>
            </w:r>
          </w:p>
        </w:tc>
      </w:tr>
      <w:tr w:rsidR="006E5CA2" w:rsidRPr="00690428" w14:paraId="2E080EE6" w14:textId="77777777" w:rsidTr="006E5CA2">
        <w:trPr>
          <w:jc w:val="center"/>
        </w:trPr>
        <w:tc>
          <w:tcPr>
            <w:tcW w:w="4036" w:type="dxa"/>
          </w:tcPr>
          <w:p w14:paraId="2E7DEDD7" w14:textId="77777777" w:rsidR="006E5CA2" w:rsidRDefault="006E5CA2" w:rsidP="009C3E0C">
            <w:pPr>
              <w:widowControl w:val="0"/>
              <w:numPr>
                <w:ilvl w:val="0"/>
                <w:numId w:val="50"/>
              </w:numPr>
              <w:autoSpaceDE w:val="0"/>
              <w:autoSpaceDN w:val="0"/>
              <w:jc w:val="left"/>
              <w:rPr>
                <w:i/>
                <w:iCs/>
                <w:sz w:val="20"/>
                <w:szCs w:val="20"/>
              </w:rPr>
            </w:pPr>
            <w:r w:rsidRPr="00690428">
              <w:rPr>
                <w:i/>
                <w:iCs/>
                <w:sz w:val="20"/>
                <w:szCs w:val="20"/>
                <w:lang w:eastAsia="en-GB"/>
              </w:rPr>
              <w:t>Improved quality of VET qualifications.</w:t>
            </w:r>
          </w:p>
          <w:p w14:paraId="301A1DC2" w14:textId="77777777" w:rsidR="006E5CA2" w:rsidRPr="00690428" w:rsidRDefault="006E5CA2" w:rsidP="006E5CA2">
            <w:pPr>
              <w:widowControl w:val="0"/>
              <w:autoSpaceDE w:val="0"/>
              <w:autoSpaceDN w:val="0"/>
              <w:ind w:left="526"/>
              <w:jc w:val="left"/>
              <w:rPr>
                <w:i/>
                <w:iCs/>
                <w:sz w:val="20"/>
                <w:szCs w:val="20"/>
              </w:rPr>
            </w:pPr>
            <w:r w:rsidRPr="00AD6BA2">
              <w:rPr>
                <w:iCs/>
                <w:sz w:val="20"/>
                <w:szCs w:val="20"/>
              </w:rPr>
              <w:t xml:space="preserve">(outstanding Indicator </w:t>
            </w:r>
            <w:r>
              <w:rPr>
                <w:iCs/>
                <w:sz w:val="20"/>
                <w:szCs w:val="20"/>
              </w:rPr>
              <w:t>2.2</w:t>
            </w:r>
            <w:r w:rsidRPr="00AD6BA2">
              <w:rPr>
                <w:iCs/>
                <w:sz w:val="20"/>
                <w:szCs w:val="20"/>
              </w:rPr>
              <w:t xml:space="preserve">.2 on </w:t>
            </w:r>
            <w:r>
              <w:rPr>
                <w:iCs/>
                <w:sz w:val="20"/>
                <w:szCs w:val="20"/>
              </w:rPr>
              <w:t>revised NQF</w:t>
            </w:r>
            <w:r w:rsidRPr="00AD6BA2">
              <w:rPr>
                <w:iCs/>
                <w:sz w:val="20"/>
                <w:szCs w:val="20"/>
              </w:rPr>
              <w:t>)</w:t>
            </w:r>
          </w:p>
        </w:tc>
        <w:tc>
          <w:tcPr>
            <w:tcW w:w="1559" w:type="dxa"/>
          </w:tcPr>
          <w:p w14:paraId="74F46E58" w14:textId="77777777" w:rsidR="006E5CA2" w:rsidRDefault="006E5CA2" w:rsidP="006E5CA2">
            <w:pPr>
              <w:jc w:val="center"/>
              <w:rPr>
                <w:sz w:val="20"/>
                <w:szCs w:val="20"/>
              </w:rPr>
            </w:pPr>
            <w:r>
              <w:rPr>
                <w:sz w:val="20"/>
                <w:szCs w:val="20"/>
              </w:rPr>
              <w:t>non-</w:t>
            </w:r>
            <w:r w:rsidRPr="00690428">
              <w:rPr>
                <w:sz w:val="20"/>
                <w:szCs w:val="20"/>
              </w:rPr>
              <w:t>compliance</w:t>
            </w:r>
          </w:p>
          <w:p w14:paraId="603A2220" w14:textId="77777777" w:rsidR="006E5CA2" w:rsidRPr="00690428" w:rsidRDefault="006E5CA2" w:rsidP="006E5CA2">
            <w:pPr>
              <w:jc w:val="center"/>
              <w:rPr>
                <w:sz w:val="20"/>
                <w:szCs w:val="20"/>
              </w:rPr>
            </w:pPr>
            <w:r>
              <w:rPr>
                <w:sz w:val="20"/>
                <w:szCs w:val="20"/>
              </w:rPr>
              <w:t>(Indicator 2.2.2 still unfulfilled)</w:t>
            </w:r>
          </w:p>
        </w:tc>
        <w:tc>
          <w:tcPr>
            <w:tcW w:w="1134" w:type="dxa"/>
          </w:tcPr>
          <w:p w14:paraId="313BFEB7" w14:textId="77777777" w:rsidR="006E5CA2" w:rsidRPr="00690428" w:rsidRDefault="006E5CA2" w:rsidP="006E5CA2">
            <w:pPr>
              <w:jc w:val="center"/>
              <w:rPr>
                <w:sz w:val="20"/>
                <w:szCs w:val="20"/>
              </w:rPr>
            </w:pPr>
            <w:r>
              <w:rPr>
                <w:sz w:val="20"/>
                <w:szCs w:val="20"/>
              </w:rPr>
              <w:t>1.0</w:t>
            </w:r>
          </w:p>
        </w:tc>
        <w:tc>
          <w:tcPr>
            <w:tcW w:w="993" w:type="dxa"/>
          </w:tcPr>
          <w:p w14:paraId="65A78B32" w14:textId="77777777" w:rsidR="006E5CA2" w:rsidRPr="00690428" w:rsidRDefault="006E5CA2" w:rsidP="006E5CA2">
            <w:pPr>
              <w:jc w:val="center"/>
              <w:rPr>
                <w:sz w:val="20"/>
                <w:szCs w:val="20"/>
              </w:rPr>
            </w:pPr>
            <w:r>
              <w:rPr>
                <w:sz w:val="20"/>
                <w:szCs w:val="20"/>
              </w:rPr>
              <w:t>0.</w:t>
            </w:r>
            <w:r w:rsidRPr="00690428">
              <w:rPr>
                <w:sz w:val="20"/>
                <w:szCs w:val="20"/>
              </w:rPr>
              <w:t>0</w:t>
            </w:r>
          </w:p>
        </w:tc>
        <w:tc>
          <w:tcPr>
            <w:tcW w:w="1214" w:type="dxa"/>
          </w:tcPr>
          <w:p w14:paraId="6793D966" w14:textId="77777777" w:rsidR="006E5CA2" w:rsidRPr="00690428" w:rsidRDefault="006E5CA2" w:rsidP="006E5CA2">
            <w:pPr>
              <w:jc w:val="center"/>
              <w:rPr>
                <w:sz w:val="20"/>
                <w:szCs w:val="20"/>
              </w:rPr>
            </w:pPr>
            <w:r>
              <w:rPr>
                <w:sz w:val="20"/>
                <w:szCs w:val="20"/>
              </w:rPr>
              <w:t>nil</w:t>
            </w:r>
          </w:p>
        </w:tc>
      </w:tr>
      <w:tr w:rsidR="006E5CA2" w:rsidRPr="00690428" w14:paraId="07663D1D" w14:textId="77777777" w:rsidTr="006E5CA2">
        <w:trPr>
          <w:cantSplit/>
          <w:jc w:val="center"/>
        </w:trPr>
        <w:tc>
          <w:tcPr>
            <w:tcW w:w="8936" w:type="dxa"/>
            <w:gridSpan w:val="5"/>
            <w:shd w:val="clear" w:color="auto" w:fill="F3F3F3"/>
          </w:tcPr>
          <w:p w14:paraId="0630562A" w14:textId="77777777" w:rsidR="006E5CA2" w:rsidRPr="00690428" w:rsidRDefault="006E5CA2" w:rsidP="006E5CA2">
            <w:pPr>
              <w:jc w:val="center"/>
              <w:rPr>
                <w:b/>
                <w:bCs/>
                <w:sz w:val="20"/>
                <w:szCs w:val="20"/>
              </w:rPr>
            </w:pPr>
            <w:r w:rsidRPr="00690428">
              <w:rPr>
                <w:b/>
                <w:bCs/>
                <w:sz w:val="20"/>
                <w:szCs w:val="20"/>
                <w:lang w:eastAsia="en-GB"/>
              </w:rPr>
              <w:t>Component 3: Efficient Transition from Training into Employment</w:t>
            </w:r>
            <w:r w:rsidRPr="00690428">
              <w:rPr>
                <w:b/>
                <w:bCs/>
                <w:sz w:val="20"/>
                <w:szCs w:val="20"/>
              </w:rPr>
              <w:t xml:space="preserve"> (3</w:t>
            </w:r>
            <w:r>
              <w:rPr>
                <w:b/>
                <w:bCs/>
                <w:sz w:val="20"/>
                <w:szCs w:val="20"/>
              </w:rPr>
              <w:t>6</w:t>
            </w:r>
            <w:r w:rsidRPr="00690428">
              <w:rPr>
                <w:b/>
                <w:bCs/>
                <w:sz w:val="20"/>
                <w:szCs w:val="20"/>
              </w:rPr>
              <w:t>.3%)</w:t>
            </w:r>
          </w:p>
        </w:tc>
      </w:tr>
      <w:tr w:rsidR="006E5CA2" w:rsidRPr="00690428" w14:paraId="448E9976" w14:textId="77777777" w:rsidTr="006E5CA2">
        <w:trPr>
          <w:jc w:val="center"/>
        </w:trPr>
        <w:tc>
          <w:tcPr>
            <w:tcW w:w="4036" w:type="dxa"/>
          </w:tcPr>
          <w:p w14:paraId="78432952" w14:textId="77777777" w:rsidR="006E5CA2" w:rsidRPr="00AD6BA2" w:rsidRDefault="006E5CA2" w:rsidP="009C3E0C">
            <w:pPr>
              <w:widowControl w:val="0"/>
              <w:numPr>
                <w:ilvl w:val="0"/>
                <w:numId w:val="51"/>
              </w:numPr>
              <w:autoSpaceDE w:val="0"/>
              <w:autoSpaceDN w:val="0"/>
              <w:jc w:val="left"/>
              <w:rPr>
                <w:iCs/>
                <w:sz w:val="20"/>
                <w:szCs w:val="20"/>
              </w:rPr>
            </w:pPr>
            <w:r w:rsidRPr="00690428">
              <w:rPr>
                <w:i/>
                <w:iCs/>
                <w:sz w:val="20"/>
                <w:szCs w:val="20"/>
                <w:lang w:eastAsia="en-GB"/>
              </w:rPr>
              <w:t>Efficient transition from training to employment.</w:t>
            </w:r>
          </w:p>
          <w:p w14:paraId="439519F0" w14:textId="77777777" w:rsidR="006E5CA2" w:rsidRPr="00690428" w:rsidRDefault="006E5CA2" w:rsidP="006E5CA2">
            <w:pPr>
              <w:widowControl w:val="0"/>
              <w:autoSpaceDE w:val="0"/>
              <w:autoSpaceDN w:val="0"/>
              <w:ind w:left="526"/>
              <w:jc w:val="left"/>
              <w:rPr>
                <w:i/>
                <w:iCs/>
                <w:sz w:val="20"/>
                <w:szCs w:val="20"/>
              </w:rPr>
            </w:pPr>
            <w:r w:rsidRPr="00AD6BA2">
              <w:rPr>
                <w:iCs/>
                <w:sz w:val="20"/>
                <w:szCs w:val="20"/>
              </w:rPr>
              <w:t>(outstanding Indicator 3.1.2 on career guidance pilot)</w:t>
            </w:r>
          </w:p>
        </w:tc>
        <w:tc>
          <w:tcPr>
            <w:tcW w:w="1559" w:type="dxa"/>
          </w:tcPr>
          <w:p w14:paraId="4A10DC6F" w14:textId="77777777" w:rsidR="006E5CA2" w:rsidRDefault="006E5CA2" w:rsidP="006E5CA2">
            <w:pPr>
              <w:jc w:val="center"/>
              <w:rPr>
                <w:sz w:val="20"/>
                <w:szCs w:val="20"/>
              </w:rPr>
            </w:pPr>
            <w:r w:rsidRPr="00690428">
              <w:rPr>
                <w:sz w:val="20"/>
                <w:szCs w:val="20"/>
              </w:rPr>
              <w:t>compliance</w:t>
            </w:r>
          </w:p>
          <w:p w14:paraId="03E57CC6" w14:textId="77777777" w:rsidR="006E5CA2" w:rsidRPr="00690428" w:rsidRDefault="006E5CA2" w:rsidP="006E5CA2">
            <w:pPr>
              <w:jc w:val="center"/>
              <w:rPr>
                <w:sz w:val="20"/>
                <w:szCs w:val="20"/>
              </w:rPr>
            </w:pPr>
            <w:r>
              <w:rPr>
                <w:sz w:val="20"/>
                <w:szCs w:val="20"/>
              </w:rPr>
              <w:t>(outstanding Indicator 3.1.2 fulfilled)</w:t>
            </w:r>
          </w:p>
        </w:tc>
        <w:tc>
          <w:tcPr>
            <w:tcW w:w="1134" w:type="dxa"/>
          </w:tcPr>
          <w:p w14:paraId="15F0615E" w14:textId="77777777" w:rsidR="006E5CA2" w:rsidRPr="00690428" w:rsidRDefault="006E5CA2" w:rsidP="006E5CA2">
            <w:pPr>
              <w:jc w:val="center"/>
              <w:rPr>
                <w:sz w:val="20"/>
                <w:szCs w:val="20"/>
              </w:rPr>
            </w:pPr>
            <w:r>
              <w:rPr>
                <w:sz w:val="20"/>
                <w:szCs w:val="20"/>
              </w:rPr>
              <w:t>0.5</w:t>
            </w:r>
          </w:p>
        </w:tc>
        <w:tc>
          <w:tcPr>
            <w:tcW w:w="993" w:type="dxa"/>
          </w:tcPr>
          <w:p w14:paraId="41D417C8" w14:textId="77777777" w:rsidR="006E5CA2" w:rsidRPr="00690428" w:rsidRDefault="006E5CA2" w:rsidP="006E5CA2">
            <w:pPr>
              <w:jc w:val="center"/>
              <w:rPr>
                <w:sz w:val="20"/>
                <w:szCs w:val="20"/>
              </w:rPr>
            </w:pPr>
            <w:r>
              <w:rPr>
                <w:sz w:val="20"/>
                <w:szCs w:val="20"/>
              </w:rPr>
              <w:t>1.0</w:t>
            </w:r>
          </w:p>
        </w:tc>
        <w:tc>
          <w:tcPr>
            <w:tcW w:w="1214" w:type="dxa"/>
          </w:tcPr>
          <w:p w14:paraId="00A13C2F" w14:textId="77777777" w:rsidR="006E5CA2" w:rsidRPr="00690428" w:rsidRDefault="006E5CA2" w:rsidP="006E5CA2">
            <w:pPr>
              <w:jc w:val="center"/>
              <w:rPr>
                <w:sz w:val="20"/>
                <w:szCs w:val="20"/>
              </w:rPr>
            </w:pPr>
            <w:r>
              <w:rPr>
                <w:sz w:val="20"/>
                <w:szCs w:val="20"/>
              </w:rPr>
              <w:t>0.5</w:t>
            </w:r>
          </w:p>
        </w:tc>
      </w:tr>
      <w:tr w:rsidR="006E5CA2" w:rsidRPr="00690428" w14:paraId="28D43636" w14:textId="77777777" w:rsidTr="006E5CA2">
        <w:trPr>
          <w:jc w:val="center"/>
        </w:trPr>
        <w:tc>
          <w:tcPr>
            <w:tcW w:w="4036" w:type="dxa"/>
          </w:tcPr>
          <w:p w14:paraId="2DA21B29" w14:textId="77777777" w:rsidR="006E5CA2" w:rsidRPr="00690428" w:rsidRDefault="006E5CA2" w:rsidP="009C3E0C">
            <w:pPr>
              <w:widowControl w:val="0"/>
              <w:numPr>
                <w:ilvl w:val="0"/>
                <w:numId w:val="51"/>
              </w:numPr>
              <w:autoSpaceDE w:val="0"/>
              <w:autoSpaceDN w:val="0"/>
              <w:jc w:val="left"/>
              <w:rPr>
                <w:i/>
                <w:iCs/>
                <w:sz w:val="20"/>
                <w:szCs w:val="20"/>
              </w:rPr>
            </w:pPr>
            <w:r w:rsidRPr="00690428">
              <w:rPr>
                <w:i/>
                <w:iCs/>
                <w:sz w:val="20"/>
                <w:szCs w:val="20"/>
                <w:lang w:eastAsia="en-GB"/>
              </w:rPr>
              <w:t>Increased awareness of VET amongst potential students and employers.</w:t>
            </w:r>
          </w:p>
        </w:tc>
        <w:tc>
          <w:tcPr>
            <w:tcW w:w="1559" w:type="dxa"/>
          </w:tcPr>
          <w:p w14:paraId="3EF8CA4A" w14:textId="77777777" w:rsidR="006E5CA2" w:rsidRPr="00690428" w:rsidRDefault="006E5CA2" w:rsidP="006E5CA2">
            <w:pPr>
              <w:jc w:val="center"/>
              <w:rPr>
                <w:sz w:val="20"/>
                <w:szCs w:val="20"/>
              </w:rPr>
            </w:pPr>
            <w:r>
              <w:rPr>
                <w:sz w:val="20"/>
                <w:szCs w:val="20"/>
              </w:rPr>
              <w:t>released</w:t>
            </w:r>
          </w:p>
        </w:tc>
        <w:tc>
          <w:tcPr>
            <w:tcW w:w="1134" w:type="dxa"/>
          </w:tcPr>
          <w:p w14:paraId="69753CEA" w14:textId="77777777" w:rsidR="006E5CA2" w:rsidRPr="00690428" w:rsidRDefault="006E5CA2" w:rsidP="006E5CA2">
            <w:pPr>
              <w:jc w:val="center"/>
              <w:rPr>
                <w:sz w:val="20"/>
                <w:szCs w:val="20"/>
              </w:rPr>
            </w:pPr>
            <w:r>
              <w:rPr>
                <w:sz w:val="20"/>
                <w:szCs w:val="20"/>
              </w:rPr>
              <w:t>nil</w:t>
            </w:r>
          </w:p>
        </w:tc>
        <w:tc>
          <w:tcPr>
            <w:tcW w:w="993" w:type="dxa"/>
          </w:tcPr>
          <w:p w14:paraId="51AEDA83" w14:textId="77777777" w:rsidR="006E5CA2" w:rsidRPr="00690428" w:rsidRDefault="006E5CA2" w:rsidP="006E5CA2">
            <w:pPr>
              <w:jc w:val="center"/>
              <w:rPr>
                <w:sz w:val="20"/>
                <w:szCs w:val="20"/>
              </w:rPr>
            </w:pPr>
            <w:r w:rsidRPr="00690428">
              <w:rPr>
                <w:sz w:val="20"/>
                <w:szCs w:val="20"/>
              </w:rPr>
              <w:t>1.0</w:t>
            </w:r>
          </w:p>
        </w:tc>
        <w:tc>
          <w:tcPr>
            <w:tcW w:w="1214" w:type="dxa"/>
          </w:tcPr>
          <w:p w14:paraId="3C01B6F2" w14:textId="77777777" w:rsidR="006E5CA2" w:rsidRPr="00690428" w:rsidRDefault="006E5CA2" w:rsidP="006E5CA2">
            <w:pPr>
              <w:jc w:val="center"/>
              <w:rPr>
                <w:sz w:val="20"/>
                <w:szCs w:val="20"/>
              </w:rPr>
            </w:pPr>
            <w:r>
              <w:rPr>
                <w:sz w:val="20"/>
                <w:szCs w:val="20"/>
              </w:rPr>
              <w:t>nil</w:t>
            </w:r>
          </w:p>
        </w:tc>
      </w:tr>
      <w:tr w:rsidR="006E5CA2" w:rsidRPr="00690428" w14:paraId="109406AC" w14:textId="77777777" w:rsidTr="006E5CA2">
        <w:trPr>
          <w:jc w:val="center"/>
        </w:trPr>
        <w:tc>
          <w:tcPr>
            <w:tcW w:w="4036" w:type="dxa"/>
          </w:tcPr>
          <w:p w14:paraId="7030765A" w14:textId="77777777" w:rsidR="006E5CA2" w:rsidRDefault="006E5CA2" w:rsidP="009C3E0C">
            <w:pPr>
              <w:widowControl w:val="0"/>
              <w:numPr>
                <w:ilvl w:val="0"/>
                <w:numId w:val="51"/>
              </w:numPr>
              <w:autoSpaceDE w:val="0"/>
              <w:autoSpaceDN w:val="0"/>
              <w:jc w:val="left"/>
              <w:rPr>
                <w:i/>
                <w:iCs/>
                <w:sz w:val="20"/>
                <w:szCs w:val="20"/>
              </w:rPr>
            </w:pPr>
            <w:r w:rsidRPr="00690428">
              <w:rPr>
                <w:i/>
                <w:iCs/>
                <w:sz w:val="20"/>
                <w:szCs w:val="20"/>
                <w:lang w:eastAsia="en-GB"/>
              </w:rPr>
              <w:t>Enhanced social partnership.</w:t>
            </w:r>
          </w:p>
          <w:p w14:paraId="0E395881" w14:textId="77777777" w:rsidR="006E5CA2" w:rsidRPr="00690428" w:rsidRDefault="006E5CA2" w:rsidP="006E5CA2">
            <w:pPr>
              <w:widowControl w:val="0"/>
              <w:autoSpaceDE w:val="0"/>
              <w:autoSpaceDN w:val="0"/>
              <w:ind w:left="526"/>
              <w:jc w:val="left"/>
              <w:rPr>
                <w:i/>
                <w:iCs/>
                <w:sz w:val="20"/>
                <w:szCs w:val="20"/>
              </w:rPr>
            </w:pPr>
            <w:r w:rsidRPr="00AD6BA2">
              <w:rPr>
                <w:iCs/>
                <w:sz w:val="20"/>
                <w:szCs w:val="20"/>
              </w:rPr>
              <w:t>(outstanding Indicator 3.</w:t>
            </w:r>
            <w:r>
              <w:rPr>
                <w:iCs/>
                <w:sz w:val="20"/>
                <w:szCs w:val="20"/>
              </w:rPr>
              <w:t>3.</w:t>
            </w:r>
            <w:r w:rsidRPr="00AD6BA2">
              <w:rPr>
                <w:iCs/>
                <w:sz w:val="20"/>
                <w:szCs w:val="20"/>
              </w:rPr>
              <w:t xml:space="preserve">1 on </w:t>
            </w:r>
            <w:r>
              <w:rPr>
                <w:iCs/>
                <w:sz w:val="20"/>
                <w:szCs w:val="20"/>
              </w:rPr>
              <w:t>workbased learning concept</w:t>
            </w:r>
            <w:r w:rsidRPr="00AD6BA2">
              <w:rPr>
                <w:iCs/>
                <w:sz w:val="20"/>
                <w:szCs w:val="20"/>
              </w:rPr>
              <w:t>)</w:t>
            </w:r>
          </w:p>
        </w:tc>
        <w:tc>
          <w:tcPr>
            <w:tcW w:w="1559" w:type="dxa"/>
          </w:tcPr>
          <w:p w14:paraId="4904FF71" w14:textId="77777777" w:rsidR="006E5CA2" w:rsidRDefault="006E5CA2" w:rsidP="006E5CA2">
            <w:pPr>
              <w:jc w:val="center"/>
              <w:rPr>
                <w:sz w:val="20"/>
                <w:szCs w:val="20"/>
              </w:rPr>
            </w:pPr>
            <w:r>
              <w:rPr>
                <w:sz w:val="20"/>
                <w:szCs w:val="20"/>
              </w:rPr>
              <w:t>***partial-</w:t>
            </w:r>
            <w:r w:rsidRPr="00690428">
              <w:rPr>
                <w:sz w:val="20"/>
                <w:szCs w:val="20"/>
              </w:rPr>
              <w:t>compliance</w:t>
            </w:r>
          </w:p>
          <w:p w14:paraId="5FC85CD4" w14:textId="77777777" w:rsidR="006E5CA2" w:rsidRPr="00690428" w:rsidRDefault="006E5CA2" w:rsidP="006E5CA2">
            <w:pPr>
              <w:jc w:val="center"/>
              <w:rPr>
                <w:sz w:val="20"/>
                <w:szCs w:val="20"/>
              </w:rPr>
            </w:pPr>
            <w:r>
              <w:rPr>
                <w:sz w:val="20"/>
                <w:szCs w:val="20"/>
              </w:rPr>
              <w:t>(not eligible for reassessment)</w:t>
            </w:r>
          </w:p>
        </w:tc>
        <w:tc>
          <w:tcPr>
            <w:tcW w:w="1134" w:type="dxa"/>
          </w:tcPr>
          <w:p w14:paraId="249E157F" w14:textId="77777777" w:rsidR="006E5CA2" w:rsidRPr="00690428" w:rsidRDefault="006E5CA2" w:rsidP="006E5CA2">
            <w:pPr>
              <w:jc w:val="center"/>
              <w:rPr>
                <w:sz w:val="20"/>
                <w:szCs w:val="20"/>
              </w:rPr>
            </w:pPr>
            <w:r w:rsidRPr="00690428">
              <w:rPr>
                <w:sz w:val="20"/>
                <w:szCs w:val="20"/>
              </w:rPr>
              <w:t>0.</w:t>
            </w:r>
            <w:r>
              <w:rPr>
                <w:sz w:val="20"/>
                <w:szCs w:val="20"/>
              </w:rPr>
              <w:t>2</w:t>
            </w:r>
            <w:r w:rsidRPr="00690428">
              <w:rPr>
                <w:sz w:val="20"/>
                <w:szCs w:val="20"/>
              </w:rPr>
              <w:t>5</w:t>
            </w:r>
          </w:p>
        </w:tc>
        <w:tc>
          <w:tcPr>
            <w:tcW w:w="993" w:type="dxa"/>
          </w:tcPr>
          <w:p w14:paraId="5FAB72DD" w14:textId="77777777" w:rsidR="006E5CA2" w:rsidRPr="00690428" w:rsidRDefault="006E5CA2" w:rsidP="006E5CA2">
            <w:pPr>
              <w:jc w:val="center"/>
              <w:rPr>
                <w:sz w:val="20"/>
                <w:szCs w:val="20"/>
              </w:rPr>
            </w:pPr>
            <w:r>
              <w:rPr>
                <w:sz w:val="20"/>
                <w:szCs w:val="20"/>
              </w:rPr>
              <w:t>nil</w:t>
            </w:r>
          </w:p>
        </w:tc>
        <w:tc>
          <w:tcPr>
            <w:tcW w:w="1214" w:type="dxa"/>
          </w:tcPr>
          <w:p w14:paraId="4F627E4C" w14:textId="77777777" w:rsidR="006E5CA2" w:rsidRPr="00690428" w:rsidRDefault="006E5CA2" w:rsidP="006E5CA2">
            <w:pPr>
              <w:jc w:val="center"/>
              <w:rPr>
                <w:sz w:val="20"/>
                <w:szCs w:val="20"/>
              </w:rPr>
            </w:pPr>
            <w:r>
              <w:rPr>
                <w:sz w:val="20"/>
                <w:szCs w:val="20"/>
              </w:rPr>
              <w:t>nil</w:t>
            </w:r>
          </w:p>
        </w:tc>
      </w:tr>
      <w:tr w:rsidR="006E5CA2" w:rsidRPr="00690428" w14:paraId="16967F03" w14:textId="77777777" w:rsidTr="006E5CA2">
        <w:trPr>
          <w:cantSplit/>
          <w:jc w:val="center"/>
        </w:trPr>
        <w:tc>
          <w:tcPr>
            <w:tcW w:w="5595" w:type="dxa"/>
            <w:gridSpan w:val="2"/>
            <w:shd w:val="clear" w:color="auto" w:fill="E0E0E0"/>
          </w:tcPr>
          <w:p w14:paraId="19D0BEE4" w14:textId="77777777" w:rsidR="006E5CA2" w:rsidRPr="00690428" w:rsidRDefault="006E5CA2" w:rsidP="006E5CA2">
            <w:pPr>
              <w:jc w:val="left"/>
              <w:rPr>
                <w:b/>
                <w:bCs/>
                <w:sz w:val="20"/>
                <w:szCs w:val="20"/>
              </w:rPr>
            </w:pPr>
            <w:r>
              <w:rPr>
                <w:b/>
                <w:bCs/>
                <w:sz w:val="20"/>
                <w:szCs w:val="20"/>
              </w:rPr>
              <w:t xml:space="preserve">Outstanding </w:t>
            </w:r>
            <w:r w:rsidRPr="00690428">
              <w:rPr>
                <w:b/>
                <w:bCs/>
                <w:sz w:val="20"/>
                <w:szCs w:val="20"/>
              </w:rPr>
              <w:t>Variable Tranche assessment</w:t>
            </w:r>
          </w:p>
          <w:p w14:paraId="7837F276" w14:textId="77777777" w:rsidR="006E5CA2" w:rsidRPr="00690428" w:rsidRDefault="006E5CA2" w:rsidP="006E5CA2">
            <w:pPr>
              <w:jc w:val="left"/>
              <w:rPr>
                <w:sz w:val="20"/>
                <w:szCs w:val="20"/>
              </w:rPr>
            </w:pPr>
            <w:r w:rsidRPr="00690428">
              <w:rPr>
                <w:sz w:val="20"/>
                <w:szCs w:val="20"/>
              </w:rPr>
              <w:t>(full compliance fixed tranche</w:t>
            </w:r>
            <w:r>
              <w:rPr>
                <w:sz w:val="20"/>
                <w:szCs w:val="20"/>
              </w:rPr>
              <w:t xml:space="preserve"> agreed previously</w:t>
            </w:r>
            <w:r w:rsidRPr="00690428">
              <w:rPr>
                <w:sz w:val="20"/>
                <w:szCs w:val="20"/>
              </w:rPr>
              <w:t>)</w:t>
            </w:r>
          </w:p>
        </w:tc>
        <w:tc>
          <w:tcPr>
            <w:tcW w:w="1134" w:type="dxa"/>
            <w:shd w:val="clear" w:color="auto" w:fill="E0E0E0"/>
          </w:tcPr>
          <w:p w14:paraId="155D9D91" w14:textId="77777777" w:rsidR="006E5CA2" w:rsidRPr="00690428" w:rsidRDefault="006E5CA2" w:rsidP="006E5CA2">
            <w:pPr>
              <w:jc w:val="center"/>
              <w:rPr>
                <w:b/>
                <w:bCs/>
                <w:sz w:val="20"/>
                <w:szCs w:val="20"/>
              </w:rPr>
            </w:pPr>
            <w:r>
              <w:rPr>
                <w:b/>
                <w:bCs/>
                <w:sz w:val="20"/>
                <w:szCs w:val="20"/>
              </w:rPr>
              <w:t>1.75</w:t>
            </w:r>
          </w:p>
        </w:tc>
        <w:tc>
          <w:tcPr>
            <w:tcW w:w="993" w:type="dxa"/>
            <w:shd w:val="clear" w:color="auto" w:fill="E0E0E0"/>
          </w:tcPr>
          <w:p w14:paraId="43729187" w14:textId="77777777" w:rsidR="006E5CA2" w:rsidRPr="00690428" w:rsidRDefault="006E5CA2" w:rsidP="006E5CA2">
            <w:pPr>
              <w:jc w:val="center"/>
              <w:rPr>
                <w:b/>
                <w:bCs/>
                <w:sz w:val="20"/>
                <w:szCs w:val="20"/>
              </w:rPr>
            </w:pPr>
          </w:p>
        </w:tc>
        <w:tc>
          <w:tcPr>
            <w:tcW w:w="1214" w:type="dxa"/>
            <w:shd w:val="clear" w:color="auto" w:fill="E0E0E0"/>
          </w:tcPr>
          <w:p w14:paraId="1D45B752" w14:textId="77777777" w:rsidR="006E5CA2" w:rsidRPr="00690428" w:rsidRDefault="006E5CA2" w:rsidP="006E5CA2">
            <w:pPr>
              <w:jc w:val="center"/>
              <w:rPr>
                <w:b/>
                <w:bCs/>
                <w:sz w:val="20"/>
                <w:szCs w:val="20"/>
              </w:rPr>
            </w:pPr>
            <w:r>
              <w:rPr>
                <w:b/>
                <w:bCs/>
                <w:sz w:val="20"/>
                <w:szCs w:val="20"/>
              </w:rPr>
              <w:t>0.5</w:t>
            </w:r>
          </w:p>
        </w:tc>
      </w:tr>
      <w:tr w:rsidR="006E5CA2" w:rsidRPr="00690428" w14:paraId="3D2C8147" w14:textId="77777777" w:rsidTr="006E5CA2">
        <w:trPr>
          <w:cantSplit/>
          <w:jc w:val="center"/>
        </w:trPr>
        <w:tc>
          <w:tcPr>
            <w:tcW w:w="5595" w:type="dxa"/>
            <w:gridSpan w:val="2"/>
            <w:shd w:val="clear" w:color="auto" w:fill="E0E0E0"/>
          </w:tcPr>
          <w:p w14:paraId="26934EBD" w14:textId="77777777" w:rsidR="006E5CA2" w:rsidRPr="00690428" w:rsidRDefault="006E5CA2" w:rsidP="006E5CA2">
            <w:pPr>
              <w:jc w:val="left"/>
              <w:rPr>
                <w:b/>
                <w:bCs/>
                <w:sz w:val="20"/>
                <w:szCs w:val="20"/>
              </w:rPr>
            </w:pPr>
            <w:r w:rsidRPr="00690428">
              <w:rPr>
                <w:b/>
                <w:bCs/>
                <w:sz w:val="20"/>
                <w:szCs w:val="20"/>
              </w:rPr>
              <w:t xml:space="preserve">Total </w:t>
            </w:r>
            <w:r>
              <w:rPr>
                <w:b/>
                <w:bCs/>
                <w:sz w:val="20"/>
                <w:szCs w:val="20"/>
              </w:rPr>
              <w:t xml:space="preserve">Additional </w:t>
            </w:r>
            <w:r w:rsidRPr="00690428">
              <w:rPr>
                <w:b/>
                <w:bCs/>
                <w:sz w:val="20"/>
                <w:szCs w:val="20"/>
              </w:rPr>
              <w:t xml:space="preserve">Third Instalment Funds for Release </w:t>
            </w:r>
          </w:p>
        </w:tc>
        <w:tc>
          <w:tcPr>
            <w:tcW w:w="1134" w:type="dxa"/>
            <w:shd w:val="clear" w:color="auto" w:fill="E0E0E0"/>
          </w:tcPr>
          <w:p w14:paraId="7C40686C" w14:textId="77777777" w:rsidR="006E5CA2" w:rsidRPr="00690428" w:rsidRDefault="006E5CA2" w:rsidP="006E5CA2">
            <w:pPr>
              <w:jc w:val="center"/>
              <w:rPr>
                <w:b/>
                <w:bCs/>
                <w:sz w:val="20"/>
                <w:szCs w:val="20"/>
              </w:rPr>
            </w:pPr>
            <w:r>
              <w:rPr>
                <w:b/>
                <w:bCs/>
                <w:sz w:val="20"/>
                <w:szCs w:val="20"/>
              </w:rPr>
              <w:t>1.75</w:t>
            </w:r>
          </w:p>
        </w:tc>
        <w:tc>
          <w:tcPr>
            <w:tcW w:w="993" w:type="dxa"/>
            <w:shd w:val="clear" w:color="auto" w:fill="E0E0E0"/>
          </w:tcPr>
          <w:p w14:paraId="4DF2E72D" w14:textId="77777777" w:rsidR="006E5CA2" w:rsidRPr="00690428" w:rsidRDefault="006E5CA2" w:rsidP="006E5CA2">
            <w:pPr>
              <w:jc w:val="center"/>
              <w:rPr>
                <w:b/>
                <w:bCs/>
                <w:sz w:val="20"/>
                <w:szCs w:val="20"/>
              </w:rPr>
            </w:pPr>
          </w:p>
        </w:tc>
        <w:tc>
          <w:tcPr>
            <w:tcW w:w="1214" w:type="dxa"/>
            <w:shd w:val="clear" w:color="auto" w:fill="E0E0E0"/>
          </w:tcPr>
          <w:p w14:paraId="7A9B9192" w14:textId="77777777" w:rsidR="006E5CA2" w:rsidRPr="00690428" w:rsidRDefault="006E5CA2" w:rsidP="006E5CA2">
            <w:pPr>
              <w:jc w:val="center"/>
              <w:rPr>
                <w:b/>
                <w:bCs/>
                <w:sz w:val="20"/>
                <w:szCs w:val="20"/>
              </w:rPr>
            </w:pPr>
            <w:r>
              <w:rPr>
                <w:b/>
                <w:bCs/>
                <w:sz w:val="20"/>
                <w:szCs w:val="20"/>
              </w:rPr>
              <w:t>0.5</w:t>
            </w:r>
          </w:p>
        </w:tc>
      </w:tr>
    </w:tbl>
    <w:p w14:paraId="6F6868B7" w14:textId="77777777" w:rsidR="006E5CA2" w:rsidRDefault="006E5CA2" w:rsidP="006E5CA2">
      <w:pPr>
        <w:rPr>
          <w:sz w:val="20"/>
          <w:szCs w:val="20"/>
        </w:rPr>
      </w:pPr>
      <w:r w:rsidRPr="00F91E2B">
        <w:rPr>
          <w:sz w:val="20"/>
          <w:szCs w:val="20"/>
        </w:rPr>
        <w:t xml:space="preserve">Notes: </w:t>
      </w:r>
    </w:p>
    <w:p w14:paraId="13863237" w14:textId="77777777" w:rsidR="006E5CA2" w:rsidRDefault="006E5CA2" w:rsidP="006E5CA2">
      <w:pPr>
        <w:ind w:left="1276" w:hanging="709"/>
        <w:rPr>
          <w:sz w:val="20"/>
          <w:szCs w:val="20"/>
        </w:rPr>
      </w:pPr>
      <w:r>
        <w:rPr>
          <w:sz w:val="20"/>
          <w:szCs w:val="20"/>
        </w:rPr>
        <w:t>*    2.2.2 the revised NQF remains in draft pending adoption of the new VET Law.</w:t>
      </w:r>
    </w:p>
    <w:p w14:paraId="1E4113AB" w14:textId="77777777" w:rsidR="006E5CA2" w:rsidRDefault="006E5CA2" w:rsidP="006E5CA2">
      <w:pPr>
        <w:ind w:left="1276" w:hanging="709"/>
        <w:rPr>
          <w:sz w:val="20"/>
          <w:szCs w:val="20"/>
        </w:rPr>
      </w:pPr>
      <w:r>
        <w:rPr>
          <w:sz w:val="20"/>
          <w:szCs w:val="20"/>
        </w:rPr>
        <w:t>**  3.1.2 the pilot was completed in 2016, and covered the required 'at least public 18 VET institutions and 5 centres of ESS.</w:t>
      </w:r>
    </w:p>
    <w:p w14:paraId="419C36A0" w14:textId="77777777" w:rsidR="006E5CA2" w:rsidRPr="00F91E2B" w:rsidRDefault="006E5CA2" w:rsidP="006E5CA2">
      <w:pPr>
        <w:ind w:left="1276" w:hanging="709"/>
        <w:rPr>
          <w:sz w:val="20"/>
          <w:szCs w:val="20"/>
        </w:rPr>
      </w:pPr>
      <w:r w:rsidRPr="00F91E2B">
        <w:rPr>
          <w:sz w:val="20"/>
          <w:szCs w:val="20"/>
        </w:rPr>
        <w:t>*</w:t>
      </w:r>
      <w:r>
        <w:rPr>
          <w:sz w:val="20"/>
          <w:szCs w:val="20"/>
        </w:rPr>
        <w:t>**</w:t>
      </w:r>
      <w:r w:rsidRPr="00F91E2B">
        <w:rPr>
          <w:sz w:val="20"/>
          <w:szCs w:val="20"/>
        </w:rPr>
        <w:t xml:space="preserve"> </w:t>
      </w:r>
      <w:r>
        <w:rPr>
          <w:sz w:val="20"/>
          <w:szCs w:val="20"/>
        </w:rPr>
        <w:t xml:space="preserve">3.3.1: </w:t>
      </w:r>
      <w:r w:rsidRPr="00F91E2B">
        <w:rPr>
          <w:sz w:val="20"/>
          <w:szCs w:val="20"/>
        </w:rPr>
        <w:t>the Review previously assessed the Government as in compliance with this Specific Condition. EU determined that there was inadequate evidence of a Ministerial decision approving a concept for work-based learning for Indicator 3.3.3. However, the Review considers the Indicator met as the Concept was '</w:t>
      </w:r>
      <w:r w:rsidRPr="00F91E2B">
        <w:rPr>
          <w:i/>
          <w:sz w:val="20"/>
          <w:szCs w:val="20"/>
        </w:rPr>
        <w:t xml:space="preserve">elaborated, published and discussed </w:t>
      </w:r>
      <w:r w:rsidRPr="00F91E2B">
        <w:rPr>
          <w:i/>
          <w:sz w:val="20"/>
          <w:szCs w:val="20"/>
        </w:rPr>
        <w:lastRenderedPageBreak/>
        <w:t>with stakeholders</w:t>
      </w:r>
      <w:r w:rsidRPr="00F91E2B">
        <w:rPr>
          <w:sz w:val="20"/>
          <w:szCs w:val="20"/>
        </w:rPr>
        <w:t>' and approved by the NVETC (involving the Ministry and social partners), submission to which by the Ministry is tantamount to Ministerial approval.</w:t>
      </w:r>
    </w:p>
    <w:p w14:paraId="115497CD" w14:textId="77777777" w:rsidR="006E5CA2" w:rsidRDefault="006E5CA2" w:rsidP="006E5CA2"/>
    <w:p w14:paraId="75504DD7" w14:textId="77777777" w:rsidR="006E5CA2" w:rsidRPr="00DB29A5" w:rsidRDefault="006E5CA2" w:rsidP="006E5CA2">
      <w:pPr>
        <w:rPr>
          <w:b/>
        </w:rPr>
      </w:pPr>
      <w:r w:rsidRPr="00DB29A5">
        <w:rPr>
          <w:b/>
        </w:rPr>
        <w:t>i</w:t>
      </w:r>
      <w:r>
        <w:rPr>
          <w:b/>
        </w:rPr>
        <w:t>ii</w:t>
      </w:r>
      <w:r w:rsidRPr="00DB29A5">
        <w:rPr>
          <w:b/>
        </w:rPr>
        <w:t>)</w:t>
      </w:r>
      <w:r w:rsidRPr="00DB29A5">
        <w:rPr>
          <w:b/>
        </w:rPr>
        <w:tab/>
      </w:r>
      <w:r>
        <w:rPr>
          <w:b/>
        </w:rPr>
        <w:t>Overall Summary</w:t>
      </w:r>
    </w:p>
    <w:p w14:paraId="24C71E0E" w14:textId="77777777" w:rsidR="006E5CA2" w:rsidRDefault="006E5CA2" w:rsidP="006E5CA2"/>
    <w:p w14:paraId="05D8B6C3" w14:textId="77777777" w:rsidR="006E5CA2" w:rsidRDefault="006E5CA2" w:rsidP="006E5CA2">
      <w:r>
        <w:t>With consideration of Fourth Instalment disbursement conditions and the status of outstanding Third Instalment Indicators combined, the Review considers the Government to be eligible to receive €6.5mn (€6.0mn of a potential €7.5mn (80%) for the Fourth Instalment and €0.5mn of an outstanding €1.75mn (28.6%) from the Third Instalment), 72% of the total amount of €9.0mn potentially available (reassessment of Third Instalment Indicator 3.3.1 not being agreed in the EU Third Instalment disbursement decision).</w:t>
      </w:r>
    </w:p>
    <w:p w14:paraId="65E808BD" w14:textId="77777777" w:rsidR="006E5CA2" w:rsidRDefault="006E5CA2" w:rsidP="006E5CA2"/>
    <w:p w14:paraId="4CB1D5D8" w14:textId="77777777" w:rsidR="00587CC1" w:rsidRDefault="00587CC1"/>
    <w:p w14:paraId="070F45F9" w14:textId="77777777" w:rsidR="009601AE" w:rsidRDefault="009601AE" w:rsidP="009E3730">
      <w:pPr>
        <w:widowControl w:val="0"/>
        <w:suppressAutoHyphens/>
        <w:jc w:val="center"/>
        <w:rPr>
          <w:b/>
          <w:bCs/>
          <w:sz w:val="28"/>
          <w:szCs w:val="28"/>
        </w:rPr>
        <w:sectPr w:rsidR="009601AE" w:rsidSect="00C90833">
          <w:headerReference w:type="default" r:id="rId34"/>
          <w:footerReference w:type="default" r:id="rId35"/>
          <w:pgSz w:w="11909" w:h="16834" w:code="9"/>
          <w:pgMar w:top="1411" w:right="1411" w:bottom="1411" w:left="1411" w:header="706" w:footer="706" w:gutter="0"/>
          <w:pgNumType w:start="1"/>
          <w:cols w:space="709"/>
        </w:sectPr>
      </w:pPr>
    </w:p>
    <w:p w14:paraId="6FFC0A4A" w14:textId="5654B415" w:rsidR="009601AE" w:rsidRDefault="009601AE" w:rsidP="009E3730">
      <w:pPr>
        <w:pStyle w:val="Heading1"/>
        <w:widowControl w:val="0"/>
        <w:suppressAutoHyphens/>
      </w:pPr>
      <w:bookmarkStart w:id="79" w:name="_Toc353527393"/>
      <w:bookmarkStart w:id="80" w:name="_Toc419079100"/>
      <w:bookmarkStart w:id="81" w:name="_Toc486837774"/>
      <w:r>
        <w:lastRenderedPageBreak/>
        <w:t>Appendix 1: Persons Contacted (November 2016</w:t>
      </w:r>
      <w:r w:rsidR="00827CF5">
        <w:t>/April 2017</w:t>
      </w:r>
      <w:r>
        <w:t>)</w:t>
      </w:r>
      <w:bookmarkEnd w:id="79"/>
      <w:bookmarkEnd w:id="80"/>
      <w:bookmarkEnd w:id="81"/>
    </w:p>
    <w:p w14:paraId="3323B8DD" w14:textId="77777777" w:rsidR="009601AE" w:rsidRDefault="009601AE" w:rsidP="009E3730">
      <w:pPr>
        <w:widowControl w:val="0"/>
        <w:numPr>
          <w:ilvl w:val="12"/>
          <w:numId w:val="0"/>
        </w:numPr>
        <w:suppressAutoHyphens/>
        <w:jc w:val="center"/>
        <w:rPr>
          <w:b/>
          <w:bCs/>
        </w:rPr>
      </w:pPr>
    </w:p>
    <w:tbl>
      <w:tblPr>
        <w:tblW w:w="90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589"/>
        <w:gridCol w:w="5414"/>
      </w:tblGrid>
      <w:tr w:rsidR="009601AE" w:rsidRPr="00690428" w14:paraId="49B61892" w14:textId="77777777" w:rsidTr="00C90833">
        <w:trPr>
          <w:jc w:val="center"/>
        </w:trPr>
        <w:tc>
          <w:tcPr>
            <w:tcW w:w="3589" w:type="dxa"/>
            <w:shd w:val="pct20" w:color="auto" w:fill="auto"/>
          </w:tcPr>
          <w:p w14:paraId="7C77B30C" w14:textId="77777777" w:rsidR="009601AE" w:rsidRPr="00690428" w:rsidRDefault="009601AE" w:rsidP="009E3730">
            <w:pPr>
              <w:widowControl w:val="0"/>
              <w:suppressAutoHyphens/>
              <w:jc w:val="center"/>
              <w:rPr>
                <w:b/>
                <w:bCs/>
                <w:smallCaps/>
                <w:sz w:val="20"/>
                <w:szCs w:val="20"/>
              </w:rPr>
            </w:pPr>
            <w:r w:rsidRPr="00690428">
              <w:rPr>
                <w:b/>
                <w:bCs/>
                <w:smallCaps/>
                <w:sz w:val="20"/>
                <w:szCs w:val="20"/>
              </w:rPr>
              <w:t xml:space="preserve">Person </w:t>
            </w:r>
          </w:p>
        </w:tc>
        <w:tc>
          <w:tcPr>
            <w:tcW w:w="5414" w:type="dxa"/>
            <w:shd w:val="pct20" w:color="auto" w:fill="auto"/>
          </w:tcPr>
          <w:p w14:paraId="171CDF7A" w14:textId="77777777" w:rsidR="009601AE" w:rsidRPr="00690428" w:rsidRDefault="009601AE" w:rsidP="009E3730">
            <w:pPr>
              <w:widowControl w:val="0"/>
              <w:suppressAutoHyphens/>
              <w:jc w:val="center"/>
              <w:rPr>
                <w:b/>
                <w:bCs/>
                <w:smallCaps/>
                <w:sz w:val="20"/>
                <w:szCs w:val="20"/>
              </w:rPr>
            </w:pPr>
            <w:r w:rsidRPr="00690428">
              <w:rPr>
                <w:b/>
                <w:bCs/>
                <w:smallCaps/>
                <w:sz w:val="20"/>
                <w:szCs w:val="20"/>
              </w:rPr>
              <w:t xml:space="preserve">Position </w:t>
            </w:r>
          </w:p>
        </w:tc>
      </w:tr>
      <w:tr w:rsidR="009601AE" w:rsidRPr="00690428" w14:paraId="57A8816F" w14:textId="77777777" w:rsidTr="00C90833">
        <w:trPr>
          <w:jc w:val="center"/>
        </w:trPr>
        <w:tc>
          <w:tcPr>
            <w:tcW w:w="9003" w:type="dxa"/>
            <w:gridSpan w:val="2"/>
          </w:tcPr>
          <w:p w14:paraId="69D97D4A" w14:textId="77777777" w:rsidR="009601AE" w:rsidRPr="00690428" w:rsidRDefault="009601AE" w:rsidP="009E3730">
            <w:pPr>
              <w:widowControl w:val="0"/>
              <w:suppressAutoHyphens/>
              <w:jc w:val="left"/>
              <w:rPr>
                <w:b/>
                <w:bCs/>
                <w:sz w:val="20"/>
                <w:szCs w:val="20"/>
              </w:rPr>
            </w:pPr>
            <w:r w:rsidRPr="00690428">
              <w:rPr>
                <w:b/>
                <w:bCs/>
                <w:sz w:val="20"/>
                <w:szCs w:val="20"/>
              </w:rPr>
              <w:t>Ministry of Education and Science (MoES)</w:t>
            </w:r>
          </w:p>
        </w:tc>
      </w:tr>
      <w:tr w:rsidR="009601AE" w:rsidRPr="00096526" w14:paraId="06088FC2" w14:textId="77777777" w:rsidTr="00C90833">
        <w:trPr>
          <w:jc w:val="center"/>
        </w:trPr>
        <w:tc>
          <w:tcPr>
            <w:tcW w:w="3589" w:type="dxa"/>
          </w:tcPr>
          <w:p w14:paraId="767A5B55" w14:textId="77777777" w:rsidR="009601AE" w:rsidRPr="00096526" w:rsidRDefault="009601AE" w:rsidP="009E3730">
            <w:pPr>
              <w:widowControl w:val="0"/>
              <w:suppressAutoHyphens/>
              <w:jc w:val="left"/>
              <w:rPr>
                <w:sz w:val="20"/>
                <w:szCs w:val="20"/>
              </w:rPr>
            </w:pPr>
            <w:r w:rsidRPr="00096526">
              <w:rPr>
                <w:sz w:val="20"/>
                <w:szCs w:val="20"/>
              </w:rPr>
              <w:t>Ms Ketevan Natriashvili</w:t>
            </w:r>
          </w:p>
        </w:tc>
        <w:tc>
          <w:tcPr>
            <w:tcW w:w="5414" w:type="dxa"/>
          </w:tcPr>
          <w:p w14:paraId="4F0ECE2E" w14:textId="0A8D7F58" w:rsidR="009601AE" w:rsidRPr="00096526" w:rsidRDefault="00827CF5" w:rsidP="009E3730">
            <w:pPr>
              <w:widowControl w:val="0"/>
              <w:suppressAutoHyphens/>
              <w:jc w:val="left"/>
              <w:rPr>
                <w:sz w:val="20"/>
                <w:szCs w:val="20"/>
              </w:rPr>
            </w:pPr>
            <w:r>
              <w:rPr>
                <w:sz w:val="20"/>
                <w:szCs w:val="20"/>
              </w:rPr>
              <w:t xml:space="preserve">First </w:t>
            </w:r>
            <w:r w:rsidR="009601AE" w:rsidRPr="00096526">
              <w:rPr>
                <w:sz w:val="20"/>
                <w:szCs w:val="20"/>
              </w:rPr>
              <w:t>Deputy Minister (with special responsibility for VET)</w:t>
            </w:r>
          </w:p>
        </w:tc>
      </w:tr>
      <w:tr w:rsidR="009601AE" w:rsidRPr="00096526" w14:paraId="61893D60" w14:textId="77777777" w:rsidTr="00C90833">
        <w:trPr>
          <w:jc w:val="center"/>
        </w:trPr>
        <w:tc>
          <w:tcPr>
            <w:tcW w:w="3589" w:type="dxa"/>
          </w:tcPr>
          <w:p w14:paraId="117FBF2D" w14:textId="77777777" w:rsidR="009601AE" w:rsidRPr="00096526" w:rsidRDefault="009601AE" w:rsidP="009E3730">
            <w:pPr>
              <w:widowControl w:val="0"/>
              <w:suppressAutoHyphens/>
              <w:jc w:val="left"/>
              <w:rPr>
                <w:sz w:val="20"/>
                <w:szCs w:val="20"/>
              </w:rPr>
            </w:pPr>
            <w:r w:rsidRPr="00096526">
              <w:rPr>
                <w:sz w:val="20"/>
                <w:szCs w:val="20"/>
              </w:rPr>
              <w:t>Ms Irine Tserodze</w:t>
            </w:r>
          </w:p>
        </w:tc>
        <w:tc>
          <w:tcPr>
            <w:tcW w:w="5414" w:type="dxa"/>
          </w:tcPr>
          <w:p w14:paraId="6CD5CF93" w14:textId="77777777" w:rsidR="009601AE" w:rsidRPr="00096526" w:rsidRDefault="009601AE" w:rsidP="009E3730">
            <w:pPr>
              <w:widowControl w:val="0"/>
              <w:suppressAutoHyphens/>
              <w:jc w:val="left"/>
              <w:rPr>
                <w:sz w:val="20"/>
                <w:szCs w:val="20"/>
              </w:rPr>
            </w:pPr>
            <w:r w:rsidRPr="00096526">
              <w:rPr>
                <w:sz w:val="20"/>
                <w:szCs w:val="20"/>
              </w:rPr>
              <w:t>Head, Vocational Education Development Dept (VEDD)</w:t>
            </w:r>
          </w:p>
        </w:tc>
      </w:tr>
      <w:tr w:rsidR="009601AE" w:rsidRPr="00096526" w14:paraId="7F6D1020" w14:textId="77777777" w:rsidTr="00C90833">
        <w:trPr>
          <w:jc w:val="center"/>
        </w:trPr>
        <w:tc>
          <w:tcPr>
            <w:tcW w:w="3589" w:type="dxa"/>
          </w:tcPr>
          <w:p w14:paraId="69047931" w14:textId="77777777" w:rsidR="009601AE" w:rsidRPr="00096526" w:rsidRDefault="009601AE" w:rsidP="009E3730">
            <w:pPr>
              <w:widowControl w:val="0"/>
              <w:suppressAutoHyphens/>
              <w:jc w:val="left"/>
              <w:rPr>
                <w:sz w:val="20"/>
                <w:szCs w:val="20"/>
              </w:rPr>
            </w:pPr>
            <w:r w:rsidRPr="00096526">
              <w:rPr>
                <w:sz w:val="20"/>
                <w:szCs w:val="20"/>
              </w:rPr>
              <w:t>Ms Marika Zakareishvili</w:t>
            </w:r>
          </w:p>
        </w:tc>
        <w:tc>
          <w:tcPr>
            <w:tcW w:w="5414" w:type="dxa"/>
          </w:tcPr>
          <w:p w14:paraId="6BAA4D86" w14:textId="77777777" w:rsidR="009601AE" w:rsidRPr="00096526" w:rsidRDefault="009601AE" w:rsidP="009E3730">
            <w:pPr>
              <w:widowControl w:val="0"/>
              <w:suppressAutoHyphens/>
              <w:jc w:val="left"/>
              <w:rPr>
                <w:sz w:val="20"/>
                <w:szCs w:val="20"/>
              </w:rPr>
            </w:pPr>
            <w:r w:rsidRPr="00096526">
              <w:rPr>
                <w:sz w:val="20"/>
                <w:szCs w:val="20"/>
              </w:rPr>
              <w:t>Head, Social Partnership Division, VEDD</w:t>
            </w:r>
          </w:p>
        </w:tc>
      </w:tr>
      <w:tr w:rsidR="009601AE" w:rsidRPr="00096526" w14:paraId="60A7C0DB" w14:textId="77777777" w:rsidTr="00C90833">
        <w:trPr>
          <w:jc w:val="center"/>
        </w:trPr>
        <w:tc>
          <w:tcPr>
            <w:tcW w:w="3589" w:type="dxa"/>
          </w:tcPr>
          <w:p w14:paraId="1610A4F9" w14:textId="77777777" w:rsidR="009601AE" w:rsidRPr="00096526" w:rsidRDefault="009601AE" w:rsidP="009E3730">
            <w:pPr>
              <w:widowControl w:val="0"/>
              <w:suppressAutoHyphens/>
              <w:jc w:val="left"/>
              <w:rPr>
                <w:sz w:val="20"/>
                <w:szCs w:val="20"/>
              </w:rPr>
            </w:pPr>
            <w:r w:rsidRPr="00096526">
              <w:rPr>
                <w:sz w:val="20"/>
                <w:szCs w:val="20"/>
              </w:rPr>
              <w:t>Ms Tamar Samkharadze</w:t>
            </w:r>
          </w:p>
        </w:tc>
        <w:tc>
          <w:tcPr>
            <w:tcW w:w="5414" w:type="dxa"/>
          </w:tcPr>
          <w:p w14:paraId="179595FD" w14:textId="77777777" w:rsidR="009601AE" w:rsidRPr="00096526" w:rsidRDefault="009601AE" w:rsidP="009E3730">
            <w:pPr>
              <w:widowControl w:val="0"/>
              <w:suppressAutoHyphens/>
              <w:jc w:val="left"/>
              <w:rPr>
                <w:sz w:val="20"/>
                <w:szCs w:val="20"/>
              </w:rPr>
            </w:pPr>
            <w:r w:rsidRPr="00096526">
              <w:rPr>
                <w:sz w:val="20"/>
                <w:szCs w:val="20"/>
              </w:rPr>
              <w:t>Head, Policy Division, VEDD</w:t>
            </w:r>
          </w:p>
        </w:tc>
      </w:tr>
      <w:tr w:rsidR="009601AE" w:rsidRPr="00096526" w14:paraId="4308C5FF" w14:textId="77777777" w:rsidTr="00C90833">
        <w:trPr>
          <w:jc w:val="center"/>
        </w:trPr>
        <w:tc>
          <w:tcPr>
            <w:tcW w:w="9003" w:type="dxa"/>
            <w:gridSpan w:val="2"/>
          </w:tcPr>
          <w:p w14:paraId="1E9E895F" w14:textId="77777777" w:rsidR="009601AE" w:rsidRPr="00096526" w:rsidRDefault="009601AE" w:rsidP="009E3730">
            <w:pPr>
              <w:widowControl w:val="0"/>
              <w:suppressAutoHyphens/>
              <w:jc w:val="left"/>
              <w:rPr>
                <w:b/>
                <w:bCs/>
                <w:sz w:val="20"/>
                <w:szCs w:val="20"/>
              </w:rPr>
            </w:pPr>
            <w:r w:rsidRPr="00096526">
              <w:rPr>
                <w:b/>
                <w:bCs/>
                <w:sz w:val="20"/>
                <w:szCs w:val="20"/>
              </w:rPr>
              <w:t xml:space="preserve"> - National Centre for Educational Quality Enhancement LEPL (NCEQE)</w:t>
            </w:r>
          </w:p>
        </w:tc>
      </w:tr>
      <w:tr w:rsidR="009601AE" w:rsidRPr="00096526" w14:paraId="67F08A91" w14:textId="77777777" w:rsidTr="00C90833">
        <w:trPr>
          <w:jc w:val="center"/>
        </w:trPr>
        <w:tc>
          <w:tcPr>
            <w:tcW w:w="3589" w:type="dxa"/>
          </w:tcPr>
          <w:p w14:paraId="42A0A23A" w14:textId="77777777" w:rsidR="009601AE" w:rsidRPr="00096526" w:rsidRDefault="009601AE" w:rsidP="009E3730">
            <w:pPr>
              <w:widowControl w:val="0"/>
              <w:suppressAutoHyphens/>
              <w:jc w:val="left"/>
              <w:rPr>
                <w:sz w:val="20"/>
                <w:szCs w:val="20"/>
              </w:rPr>
            </w:pPr>
            <w:r w:rsidRPr="00096526">
              <w:rPr>
                <w:sz w:val="20"/>
                <w:szCs w:val="20"/>
              </w:rPr>
              <w:t>Mr Kakhaber Eradze</w:t>
            </w:r>
          </w:p>
        </w:tc>
        <w:tc>
          <w:tcPr>
            <w:tcW w:w="5414" w:type="dxa"/>
          </w:tcPr>
          <w:p w14:paraId="277C55B3" w14:textId="77777777" w:rsidR="009601AE" w:rsidRPr="00096526" w:rsidRDefault="009601AE" w:rsidP="009E3730">
            <w:pPr>
              <w:widowControl w:val="0"/>
              <w:suppressAutoHyphens/>
              <w:jc w:val="left"/>
              <w:rPr>
                <w:sz w:val="20"/>
                <w:szCs w:val="20"/>
              </w:rPr>
            </w:pPr>
            <w:r w:rsidRPr="00096526">
              <w:rPr>
                <w:sz w:val="20"/>
                <w:szCs w:val="20"/>
              </w:rPr>
              <w:t>Manager, TVET Qual</w:t>
            </w:r>
            <w:r w:rsidR="00C90833">
              <w:rPr>
                <w:sz w:val="20"/>
                <w:szCs w:val="20"/>
              </w:rPr>
              <w:t>'</w:t>
            </w:r>
            <w:r w:rsidRPr="00096526">
              <w:rPr>
                <w:sz w:val="20"/>
                <w:szCs w:val="20"/>
              </w:rPr>
              <w:t>s System Support Proj</w:t>
            </w:r>
            <w:r w:rsidR="00C90833">
              <w:rPr>
                <w:sz w:val="20"/>
                <w:szCs w:val="20"/>
              </w:rPr>
              <w:t>. (TQSSP)</w:t>
            </w:r>
          </w:p>
        </w:tc>
      </w:tr>
      <w:tr w:rsidR="009601AE" w:rsidRPr="00096526" w14:paraId="1191A804" w14:textId="77777777" w:rsidTr="00C90833">
        <w:trPr>
          <w:jc w:val="center"/>
        </w:trPr>
        <w:tc>
          <w:tcPr>
            <w:tcW w:w="3589" w:type="dxa"/>
          </w:tcPr>
          <w:p w14:paraId="1200D504" w14:textId="77777777" w:rsidR="009601AE" w:rsidRPr="00096526" w:rsidRDefault="009601AE" w:rsidP="009E3730">
            <w:pPr>
              <w:widowControl w:val="0"/>
              <w:suppressAutoHyphens/>
              <w:jc w:val="left"/>
              <w:rPr>
                <w:sz w:val="20"/>
                <w:szCs w:val="20"/>
              </w:rPr>
            </w:pPr>
            <w:r w:rsidRPr="00096526">
              <w:rPr>
                <w:sz w:val="20"/>
                <w:szCs w:val="20"/>
              </w:rPr>
              <w:t>Ms Nani Dalakishvili</w:t>
            </w:r>
          </w:p>
        </w:tc>
        <w:tc>
          <w:tcPr>
            <w:tcW w:w="5414" w:type="dxa"/>
          </w:tcPr>
          <w:p w14:paraId="44F8A2FD" w14:textId="77777777" w:rsidR="009601AE" w:rsidRPr="00096526" w:rsidRDefault="00C90833" w:rsidP="009E3730">
            <w:pPr>
              <w:widowControl w:val="0"/>
              <w:suppressAutoHyphens/>
              <w:jc w:val="left"/>
              <w:rPr>
                <w:sz w:val="20"/>
                <w:szCs w:val="20"/>
              </w:rPr>
            </w:pPr>
            <w:r>
              <w:rPr>
                <w:sz w:val="20"/>
                <w:szCs w:val="20"/>
              </w:rPr>
              <w:t>Coordinator, Modular Programme Implementation, TQSSP</w:t>
            </w:r>
          </w:p>
        </w:tc>
      </w:tr>
      <w:tr w:rsidR="009601AE" w:rsidRPr="00096526" w14:paraId="188ED3A6" w14:textId="77777777" w:rsidTr="00C90833">
        <w:trPr>
          <w:jc w:val="center"/>
        </w:trPr>
        <w:tc>
          <w:tcPr>
            <w:tcW w:w="9003" w:type="dxa"/>
            <w:gridSpan w:val="2"/>
          </w:tcPr>
          <w:p w14:paraId="1BE76EB5" w14:textId="77777777" w:rsidR="009601AE" w:rsidRPr="00096526" w:rsidRDefault="009601AE" w:rsidP="009E3730">
            <w:pPr>
              <w:widowControl w:val="0"/>
              <w:suppressAutoHyphens/>
              <w:jc w:val="left"/>
              <w:rPr>
                <w:b/>
                <w:bCs/>
                <w:sz w:val="20"/>
                <w:szCs w:val="20"/>
              </w:rPr>
            </w:pPr>
            <w:r w:rsidRPr="00096526">
              <w:rPr>
                <w:b/>
                <w:bCs/>
                <w:sz w:val="20"/>
                <w:szCs w:val="20"/>
              </w:rPr>
              <w:t xml:space="preserve"> - National Centre for Teachers’ Professional Development LEPL (NCTPD)</w:t>
            </w:r>
          </w:p>
        </w:tc>
      </w:tr>
      <w:tr w:rsidR="009601AE" w:rsidRPr="00096526" w14:paraId="483DCDF0" w14:textId="77777777" w:rsidTr="00C90833">
        <w:trPr>
          <w:jc w:val="center"/>
        </w:trPr>
        <w:tc>
          <w:tcPr>
            <w:tcW w:w="3589" w:type="dxa"/>
          </w:tcPr>
          <w:p w14:paraId="3A5A3C21" w14:textId="77777777" w:rsidR="009601AE" w:rsidRPr="00096526" w:rsidRDefault="009601AE" w:rsidP="009E3730">
            <w:pPr>
              <w:widowControl w:val="0"/>
              <w:suppressAutoHyphens/>
              <w:jc w:val="left"/>
              <w:rPr>
                <w:sz w:val="20"/>
                <w:szCs w:val="20"/>
              </w:rPr>
            </w:pPr>
            <w:r w:rsidRPr="00096526">
              <w:rPr>
                <w:sz w:val="20"/>
                <w:szCs w:val="20"/>
              </w:rPr>
              <w:t>Ms Nino Elbakidze</w:t>
            </w:r>
          </w:p>
        </w:tc>
        <w:tc>
          <w:tcPr>
            <w:tcW w:w="5414" w:type="dxa"/>
          </w:tcPr>
          <w:p w14:paraId="32C19A00" w14:textId="77777777" w:rsidR="009601AE" w:rsidRPr="00096526" w:rsidRDefault="009601AE" w:rsidP="009E3730">
            <w:pPr>
              <w:widowControl w:val="0"/>
              <w:suppressAutoHyphens/>
              <w:jc w:val="left"/>
              <w:rPr>
                <w:sz w:val="20"/>
                <w:szCs w:val="20"/>
                <w:lang w:val="ru-RU"/>
              </w:rPr>
            </w:pPr>
            <w:r w:rsidRPr="00096526">
              <w:rPr>
                <w:sz w:val="20"/>
                <w:szCs w:val="20"/>
              </w:rPr>
              <w:t>Manager, VET Teachers Professional Devt Programme</w:t>
            </w:r>
          </w:p>
        </w:tc>
      </w:tr>
      <w:tr w:rsidR="009601AE" w:rsidRPr="00096526" w14:paraId="792FF479" w14:textId="77777777" w:rsidTr="00C90833">
        <w:trPr>
          <w:jc w:val="center"/>
        </w:trPr>
        <w:tc>
          <w:tcPr>
            <w:tcW w:w="3589" w:type="dxa"/>
          </w:tcPr>
          <w:p w14:paraId="06124529" w14:textId="77777777" w:rsidR="009601AE" w:rsidRPr="00096526" w:rsidRDefault="009601AE" w:rsidP="009E3730">
            <w:pPr>
              <w:widowControl w:val="0"/>
              <w:suppressAutoHyphens/>
              <w:jc w:val="left"/>
              <w:rPr>
                <w:sz w:val="20"/>
                <w:szCs w:val="20"/>
              </w:rPr>
            </w:pPr>
            <w:r w:rsidRPr="00096526">
              <w:rPr>
                <w:sz w:val="20"/>
                <w:szCs w:val="20"/>
              </w:rPr>
              <w:t>Ms Marika Pirtskhalava</w:t>
            </w:r>
          </w:p>
        </w:tc>
        <w:tc>
          <w:tcPr>
            <w:tcW w:w="5414" w:type="dxa"/>
          </w:tcPr>
          <w:p w14:paraId="05F3E8A0" w14:textId="77777777" w:rsidR="009601AE" w:rsidRPr="00096526" w:rsidRDefault="009601AE" w:rsidP="009E3730">
            <w:pPr>
              <w:widowControl w:val="0"/>
              <w:suppressAutoHyphens/>
              <w:jc w:val="left"/>
              <w:rPr>
                <w:sz w:val="20"/>
                <w:szCs w:val="20"/>
              </w:rPr>
            </w:pPr>
            <w:r w:rsidRPr="00096526">
              <w:rPr>
                <w:sz w:val="20"/>
                <w:szCs w:val="20"/>
              </w:rPr>
              <w:t>Professional Development Programme Consultant</w:t>
            </w:r>
          </w:p>
        </w:tc>
      </w:tr>
      <w:tr w:rsidR="009601AE" w:rsidRPr="00096526" w14:paraId="2E94E081" w14:textId="77777777" w:rsidTr="00C90833">
        <w:trPr>
          <w:jc w:val="center"/>
        </w:trPr>
        <w:tc>
          <w:tcPr>
            <w:tcW w:w="9003" w:type="dxa"/>
            <w:gridSpan w:val="2"/>
          </w:tcPr>
          <w:p w14:paraId="3FC2C88F" w14:textId="77777777" w:rsidR="009601AE" w:rsidRPr="00096526" w:rsidRDefault="009601AE" w:rsidP="009E3730">
            <w:pPr>
              <w:widowControl w:val="0"/>
              <w:suppressAutoHyphens/>
              <w:jc w:val="left"/>
              <w:rPr>
                <w:b/>
                <w:bCs/>
                <w:sz w:val="20"/>
                <w:szCs w:val="20"/>
              </w:rPr>
            </w:pPr>
            <w:r w:rsidRPr="00096526">
              <w:rPr>
                <w:b/>
                <w:bCs/>
                <w:sz w:val="20"/>
                <w:szCs w:val="20"/>
              </w:rPr>
              <w:t xml:space="preserve"> - Education Management Information System "EMIS", Tbilsi (College) LEPL</w:t>
            </w:r>
          </w:p>
        </w:tc>
      </w:tr>
      <w:tr w:rsidR="009601AE" w:rsidRPr="00096526" w14:paraId="1519D12F" w14:textId="77777777" w:rsidTr="00C90833">
        <w:trPr>
          <w:jc w:val="center"/>
        </w:trPr>
        <w:tc>
          <w:tcPr>
            <w:tcW w:w="3589" w:type="dxa"/>
          </w:tcPr>
          <w:p w14:paraId="20758470" w14:textId="77777777" w:rsidR="009601AE" w:rsidRPr="00096526" w:rsidRDefault="009601AE" w:rsidP="009E3730">
            <w:pPr>
              <w:widowControl w:val="0"/>
              <w:suppressAutoHyphens/>
              <w:jc w:val="left"/>
              <w:rPr>
                <w:sz w:val="20"/>
                <w:szCs w:val="20"/>
              </w:rPr>
            </w:pPr>
            <w:r w:rsidRPr="00096526">
              <w:rPr>
                <w:sz w:val="20"/>
                <w:szCs w:val="20"/>
              </w:rPr>
              <w:t>Mr Lasha Verulava</w:t>
            </w:r>
          </w:p>
        </w:tc>
        <w:tc>
          <w:tcPr>
            <w:tcW w:w="5414" w:type="dxa"/>
          </w:tcPr>
          <w:p w14:paraId="576692C7" w14:textId="77777777" w:rsidR="009601AE" w:rsidRPr="00096526" w:rsidRDefault="009601AE" w:rsidP="009E3730">
            <w:pPr>
              <w:widowControl w:val="0"/>
              <w:suppressAutoHyphens/>
              <w:rPr>
                <w:sz w:val="20"/>
                <w:szCs w:val="20"/>
              </w:rPr>
            </w:pPr>
            <w:r w:rsidRPr="00096526">
              <w:rPr>
                <w:sz w:val="20"/>
                <w:szCs w:val="20"/>
                <w:lang w:val="ru-RU"/>
              </w:rPr>
              <w:t>Director</w:t>
            </w:r>
          </w:p>
        </w:tc>
      </w:tr>
      <w:tr w:rsidR="009601AE" w:rsidRPr="00096526" w14:paraId="7124FA19" w14:textId="77777777" w:rsidTr="00C90833">
        <w:trPr>
          <w:jc w:val="center"/>
        </w:trPr>
        <w:tc>
          <w:tcPr>
            <w:tcW w:w="9003" w:type="dxa"/>
            <w:gridSpan w:val="2"/>
          </w:tcPr>
          <w:p w14:paraId="1A7AB957" w14:textId="77777777" w:rsidR="009601AE" w:rsidRPr="00096526" w:rsidRDefault="009601AE" w:rsidP="009E3730">
            <w:pPr>
              <w:widowControl w:val="0"/>
              <w:suppressAutoHyphens/>
              <w:jc w:val="left"/>
              <w:rPr>
                <w:b/>
                <w:bCs/>
                <w:sz w:val="20"/>
                <w:szCs w:val="20"/>
              </w:rPr>
            </w:pPr>
            <w:r w:rsidRPr="00096526">
              <w:rPr>
                <w:b/>
                <w:bCs/>
                <w:sz w:val="20"/>
                <w:szCs w:val="20"/>
              </w:rPr>
              <w:t>Ministry of Labour Health and Social Affairs (MoLHSA)</w:t>
            </w:r>
          </w:p>
        </w:tc>
      </w:tr>
      <w:tr w:rsidR="009601AE" w:rsidRPr="00096526" w14:paraId="4D3DC394" w14:textId="77777777" w:rsidTr="00C90833">
        <w:trPr>
          <w:trHeight w:val="115"/>
          <w:jc w:val="center"/>
        </w:trPr>
        <w:tc>
          <w:tcPr>
            <w:tcW w:w="3589" w:type="dxa"/>
          </w:tcPr>
          <w:p w14:paraId="329B7377" w14:textId="77777777" w:rsidR="009601AE" w:rsidRPr="00096526" w:rsidRDefault="009601AE" w:rsidP="009E3730">
            <w:pPr>
              <w:widowControl w:val="0"/>
              <w:suppressAutoHyphens/>
              <w:jc w:val="left"/>
              <w:rPr>
                <w:sz w:val="20"/>
                <w:szCs w:val="20"/>
              </w:rPr>
            </w:pPr>
            <w:r w:rsidRPr="00096526">
              <w:rPr>
                <w:sz w:val="20"/>
                <w:szCs w:val="20"/>
              </w:rPr>
              <w:t>Ms Nino Berdzuli</w:t>
            </w:r>
          </w:p>
        </w:tc>
        <w:tc>
          <w:tcPr>
            <w:tcW w:w="5414" w:type="dxa"/>
          </w:tcPr>
          <w:p w14:paraId="10A962BE" w14:textId="77777777" w:rsidR="009601AE" w:rsidRPr="00096526" w:rsidRDefault="009601AE" w:rsidP="009E3730">
            <w:pPr>
              <w:widowControl w:val="0"/>
              <w:suppressAutoHyphens/>
              <w:rPr>
                <w:sz w:val="20"/>
                <w:szCs w:val="20"/>
              </w:rPr>
            </w:pPr>
            <w:r w:rsidRPr="00096526">
              <w:rPr>
                <w:sz w:val="20"/>
                <w:szCs w:val="20"/>
              </w:rPr>
              <w:t>Deputy Minister (International Relations and Employment)</w:t>
            </w:r>
          </w:p>
        </w:tc>
      </w:tr>
      <w:tr w:rsidR="009601AE" w:rsidRPr="00096526" w14:paraId="3655E431" w14:textId="77777777" w:rsidTr="00C90833">
        <w:trPr>
          <w:trHeight w:val="115"/>
          <w:jc w:val="center"/>
        </w:trPr>
        <w:tc>
          <w:tcPr>
            <w:tcW w:w="3589" w:type="dxa"/>
          </w:tcPr>
          <w:p w14:paraId="5584D337" w14:textId="77777777" w:rsidR="009601AE" w:rsidRPr="00096526" w:rsidRDefault="009601AE" w:rsidP="009E3730">
            <w:pPr>
              <w:widowControl w:val="0"/>
              <w:suppressAutoHyphens/>
              <w:jc w:val="left"/>
              <w:rPr>
                <w:sz w:val="20"/>
                <w:szCs w:val="20"/>
              </w:rPr>
            </w:pPr>
            <w:r w:rsidRPr="00096526">
              <w:rPr>
                <w:sz w:val="20"/>
                <w:szCs w:val="20"/>
              </w:rPr>
              <w:t>Mr Zaza Sopromadze</w:t>
            </w:r>
          </w:p>
        </w:tc>
        <w:tc>
          <w:tcPr>
            <w:tcW w:w="5414" w:type="dxa"/>
          </w:tcPr>
          <w:p w14:paraId="63A7C5A3" w14:textId="77777777" w:rsidR="009601AE" w:rsidRPr="00096526" w:rsidRDefault="009601AE" w:rsidP="009E3730">
            <w:pPr>
              <w:widowControl w:val="0"/>
              <w:suppressAutoHyphens/>
              <w:rPr>
                <w:sz w:val="20"/>
                <w:szCs w:val="20"/>
              </w:rPr>
            </w:pPr>
            <w:r w:rsidRPr="00096526">
              <w:rPr>
                <w:sz w:val="20"/>
                <w:szCs w:val="20"/>
              </w:rPr>
              <w:t>Deputy Minister (Social Protection/SSA)</w:t>
            </w:r>
          </w:p>
        </w:tc>
      </w:tr>
      <w:tr w:rsidR="009601AE" w:rsidRPr="00096526" w14:paraId="487A24B9" w14:textId="77777777" w:rsidTr="00C90833">
        <w:trPr>
          <w:jc w:val="center"/>
        </w:trPr>
        <w:tc>
          <w:tcPr>
            <w:tcW w:w="3589" w:type="dxa"/>
          </w:tcPr>
          <w:p w14:paraId="18200DCF" w14:textId="77777777" w:rsidR="009601AE" w:rsidRPr="00096526" w:rsidRDefault="009601AE" w:rsidP="009E3730">
            <w:pPr>
              <w:widowControl w:val="0"/>
              <w:suppressAutoHyphens/>
              <w:jc w:val="left"/>
              <w:rPr>
                <w:sz w:val="20"/>
                <w:szCs w:val="20"/>
              </w:rPr>
            </w:pPr>
            <w:r w:rsidRPr="00096526">
              <w:rPr>
                <w:sz w:val="20"/>
                <w:szCs w:val="20"/>
              </w:rPr>
              <w:t>Ms Elza Jgerenaia</w:t>
            </w:r>
          </w:p>
        </w:tc>
        <w:tc>
          <w:tcPr>
            <w:tcW w:w="5414" w:type="dxa"/>
          </w:tcPr>
          <w:p w14:paraId="20BE8828" w14:textId="77777777" w:rsidR="009601AE" w:rsidRPr="00096526" w:rsidRDefault="009601AE" w:rsidP="009E3730">
            <w:pPr>
              <w:widowControl w:val="0"/>
              <w:suppressAutoHyphens/>
              <w:rPr>
                <w:sz w:val="20"/>
                <w:szCs w:val="20"/>
              </w:rPr>
            </w:pPr>
            <w:r w:rsidRPr="00096526">
              <w:rPr>
                <w:sz w:val="20"/>
                <w:szCs w:val="20"/>
              </w:rPr>
              <w:t>Head, Labour and Employment Policy Dept</w:t>
            </w:r>
          </w:p>
        </w:tc>
      </w:tr>
      <w:tr w:rsidR="009601AE" w:rsidRPr="00096526" w14:paraId="04281AA4" w14:textId="77777777" w:rsidTr="00C90833">
        <w:trPr>
          <w:jc w:val="center"/>
        </w:trPr>
        <w:tc>
          <w:tcPr>
            <w:tcW w:w="3589" w:type="dxa"/>
          </w:tcPr>
          <w:p w14:paraId="10DF9DE8" w14:textId="77777777" w:rsidR="009601AE" w:rsidRPr="00096526" w:rsidRDefault="00C90833" w:rsidP="009E3730">
            <w:pPr>
              <w:widowControl w:val="0"/>
              <w:suppressAutoHyphens/>
              <w:jc w:val="left"/>
              <w:rPr>
                <w:sz w:val="20"/>
                <w:szCs w:val="20"/>
              </w:rPr>
            </w:pPr>
            <w:r>
              <w:rPr>
                <w:sz w:val="20"/>
                <w:szCs w:val="20"/>
              </w:rPr>
              <w:t>Mr P</w:t>
            </w:r>
            <w:r w:rsidR="009601AE" w:rsidRPr="00096526">
              <w:rPr>
                <w:sz w:val="20"/>
                <w:szCs w:val="20"/>
              </w:rPr>
              <w:t>aata Jorjoliani</w:t>
            </w:r>
          </w:p>
        </w:tc>
        <w:tc>
          <w:tcPr>
            <w:tcW w:w="5414" w:type="dxa"/>
          </w:tcPr>
          <w:p w14:paraId="6DB998CE" w14:textId="77777777" w:rsidR="009601AE" w:rsidRPr="00096526" w:rsidRDefault="009601AE" w:rsidP="009E3730">
            <w:pPr>
              <w:widowControl w:val="0"/>
              <w:suppressAutoHyphens/>
              <w:rPr>
                <w:sz w:val="20"/>
                <w:szCs w:val="20"/>
              </w:rPr>
            </w:pPr>
            <w:r w:rsidRPr="00096526">
              <w:rPr>
                <w:sz w:val="20"/>
                <w:szCs w:val="20"/>
              </w:rPr>
              <w:t xml:space="preserve">Deputy Head, Labour and Employment Policy Dept </w:t>
            </w:r>
          </w:p>
        </w:tc>
      </w:tr>
      <w:tr w:rsidR="009601AE" w:rsidRPr="00096526" w14:paraId="3EC8F26B" w14:textId="77777777" w:rsidTr="00C90833">
        <w:trPr>
          <w:jc w:val="center"/>
        </w:trPr>
        <w:tc>
          <w:tcPr>
            <w:tcW w:w="3589" w:type="dxa"/>
          </w:tcPr>
          <w:p w14:paraId="1192A62D" w14:textId="77777777" w:rsidR="009601AE" w:rsidRPr="00096526" w:rsidRDefault="009601AE" w:rsidP="009E3730">
            <w:pPr>
              <w:widowControl w:val="0"/>
              <w:suppressAutoHyphens/>
              <w:jc w:val="left"/>
              <w:rPr>
                <w:sz w:val="20"/>
                <w:szCs w:val="20"/>
              </w:rPr>
            </w:pPr>
            <w:r w:rsidRPr="00096526">
              <w:rPr>
                <w:sz w:val="20"/>
                <w:szCs w:val="20"/>
              </w:rPr>
              <w:t>Mr Davit Ivanidze</w:t>
            </w:r>
          </w:p>
        </w:tc>
        <w:tc>
          <w:tcPr>
            <w:tcW w:w="5414" w:type="dxa"/>
          </w:tcPr>
          <w:p w14:paraId="41FDC059" w14:textId="77777777" w:rsidR="009601AE" w:rsidRPr="00096526" w:rsidRDefault="009601AE" w:rsidP="009E3730">
            <w:pPr>
              <w:widowControl w:val="0"/>
              <w:suppressAutoHyphens/>
              <w:rPr>
                <w:sz w:val="20"/>
                <w:szCs w:val="20"/>
              </w:rPr>
            </w:pPr>
            <w:r w:rsidRPr="00096526">
              <w:rPr>
                <w:sz w:val="20"/>
                <w:szCs w:val="20"/>
              </w:rPr>
              <w:t>Head of Employment Assistance Division</w:t>
            </w:r>
          </w:p>
        </w:tc>
      </w:tr>
      <w:tr w:rsidR="009601AE" w:rsidRPr="00096526" w14:paraId="72F1B28A" w14:textId="77777777" w:rsidTr="00C90833">
        <w:trPr>
          <w:jc w:val="center"/>
        </w:trPr>
        <w:tc>
          <w:tcPr>
            <w:tcW w:w="3589" w:type="dxa"/>
          </w:tcPr>
          <w:p w14:paraId="3E08D5C7" w14:textId="77777777" w:rsidR="009601AE" w:rsidRPr="00096526" w:rsidRDefault="009601AE" w:rsidP="009E3730">
            <w:pPr>
              <w:widowControl w:val="0"/>
              <w:suppressAutoHyphens/>
              <w:jc w:val="left"/>
              <w:rPr>
                <w:sz w:val="20"/>
                <w:szCs w:val="20"/>
              </w:rPr>
            </w:pPr>
            <w:r w:rsidRPr="00096526">
              <w:rPr>
                <w:sz w:val="20"/>
                <w:szCs w:val="20"/>
              </w:rPr>
              <w:t>Mr Giorgi Gamkrelidze</w:t>
            </w:r>
          </w:p>
        </w:tc>
        <w:tc>
          <w:tcPr>
            <w:tcW w:w="5414" w:type="dxa"/>
          </w:tcPr>
          <w:p w14:paraId="73FE0423" w14:textId="77777777" w:rsidR="009601AE" w:rsidRPr="00096526" w:rsidRDefault="009601AE" w:rsidP="009E3730">
            <w:pPr>
              <w:widowControl w:val="0"/>
              <w:suppressAutoHyphens/>
              <w:rPr>
                <w:sz w:val="20"/>
                <w:szCs w:val="20"/>
              </w:rPr>
            </w:pPr>
            <w:r w:rsidRPr="00096526">
              <w:rPr>
                <w:sz w:val="20"/>
                <w:szCs w:val="20"/>
              </w:rPr>
              <w:t>Head, Lab. Mkt Analysis Div., Lab. and Empl. Policy Dept</w:t>
            </w:r>
          </w:p>
        </w:tc>
      </w:tr>
      <w:tr w:rsidR="009601AE" w:rsidRPr="00096526" w14:paraId="73AC34BF" w14:textId="77777777" w:rsidTr="00C90833">
        <w:trPr>
          <w:jc w:val="center"/>
        </w:trPr>
        <w:tc>
          <w:tcPr>
            <w:tcW w:w="9003" w:type="dxa"/>
            <w:gridSpan w:val="2"/>
            <w:tcBorders>
              <w:bottom w:val="single" w:sz="4" w:space="0" w:color="auto"/>
            </w:tcBorders>
          </w:tcPr>
          <w:p w14:paraId="3D5B53D7" w14:textId="77777777" w:rsidR="009601AE" w:rsidRPr="00096526" w:rsidRDefault="009601AE" w:rsidP="009E3730">
            <w:pPr>
              <w:widowControl w:val="0"/>
              <w:suppressAutoHyphens/>
              <w:jc w:val="left"/>
              <w:rPr>
                <w:b/>
                <w:bCs/>
                <w:sz w:val="20"/>
                <w:szCs w:val="20"/>
              </w:rPr>
            </w:pPr>
            <w:r w:rsidRPr="00096526">
              <w:rPr>
                <w:b/>
                <w:bCs/>
                <w:sz w:val="20"/>
                <w:szCs w:val="20"/>
                <w:lang w:val="ru-RU"/>
              </w:rPr>
              <w:t xml:space="preserve">- </w:t>
            </w:r>
            <w:r w:rsidRPr="00096526">
              <w:rPr>
                <w:b/>
                <w:bCs/>
                <w:sz w:val="20"/>
                <w:szCs w:val="20"/>
              </w:rPr>
              <w:t>Social Services Agency (SSA)</w:t>
            </w:r>
          </w:p>
        </w:tc>
      </w:tr>
      <w:tr w:rsidR="009601AE" w:rsidRPr="00096526" w14:paraId="33D19CB7" w14:textId="77777777" w:rsidTr="00C90833">
        <w:trPr>
          <w:jc w:val="center"/>
        </w:trPr>
        <w:tc>
          <w:tcPr>
            <w:tcW w:w="3589" w:type="dxa"/>
          </w:tcPr>
          <w:p w14:paraId="307074D4" w14:textId="77777777" w:rsidR="009601AE" w:rsidRPr="00096526" w:rsidRDefault="009601AE" w:rsidP="009E3730">
            <w:pPr>
              <w:widowControl w:val="0"/>
              <w:suppressAutoHyphens/>
              <w:jc w:val="left"/>
              <w:rPr>
                <w:sz w:val="20"/>
                <w:szCs w:val="20"/>
              </w:rPr>
            </w:pPr>
            <w:r w:rsidRPr="00096526">
              <w:rPr>
                <w:sz w:val="20"/>
                <w:szCs w:val="20"/>
              </w:rPr>
              <w:t>Mr Koba Songulashvili</w:t>
            </w:r>
          </w:p>
        </w:tc>
        <w:tc>
          <w:tcPr>
            <w:tcW w:w="5414" w:type="dxa"/>
          </w:tcPr>
          <w:p w14:paraId="653EC327" w14:textId="77777777" w:rsidR="009601AE" w:rsidRPr="00096526" w:rsidRDefault="009601AE" w:rsidP="009E3730">
            <w:pPr>
              <w:widowControl w:val="0"/>
              <w:suppressAutoHyphens/>
              <w:jc w:val="left"/>
              <w:rPr>
                <w:sz w:val="20"/>
                <w:szCs w:val="20"/>
              </w:rPr>
            </w:pPr>
            <w:r w:rsidRPr="00096526">
              <w:rPr>
                <w:sz w:val="20"/>
                <w:szCs w:val="20"/>
              </w:rPr>
              <w:t>Deputy Director of Employment Services, Targeted Social Assistance, and Guardianship Social Programmes</w:t>
            </w:r>
          </w:p>
        </w:tc>
      </w:tr>
      <w:tr w:rsidR="009601AE" w:rsidRPr="00096526" w14:paraId="745ADDF7" w14:textId="77777777" w:rsidTr="00C90833">
        <w:trPr>
          <w:jc w:val="center"/>
        </w:trPr>
        <w:tc>
          <w:tcPr>
            <w:tcW w:w="3589" w:type="dxa"/>
          </w:tcPr>
          <w:p w14:paraId="0B75E164" w14:textId="77777777" w:rsidR="009601AE" w:rsidRPr="00096526" w:rsidRDefault="009601AE" w:rsidP="009E3730">
            <w:pPr>
              <w:widowControl w:val="0"/>
              <w:suppressAutoHyphens/>
              <w:jc w:val="left"/>
              <w:rPr>
                <w:sz w:val="20"/>
                <w:szCs w:val="20"/>
              </w:rPr>
            </w:pPr>
            <w:r w:rsidRPr="00096526">
              <w:rPr>
                <w:sz w:val="20"/>
                <w:szCs w:val="20"/>
              </w:rPr>
              <w:t>Mr Nikoloz Chanadiri</w:t>
            </w:r>
          </w:p>
        </w:tc>
        <w:tc>
          <w:tcPr>
            <w:tcW w:w="5414" w:type="dxa"/>
          </w:tcPr>
          <w:p w14:paraId="445462B0" w14:textId="77777777" w:rsidR="009601AE" w:rsidRPr="00096526" w:rsidRDefault="009601AE" w:rsidP="009E3730">
            <w:pPr>
              <w:widowControl w:val="0"/>
              <w:suppressAutoHyphens/>
              <w:jc w:val="left"/>
              <w:rPr>
                <w:sz w:val="20"/>
                <w:szCs w:val="20"/>
              </w:rPr>
            </w:pPr>
            <w:r w:rsidRPr="00096526">
              <w:rPr>
                <w:sz w:val="20"/>
                <w:szCs w:val="20"/>
              </w:rPr>
              <w:t>Head, Apparatus of Director of Social Services Agency</w:t>
            </w:r>
          </w:p>
        </w:tc>
      </w:tr>
      <w:tr w:rsidR="009601AE" w:rsidRPr="00690428" w14:paraId="32FC31CE" w14:textId="77777777" w:rsidTr="00C90833">
        <w:trPr>
          <w:jc w:val="center"/>
        </w:trPr>
        <w:tc>
          <w:tcPr>
            <w:tcW w:w="3589" w:type="dxa"/>
          </w:tcPr>
          <w:p w14:paraId="5D023960" w14:textId="77777777" w:rsidR="009601AE" w:rsidRPr="00096526" w:rsidRDefault="009601AE" w:rsidP="009E3730">
            <w:pPr>
              <w:widowControl w:val="0"/>
              <w:suppressAutoHyphens/>
              <w:jc w:val="left"/>
              <w:rPr>
                <w:sz w:val="20"/>
                <w:szCs w:val="20"/>
              </w:rPr>
            </w:pPr>
            <w:r w:rsidRPr="00096526">
              <w:rPr>
                <w:sz w:val="20"/>
                <w:szCs w:val="20"/>
              </w:rPr>
              <w:t xml:space="preserve">Ms </w:t>
            </w:r>
            <w:r w:rsidR="00E8769A">
              <w:rPr>
                <w:sz w:val="20"/>
                <w:szCs w:val="20"/>
              </w:rPr>
              <w:t>Mari Bezarashvili</w:t>
            </w:r>
            <w:r w:rsidRPr="00096526">
              <w:rPr>
                <w:sz w:val="20"/>
                <w:szCs w:val="20"/>
              </w:rPr>
              <w:t xml:space="preserve"> </w:t>
            </w:r>
          </w:p>
        </w:tc>
        <w:tc>
          <w:tcPr>
            <w:tcW w:w="5414" w:type="dxa"/>
          </w:tcPr>
          <w:p w14:paraId="39600067" w14:textId="77777777" w:rsidR="009601AE" w:rsidRPr="00690428" w:rsidRDefault="009601AE" w:rsidP="009E3730">
            <w:pPr>
              <w:widowControl w:val="0"/>
              <w:suppressAutoHyphens/>
              <w:jc w:val="left"/>
              <w:rPr>
                <w:sz w:val="20"/>
                <w:szCs w:val="20"/>
              </w:rPr>
            </w:pPr>
            <w:r w:rsidRPr="00096526">
              <w:rPr>
                <w:sz w:val="20"/>
                <w:szCs w:val="20"/>
              </w:rPr>
              <w:t>Head, Employment Dept</w:t>
            </w:r>
          </w:p>
        </w:tc>
      </w:tr>
      <w:tr w:rsidR="009601AE" w:rsidRPr="00690428" w14:paraId="5F6E2A6C" w14:textId="77777777" w:rsidTr="00C90833">
        <w:trPr>
          <w:jc w:val="center"/>
        </w:trPr>
        <w:tc>
          <w:tcPr>
            <w:tcW w:w="3589" w:type="dxa"/>
          </w:tcPr>
          <w:p w14:paraId="100F8321" w14:textId="77777777" w:rsidR="009601AE" w:rsidRPr="00690428" w:rsidRDefault="009601AE" w:rsidP="009E3730">
            <w:pPr>
              <w:widowControl w:val="0"/>
              <w:suppressAutoHyphens/>
              <w:jc w:val="left"/>
              <w:rPr>
                <w:sz w:val="20"/>
                <w:szCs w:val="20"/>
              </w:rPr>
            </w:pPr>
            <w:r w:rsidRPr="00690428">
              <w:rPr>
                <w:sz w:val="20"/>
                <w:szCs w:val="20"/>
              </w:rPr>
              <w:t>Ms Nino Agananashvili</w:t>
            </w:r>
          </w:p>
        </w:tc>
        <w:tc>
          <w:tcPr>
            <w:tcW w:w="5414" w:type="dxa"/>
          </w:tcPr>
          <w:p w14:paraId="3E2653EB" w14:textId="77777777" w:rsidR="009601AE" w:rsidRPr="00690428" w:rsidRDefault="009601AE" w:rsidP="009E3730">
            <w:pPr>
              <w:widowControl w:val="0"/>
              <w:suppressAutoHyphens/>
              <w:jc w:val="left"/>
              <w:rPr>
                <w:sz w:val="20"/>
                <w:szCs w:val="20"/>
              </w:rPr>
            </w:pPr>
            <w:r w:rsidRPr="00690428">
              <w:rPr>
                <w:sz w:val="20"/>
                <w:szCs w:val="20"/>
              </w:rPr>
              <w:t>Head, Registration of Jobseekers Div., Employment Dept</w:t>
            </w:r>
          </w:p>
        </w:tc>
      </w:tr>
    </w:tbl>
    <w:p w14:paraId="205E5916" w14:textId="77777777" w:rsidR="009601AE" w:rsidRDefault="009601AE" w:rsidP="009E3730">
      <w:pPr>
        <w:widowControl w:val="0"/>
        <w:suppressAutoHyphens/>
        <w:jc w:val="center"/>
      </w:pPr>
    </w:p>
    <w:tbl>
      <w:tblPr>
        <w:tblW w:w="90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589"/>
        <w:gridCol w:w="5414"/>
      </w:tblGrid>
      <w:tr w:rsidR="009601AE" w:rsidRPr="00690428" w14:paraId="4CE6DF58" w14:textId="77777777" w:rsidTr="00C90833">
        <w:trPr>
          <w:jc w:val="center"/>
        </w:trPr>
        <w:tc>
          <w:tcPr>
            <w:tcW w:w="9003" w:type="dxa"/>
            <w:gridSpan w:val="2"/>
          </w:tcPr>
          <w:p w14:paraId="5E8C7164" w14:textId="77777777" w:rsidR="009601AE" w:rsidRPr="00690428" w:rsidRDefault="009601AE" w:rsidP="009E3730">
            <w:pPr>
              <w:widowControl w:val="0"/>
              <w:suppressAutoHyphens/>
              <w:jc w:val="left"/>
              <w:rPr>
                <w:b/>
                <w:bCs/>
                <w:sz w:val="20"/>
                <w:szCs w:val="20"/>
              </w:rPr>
            </w:pPr>
            <w:r w:rsidRPr="00690428">
              <w:rPr>
                <w:b/>
                <w:bCs/>
                <w:sz w:val="20"/>
                <w:szCs w:val="20"/>
              </w:rPr>
              <w:t>Georgian Employers’ Association (GEA)</w:t>
            </w:r>
          </w:p>
        </w:tc>
      </w:tr>
      <w:tr w:rsidR="009601AE" w:rsidRPr="00690428" w14:paraId="50664919" w14:textId="77777777" w:rsidTr="00C90833">
        <w:trPr>
          <w:jc w:val="center"/>
        </w:trPr>
        <w:tc>
          <w:tcPr>
            <w:tcW w:w="3589" w:type="dxa"/>
          </w:tcPr>
          <w:p w14:paraId="501320E3" w14:textId="77777777" w:rsidR="009601AE" w:rsidRPr="00690428" w:rsidRDefault="009601AE" w:rsidP="009E3730">
            <w:pPr>
              <w:widowControl w:val="0"/>
              <w:suppressAutoHyphens/>
              <w:jc w:val="left"/>
              <w:rPr>
                <w:sz w:val="20"/>
                <w:szCs w:val="20"/>
              </w:rPr>
            </w:pPr>
            <w:r w:rsidRPr="00690428">
              <w:rPr>
                <w:sz w:val="20"/>
                <w:szCs w:val="20"/>
              </w:rPr>
              <w:t>Mr Elguja Meladze</w:t>
            </w:r>
          </w:p>
        </w:tc>
        <w:tc>
          <w:tcPr>
            <w:tcW w:w="5414" w:type="dxa"/>
          </w:tcPr>
          <w:p w14:paraId="08E19037" w14:textId="77777777" w:rsidR="009601AE" w:rsidRPr="00690428" w:rsidRDefault="009601AE" w:rsidP="009E3730">
            <w:pPr>
              <w:widowControl w:val="0"/>
              <w:suppressAutoHyphens/>
              <w:jc w:val="left"/>
              <w:rPr>
                <w:sz w:val="20"/>
                <w:szCs w:val="20"/>
              </w:rPr>
            </w:pPr>
            <w:r w:rsidRPr="00690428">
              <w:rPr>
                <w:sz w:val="20"/>
                <w:szCs w:val="20"/>
              </w:rPr>
              <w:t>President</w:t>
            </w:r>
          </w:p>
        </w:tc>
      </w:tr>
      <w:tr w:rsidR="009601AE" w:rsidRPr="00690428" w14:paraId="0B26DFA5" w14:textId="77777777" w:rsidTr="00C90833">
        <w:trPr>
          <w:jc w:val="center"/>
        </w:trPr>
        <w:tc>
          <w:tcPr>
            <w:tcW w:w="3589" w:type="dxa"/>
          </w:tcPr>
          <w:p w14:paraId="7F0F29FB" w14:textId="77777777" w:rsidR="009601AE" w:rsidRPr="00690428" w:rsidRDefault="009601AE" w:rsidP="009E3730">
            <w:pPr>
              <w:widowControl w:val="0"/>
              <w:suppressAutoHyphens/>
              <w:jc w:val="left"/>
              <w:rPr>
                <w:sz w:val="20"/>
                <w:szCs w:val="20"/>
              </w:rPr>
            </w:pPr>
            <w:r w:rsidRPr="00690428">
              <w:rPr>
                <w:sz w:val="20"/>
                <w:szCs w:val="20"/>
              </w:rPr>
              <w:t>Mr Zura Agladze</w:t>
            </w:r>
          </w:p>
        </w:tc>
        <w:tc>
          <w:tcPr>
            <w:tcW w:w="5414" w:type="dxa"/>
          </w:tcPr>
          <w:p w14:paraId="03CA8397" w14:textId="77777777" w:rsidR="009601AE" w:rsidRPr="00690428" w:rsidRDefault="009601AE" w:rsidP="009E3730">
            <w:pPr>
              <w:widowControl w:val="0"/>
              <w:suppressAutoHyphens/>
              <w:jc w:val="left"/>
              <w:rPr>
                <w:sz w:val="20"/>
                <w:szCs w:val="20"/>
              </w:rPr>
            </w:pPr>
            <w:r w:rsidRPr="00690428">
              <w:rPr>
                <w:sz w:val="20"/>
                <w:szCs w:val="20"/>
              </w:rPr>
              <w:t>Vice President</w:t>
            </w:r>
          </w:p>
        </w:tc>
      </w:tr>
      <w:tr w:rsidR="009601AE" w:rsidRPr="00690428" w14:paraId="5DA38CAB" w14:textId="77777777" w:rsidTr="00C90833">
        <w:trPr>
          <w:jc w:val="center"/>
        </w:trPr>
        <w:tc>
          <w:tcPr>
            <w:tcW w:w="9003" w:type="dxa"/>
            <w:gridSpan w:val="2"/>
          </w:tcPr>
          <w:p w14:paraId="6D5E81B9" w14:textId="77777777" w:rsidR="009601AE" w:rsidRPr="00690428" w:rsidRDefault="009601AE" w:rsidP="009E3730">
            <w:pPr>
              <w:widowControl w:val="0"/>
              <w:suppressAutoHyphens/>
              <w:jc w:val="left"/>
              <w:rPr>
                <w:b/>
                <w:bCs/>
                <w:sz w:val="20"/>
                <w:szCs w:val="20"/>
              </w:rPr>
            </w:pPr>
            <w:r w:rsidRPr="00690428">
              <w:rPr>
                <w:b/>
                <w:bCs/>
                <w:sz w:val="20"/>
                <w:szCs w:val="20"/>
              </w:rPr>
              <w:t>Georgian Trade Unions Confederation (GTUC)</w:t>
            </w:r>
          </w:p>
        </w:tc>
      </w:tr>
      <w:tr w:rsidR="00CA078D" w:rsidRPr="00690428" w14:paraId="7D83A36F" w14:textId="77777777" w:rsidTr="004C0D48">
        <w:trPr>
          <w:jc w:val="center"/>
        </w:trPr>
        <w:tc>
          <w:tcPr>
            <w:tcW w:w="3589" w:type="dxa"/>
          </w:tcPr>
          <w:p w14:paraId="11E688B0" w14:textId="77777777" w:rsidR="00CA078D" w:rsidRPr="00690428" w:rsidRDefault="00CA078D" w:rsidP="009E3730">
            <w:pPr>
              <w:widowControl w:val="0"/>
              <w:suppressAutoHyphens/>
              <w:rPr>
                <w:sz w:val="20"/>
                <w:szCs w:val="20"/>
              </w:rPr>
            </w:pPr>
            <w:r w:rsidRPr="00690428">
              <w:rPr>
                <w:sz w:val="20"/>
                <w:szCs w:val="20"/>
              </w:rPr>
              <w:t>Mr Irakli Petriashvili</w:t>
            </w:r>
          </w:p>
        </w:tc>
        <w:tc>
          <w:tcPr>
            <w:tcW w:w="5414" w:type="dxa"/>
          </w:tcPr>
          <w:p w14:paraId="54167B43" w14:textId="77777777" w:rsidR="00CA078D" w:rsidRPr="00690428" w:rsidRDefault="00CA078D" w:rsidP="009E3730">
            <w:pPr>
              <w:widowControl w:val="0"/>
              <w:suppressAutoHyphens/>
              <w:jc w:val="left"/>
              <w:rPr>
                <w:sz w:val="20"/>
                <w:szCs w:val="20"/>
              </w:rPr>
            </w:pPr>
            <w:r w:rsidRPr="00690428">
              <w:rPr>
                <w:sz w:val="20"/>
                <w:szCs w:val="20"/>
              </w:rPr>
              <w:t>Chairman</w:t>
            </w:r>
          </w:p>
        </w:tc>
      </w:tr>
      <w:tr w:rsidR="00CA078D" w:rsidRPr="00690428" w14:paraId="5757E75E" w14:textId="77777777" w:rsidTr="004C0D48">
        <w:trPr>
          <w:jc w:val="center"/>
        </w:trPr>
        <w:tc>
          <w:tcPr>
            <w:tcW w:w="3589" w:type="dxa"/>
          </w:tcPr>
          <w:p w14:paraId="3E21E152" w14:textId="77777777" w:rsidR="00CA078D" w:rsidRPr="00690428" w:rsidRDefault="00CA078D" w:rsidP="009E3730">
            <w:pPr>
              <w:widowControl w:val="0"/>
              <w:suppressAutoHyphens/>
              <w:rPr>
                <w:sz w:val="20"/>
                <w:szCs w:val="20"/>
              </w:rPr>
            </w:pPr>
            <w:r w:rsidRPr="00690428">
              <w:rPr>
                <w:sz w:val="20"/>
                <w:szCs w:val="20"/>
              </w:rPr>
              <w:t xml:space="preserve">Mr Lasha Bliadze </w:t>
            </w:r>
          </w:p>
        </w:tc>
        <w:tc>
          <w:tcPr>
            <w:tcW w:w="5414" w:type="dxa"/>
          </w:tcPr>
          <w:p w14:paraId="34CDD457" w14:textId="77777777" w:rsidR="00CA078D" w:rsidRPr="00690428" w:rsidRDefault="00CA078D" w:rsidP="009E3730">
            <w:pPr>
              <w:widowControl w:val="0"/>
              <w:suppressAutoHyphens/>
              <w:jc w:val="left"/>
              <w:rPr>
                <w:sz w:val="20"/>
                <w:szCs w:val="20"/>
                <w:highlight w:val="green"/>
                <w:lang w:val="ru-RU"/>
              </w:rPr>
            </w:pPr>
            <w:r w:rsidRPr="00690428">
              <w:rPr>
                <w:sz w:val="20"/>
                <w:szCs w:val="20"/>
              </w:rPr>
              <w:t>Head of Administration</w:t>
            </w:r>
          </w:p>
        </w:tc>
      </w:tr>
      <w:tr w:rsidR="00CA078D" w:rsidRPr="00690428" w14:paraId="771B826A" w14:textId="77777777" w:rsidTr="00C90833">
        <w:trPr>
          <w:jc w:val="center"/>
        </w:trPr>
        <w:tc>
          <w:tcPr>
            <w:tcW w:w="9003" w:type="dxa"/>
            <w:gridSpan w:val="2"/>
          </w:tcPr>
          <w:p w14:paraId="7F68EB65" w14:textId="6253F237" w:rsidR="00CA078D" w:rsidRPr="00690428" w:rsidRDefault="00CA078D" w:rsidP="009E3730">
            <w:pPr>
              <w:widowControl w:val="0"/>
              <w:suppressAutoHyphens/>
              <w:jc w:val="left"/>
              <w:rPr>
                <w:b/>
                <w:bCs/>
                <w:sz w:val="20"/>
                <w:szCs w:val="20"/>
              </w:rPr>
            </w:pPr>
            <w:r>
              <w:rPr>
                <w:b/>
                <w:bCs/>
                <w:sz w:val="20"/>
                <w:szCs w:val="20"/>
              </w:rPr>
              <w:t>Georgian Farmers Association</w:t>
            </w:r>
          </w:p>
        </w:tc>
      </w:tr>
      <w:tr w:rsidR="00CA078D" w:rsidRPr="00690428" w14:paraId="3D7D9F2F" w14:textId="77777777" w:rsidTr="00C90833">
        <w:trPr>
          <w:jc w:val="center"/>
        </w:trPr>
        <w:tc>
          <w:tcPr>
            <w:tcW w:w="3589" w:type="dxa"/>
          </w:tcPr>
          <w:p w14:paraId="66969238" w14:textId="209B1990" w:rsidR="00CA078D" w:rsidRPr="00690428" w:rsidRDefault="00CA3A9A" w:rsidP="009E3730">
            <w:pPr>
              <w:widowControl w:val="0"/>
              <w:suppressAutoHyphens/>
              <w:rPr>
                <w:sz w:val="20"/>
                <w:szCs w:val="20"/>
              </w:rPr>
            </w:pPr>
            <w:r>
              <w:rPr>
                <w:sz w:val="20"/>
                <w:szCs w:val="20"/>
              </w:rPr>
              <w:t xml:space="preserve">Mr </w:t>
            </w:r>
            <w:r w:rsidR="00CA078D">
              <w:rPr>
                <w:sz w:val="20"/>
                <w:szCs w:val="20"/>
              </w:rPr>
              <w:t>Nikoloz</w:t>
            </w:r>
            <w:r w:rsidR="0091036C">
              <w:rPr>
                <w:sz w:val="20"/>
                <w:szCs w:val="20"/>
              </w:rPr>
              <w:t xml:space="preserve"> Meskhishvili</w:t>
            </w:r>
          </w:p>
        </w:tc>
        <w:tc>
          <w:tcPr>
            <w:tcW w:w="5414" w:type="dxa"/>
          </w:tcPr>
          <w:p w14:paraId="39744B68" w14:textId="77777777" w:rsidR="00CA078D" w:rsidRPr="00690428" w:rsidRDefault="00CA078D" w:rsidP="009E3730">
            <w:pPr>
              <w:widowControl w:val="0"/>
              <w:suppressAutoHyphens/>
              <w:jc w:val="left"/>
              <w:rPr>
                <w:sz w:val="20"/>
                <w:szCs w:val="20"/>
              </w:rPr>
            </w:pPr>
          </w:p>
        </w:tc>
      </w:tr>
      <w:tr w:rsidR="00CA078D" w:rsidRPr="00690428" w14:paraId="73B252EF" w14:textId="77777777" w:rsidTr="00C90833">
        <w:trPr>
          <w:jc w:val="center"/>
        </w:trPr>
        <w:tc>
          <w:tcPr>
            <w:tcW w:w="3589" w:type="dxa"/>
          </w:tcPr>
          <w:p w14:paraId="1750B614" w14:textId="33E09D53" w:rsidR="00CA078D" w:rsidRPr="00690428" w:rsidRDefault="00CA078D" w:rsidP="009E3730">
            <w:pPr>
              <w:widowControl w:val="0"/>
              <w:suppressAutoHyphens/>
              <w:rPr>
                <w:sz w:val="20"/>
                <w:szCs w:val="20"/>
              </w:rPr>
            </w:pPr>
            <w:r>
              <w:rPr>
                <w:sz w:val="20"/>
                <w:szCs w:val="20"/>
              </w:rPr>
              <w:t>Ms T</w:t>
            </w:r>
            <w:r w:rsidR="00CA3A9A">
              <w:rPr>
                <w:sz w:val="20"/>
                <w:szCs w:val="20"/>
              </w:rPr>
              <w:t>amar</w:t>
            </w:r>
            <w:r>
              <w:rPr>
                <w:sz w:val="20"/>
                <w:szCs w:val="20"/>
              </w:rPr>
              <w:t xml:space="preserve"> Toria</w:t>
            </w:r>
          </w:p>
        </w:tc>
        <w:tc>
          <w:tcPr>
            <w:tcW w:w="5414" w:type="dxa"/>
          </w:tcPr>
          <w:p w14:paraId="0E65D53E" w14:textId="77777777" w:rsidR="00CA078D" w:rsidRPr="00690428" w:rsidRDefault="00CA078D" w:rsidP="009E3730">
            <w:pPr>
              <w:widowControl w:val="0"/>
              <w:suppressAutoHyphens/>
              <w:jc w:val="left"/>
              <w:rPr>
                <w:sz w:val="20"/>
                <w:szCs w:val="20"/>
              </w:rPr>
            </w:pPr>
          </w:p>
        </w:tc>
      </w:tr>
    </w:tbl>
    <w:p w14:paraId="75BE49D5" w14:textId="77777777" w:rsidR="00800FF7" w:rsidRDefault="00800FF7" w:rsidP="009E3730">
      <w:pPr>
        <w:widowControl w:val="0"/>
        <w:suppressAutoHyphens/>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589"/>
        <w:gridCol w:w="5414"/>
      </w:tblGrid>
      <w:tr w:rsidR="00800FF7" w:rsidRPr="00800FF7" w14:paraId="6D712251" w14:textId="77777777" w:rsidTr="004C0D48">
        <w:trPr>
          <w:jc w:val="center"/>
        </w:trPr>
        <w:tc>
          <w:tcPr>
            <w:tcW w:w="9003" w:type="dxa"/>
            <w:gridSpan w:val="2"/>
          </w:tcPr>
          <w:p w14:paraId="5AB1AE1B" w14:textId="77777777" w:rsidR="00800FF7" w:rsidRPr="00800FF7" w:rsidRDefault="00800FF7" w:rsidP="009E3730">
            <w:pPr>
              <w:widowControl w:val="0"/>
              <w:suppressAutoHyphens/>
              <w:jc w:val="left"/>
              <w:rPr>
                <w:rFonts w:eastAsia="Times New Roman" w:cs="Arial"/>
                <w:b/>
                <w:bCs/>
                <w:sz w:val="20"/>
                <w:szCs w:val="20"/>
                <w:lang w:val="en-US"/>
              </w:rPr>
            </w:pPr>
            <w:r w:rsidRPr="00800FF7">
              <w:rPr>
                <w:rFonts w:eastAsia="Times New Roman" w:cs="Arial"/>
                <w:b/>
                <w:bCs/>
                <w:sz w:val="20"/>
                <w:szCs w:val="20"/>
                <w:lang w:val="en-US"/>
              </w:rPr>
              <w:t>Rustavi College Modusi</w:t>
            </w:r>
          </w:p>
        </w:tc>
      </w:tr>
      <w:tr w:rsidR="00800FF7" w:rsidRPr="00800FF7" w14:paraId="4CCD1410" w14:textId="77777777" w:rsidTr="004C0D48">
        <w:trPr>
          <w:jc w:val="center"/>
        </w:trPr>
        <w:tc>
          <w:tcPr>
            <w:tcW w:w="3589" w:type="dxa"/>
          </w:tcPr>
          <w:p w14:paraId="283E6C79"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Ms Diana Gotsadze</w:t>
            </w:r>
          </w:p>
        </w:tc>
        <w:tc>
          <w:tcPr>
            <w:tcW w:w="5414" w:type="dxa"/>
          </w:tcPr>
          <w:p w14:paraId="7DD418EC"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 xml:space="preserve">Deputy Director, </w:t>
            </w:r>
          </w:p>
        </w:tc>
      </w:tr>
      <w:tr w:rsidR="00800FF7" w:rsidRPr="00800FF7" w14:paraId="6E3B2826" w14:textId="77777777" w:rsidTr="004C0D48">
        <w:trPr>
          <w:jc w:val="center"/>
        </w:trPr>
        <w:tc>
          <w:tcPr>
            <w:tcW w:w="3589" w:type="dxa"/>
          </w:tcPr>
          <w:p w14:paraId="72878D3D"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Ms Lali Chikovani</w:t>
            </w:r>
          </w:p>
        </w:tc>
        <w:tc>
          <w:tcPr>
            <w:tcW w:w="5414" w:type="dxa"/>
          </w:tcPr>
          <w:p w14:paraId="55425EC9"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Career Manager, Rustavi College Modusi</w:t>
            </w:r>
          </w:p>
        </w:tc>
      </w:tr>
      <w:tr w:rsidR="00800FF7" w:rsidRPr="00800FF7" w14:paraId="44477E33" w14:textId="77777777" w:rsidTr="004C0D48">
        <w:trPr>
          <w:jc w:val="center"/>
        </w:trPr>
        <w:tc>
          <w:tcPr>
            <w:tcW w:w="9003" w:type="dxa"/>
            <w:gridSpan w:val="2"/>
          </w:tcPr>
          <w:p w14:paraId="6E801F8E" w14:textId="345D2C1E" w:rsidR="00800FF7" w:rsidRPr="00800FF7" w:rsidRDefault="00800FF7" w:rsidP="009E3730">
            <w:pPr>
              <w:widowControl w:val="0"/>
              <w:suppressAutoHyphens/>
              <w:jc w:val="left"/>
              <w:rPr>
                <w:rFonts w:eastAsia="Times New Roman" w:cs="Arial"/>
                <w:b/>
                <w:bCs/>
                <w:sz w:val="20"/>
                <w:szCs w:val="20"/>
              </w:rPr>
            </w:pPr>
            <w:r w:rsidRPr="00800FF7">
              <w:rPr>
                <w:rFonts w:cs="Arial"/>
                <w:b/>
                <w:color w:val="000000" w:themeColor="text1"/>
                <w:sz w:val="20"/>
                <w:szCs w:val="20"/>
              </w:rPr>
              <w:t>Ilia Tsinamdzghvrishvili</w:t>
            </w:r>
            <w:r w:rsidRPr="00800FF7">
              <w:rPr>
                <w:rFonts w:eastAsia="Times New Roman" w:cs="Arial"/>
                <w:b/>
                <w:bCs/>
                <w:sz w:val="20"/>
                <w:szCs w:val="20"/>
                <w:lang w:val="en-US"/>
              </w:rPr>
              <w:t xml:space="preserve"> College</w:t>
            </w:r>
            <w:r>
              <w:rPr>
                <w:rFonts w:eastAsia="Times New Roman" w:cs="Arial"/>
                <w:b/>
                <w:bCs/>
                <w:sz w:val="20"/>
                <w:szCs w:val="20"/>
                <w:lang w:val="en-US"/>
              </w:rPr>
              <w:t>, Mtskheta</w:t>
            </w:r>
          </w:p>
        </w:tc>
      </w:tr>
      <w:tr w:rsidR="00800FF7" w:rsidRPr="00800FF7" w14:paraId="30B0895F" w14:textId="77777777" w:rsidTr="004C0D48">
        <w:trPr>
          <w:jc w:val="center"/>
        </w:trPr>
        <w:tc>
          <w:tcPr>
            <w:tcW w:w="3589" w:type="dxa"/>
          </w:tcPr>
          <w:p w14:paraId="05C14EDC"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Ms Mariam Abashvili</w:t>
            </w:r>
          </w:p>
        </w:tc>
        <w:tc>
          <w:tcPr>
            <w:tcW w:w="5414" w:type="dxa"/>
          </w:tcPr>
          <w:p w14:paraId="63FB09B6"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Manager of Data Base (Regsitry)</w:t>
            </w:r>
          </w:p>
        </w:tc>
      </w:tr>
      <w:tr w:rsidR="00800FF7" w:rsidRPr="00800FF7" w14:paraId="0D4DDF02" w14:textId="77777777" w:rsidTr="004C0D48">
        <w:trPr>
          <w:jc w:val="center"/>
        </w:trPr>
        <w:tc>
          <w:tcPr>
            <w:tcW w:w="3589" w:type="dxa"/>
          </w:tcPr>
          <w:p w14:paraId="7F92DDD2"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Ms Lela Samsonidze</w:t>
            </w:r>
          </w:p>
        </w:tc>
        <w:tc>
          <w:tcPr>
            <w:tcW w:w="5414" w:type="dxa"/>
          </w:tcPr>
          <w:p w14:paraId="4054B91A"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Manager of Study Process</w:t>
            </w:r>
          </w:p>
        </w:tc>
      </w:tr>
      <w:tr w:rsidR="00800FF7" w:rsidRPr="00800FF7" w14:paraId="2EBCC63E" w14:textId="77777777" w:rsidTr="004C0D48">
        <w:trPr>
          <w:jc w:val="center"/>
        </w:trPr>
        <w:tc>
          <w:tcPr>
            <w:tcW w:w="9003" w:type="dxa"/>
            <w:gridSpan w:val="2"/>
          </w:tcPr>
          <w:p w14:paraId="7F710AEB" w14:textId="77777777" w:rsidR="00800FF7" w:rsidRPr="00800FF7" w:rsidRDefault="00800FF7" w:rsidP="009E3730">
            <w:pPr>
              <w:widowControl w:val="0"/>
              <w:suppressAutoHyphens/>
              <w:jc w:val="left"/>
              <w:rPr>
                <w:rFonts w:eastAsia="Times New Roman" w:cs="Arial"/>
                <w:b/>
                <w:bCs/>
                <w:sz w:val="20"/>
                <w:szCs w:val="20"/>
                <w:lang w:val="en-US"/>
              </w:rPr>
            </w:pPr>
            <w:r w:rsidRPr="00800FF7">
              <w:rPr>
                <w:rFonts w:eastAsia="Times New Roman" w:cs="Arial"/>
                <w:b/>
                <w:bCs/>
                <w:sz w:val="20"/>
                <w:szCs w:val="20"/>
                <w:lang w:val="en-US"/>
              </w:rPr>
              <w:t>Akhaltsikhe College Opizari</w:t>
            </w:r>
          </w:p>
        </w:tc>
      </w:tr>
      <w:tr w:rsidR="00800FF7" w:rsidRPr="00800FF7" w14:paraId="1D5EE90D" w14:textId="77777777" w:rsidTr="004C0D48">
        <w:trPr>
          <w:jc w:val="center"/>
        </w:trPr>
        <w:tc>
          <w:tcPr>
            <w:tcW w:w="3589" w:type="dxa"/>
          </w:tcPr>
          <w:p w14:paraId="1B0E0F85"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Ms Bela Avalishvili</w:t>
            </w:r>
          </w:p>
        </w:tc>
        <w:tc>
          <w:tcPr>
            <w:tcW w:w="5414" w:type="dxa"/>
          </w:tcPr>
          <w:p w14:paraId="05761060"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Director</w:t>
            </w:r>
          </w:p>
        </w:tc>
      </w:tr>
      <w:tr w:rsidR="00800FF7" w:rsidRPr="00800FF7" w14:paraId="17E752A9" w14:textId="77777777" w:rsidTr="004C0D48">
        <w:trPr>
          <w:jc w:val="center"/>
        </w:trPr>
        <w:tc>
          <w:tcPr>
            <w:tcW w:w="3589" w:type="dxa"/>
          </w:tcPr>
          <w:p w14:paraId="5D1F57B6"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Ms Maya Tedoradze</w:t>
            </w:r>
          </w:p>
        </w:tc>
        <w:tc>
          <w:tcPr>
            <w:tcW w:w="5414" w:type="dxa"/>
          </w:tcPr>
          <w:p w14:paraId="1674BF9B"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Quality Manager</w:t>
            </w:r>
          </w:p>
        </w:tc>
      </w:tr>
      <w:tr w:rsidR="00800FF7" w:rsidRPr="00800FF7" w14:paraId="58EDAC98" w14:textId="77777777" w:rsidTr="004C0D48">
        <w:trPr>
          <w:jc w:val="center"/>
        </w:trPr>
        <w:tc>
          <w:tcPr>
            <w:tcW w:w="3589" w:type="dxa"/>
          </w:tcPr>
          <w:p w14:paraId="205ADD76"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Ms Darejani Mitaishvili</w:t>
            </w:r>
          </w:p>
        </w:tc>
        <w:tc>
          <w:tcPr>
            <w:tcW w:w="5414" w:type="dxa"/>
          </w:tcPr>
          <w:p w14:paraId="58EEB6F5"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Career Manager</w:t>
            </w:r>
          </w:p>
        </w:tc>
      </w:tr>
      <w:tr w:rsidR="00800FF7" w:rsidRPr="00800FF7" w14:paraId="616FE3BF" w14:textId="77777777" w:rsidTr="004C0D48">
        <w:trPr>
          <w:jc w:val="center"/>
        </w:trPr>
        <w:tc>
          <w:tcPr>
            <w:tcW w:w="9003" w:type="dxa"/>
            <w:gridSpan w:val="2"/>
            <w:tcBorders>
              <w:top w:val="single" w:sz="4" w:space="0" w:color="auto"/>
              <w:left w:val="single" w:sz="4" w:space="0" w:color="auto"/>
              <w:bottom w:val="single" w:sz="4" w:space="0" w:color="auto"/>
              <w:right w:val="single" w:sz="4" w:space="0" w:color="auto"/>
            </w:tcBorders>
          </w:tcPr>
          <w:p w14:paraId="31032A06" w14:textId="77777777" w:rsidR="00800FF7" w:rsidRPr="00800FF7" w:rsidRDefault="00800FF7" w:rsidP="009E3730">
            <w:pPr>
              <w:widowControl w:val="0"/>
              <w:suppressAutoHyphens/>
              <w:jc w:val="left"/>
              <w:rPr>
                <w:rFonts w:eastAsia="Times New Roman" w:cs="Arial"/>
                <w:b/>
                <w:bCs/>
                <w:sz w:val="20"/>
                <w:szCs w:val="20"/>
              </w:rPr>
            </w:pPr>
            <w:r w:rsidRPr="00800FF7">
              <w:rPr>
                <w:rFonts w:eastAsia="Times New Roman" w:cs="Arial"/>
                <w:b/>
                <w:bCs/>
                <w:sz w:val="20"/>
                <w:szCs w:val="20"/>
              </w:rPr>
              <w:t>Gori College Gantiadi</w:t>
            </w:r>
          </w:p>
        </w:tc>
      </w:tr>
      <w:tr w:rsidR="00800FF7" w:rsidRPr="00800FF7" w14:paraId="70A19BC7" w14:textId="77777777" w:rsidTr="004C0D48">
        <w:trPr>
          <w:jc w:val="center"/>
        </w:trPr>
        <w:tc>
          <w:tcPr>
            <w:tcW w:w="3589" w:type="dxa"/>
          </w:tcPr>
          <w:p w14:paraId="1C80FFBD" w14:textId="77777777" w:rsidR="00800FF7" w:rsidRPr="00800FF7" w:rsidRDefault="00800FF7" w:rsidP="009E3730">
            <w:pPr>
              <w:widowControl w:val="0"/>
              <w:suppressAutoHyphens/>
              <w:jc w:val="left"/>
              <w:rPr>
                <w:rFonts w:eastAsia="Times New Roman" w:cs="Arial"/>
                <w:sz w:val="20"/>
                <w:szCs w:val="20"/>
                <w:lang w:val="en-US"/>
              </w:rPr>
            </w:pPr>
            <w:r w:rsidRPr="00800FF7">
              <w:rPr>
                <w:rFonts w:eastAsia="Times New Roman" w:cs="Arial"/>
                <w:sz w:val="20"/>
                <w:szCs w:val="20"/>
                <w:lang w:val="en-US"/>
              </w:rPr>
              <w:t>Ms Ana Datuashvili</w:t>
            </w:r>
          </w:p>
        </w:tc>
        <w:tc>
          <w:tcPr>
            <w:tcW w:w="5414" w:type="dxa"/>
          </w:tcPr>
          <w:p w14:paraId="1BDFB7F9"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Director</w:t>
            </w:r>
          </w:p>
        </w:tc>
      </w:tr>
      <w:tr w:rsidR="00800FF7" w:rsidRPr="00800FF7" w14:paraId="7D43EC34" w14:textId="77777777" w:rsidTr="004C0D48">
        <w:trPr>
          <w:jc w:val="center"/>
        </w:trPr>
        <w:tc>
          <w:tcPr>
            <w:tcW w:w="3589" w:type="dxa"/>
          </w:tcPr>
          <w:p w14:paraId="02E216B6" w14:textId="77777777" w:rsidR="00800FF7" w:rsidRPr="00800FF7" w:rsidRDefault="00800FF7" w:rsidP="009E3730">
            <w:pPr>
              <w:widowControl w:val="0"/>
              <w:suppressAutoHyphens/>
              <w:jc w:val="left"/>
              <w:rPr>
                <w:rFonts w:eastAsia="Times New Roman" w:cs="Arial"/>
                <w:sz w:val="20"/>
                <w:szCs w:val="20"/>
                <w:lang w:val="en-US"/>
              </w:rPr>
            </w:pPr>
            <w:r w:rsidRPr="00800FF7">
              <w:rPr>
                <w:rFonts w:eastAsia="Times New Roman" w:cs="Arial"/>
                <w:sz w:val="20"/>
                <w:szCs w:val="20"/>
                <w:lang w:val="en-US"/>
              </w:rPr>
              <w:t>Ms …………………</w:t>
            </w:r>
          </w:p>
        </w:tc>
        <w:tc>
          <w:tcPr>
            <w:tcW w:w="5414" w:type="dxa"/>
          </w:tcPr>
          <w:p w14:paraId="368DE982"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Quality Manager</w:t>
            </w:r>
          </w:p>
        </w:tc>
      </w:tr>
      <w:tr w:rsidR="00800FF7" w:rsidRPr="00800FF7" w14:paraId="282C6CDB" w14:textId="77777777" w:rsidTr="004C0D48">
        <w:trPr>
          <w:jc w:val="center"/>
        </w:trPr>
        <w:tc>
          <w:tcPr>
            <w:tcW w:w="3589" w:type="dxa"/>
          </w:tcPr>
          <w:p w14:paraId="31C97EC7" w14:textId="77777777" w:rsidR="00800FF7" w:rsidRPr="00800FF7" w:rsidRDefault="00800FF7" w:rsidP="009E3730">
            <w:pPr>
              <w:widowControl w:val="0"/>
              <w:suppressAutoHyphens/>
              <w:jc w:val="left"/>
              <w:rPr>
                <w:rFonts w:eastAsia="Times New Roman" w:cs="Arial"/>
                <w:sz w:val="20"/>
                <w:szCs w:val="20"/>
                <w:lang w:val="en-US"/>
              </w:rPr>
            </w:pPr>
            <w:r w:rsidRPr="00800FF7">
              <w:rPr>
                <w:rFonts w:eastAsia="Times New Roman" w:cs="Arial"/>
                <w:sz w:val="20"/>
                <w:szCs w:val="20"/>
                <w:lang w:val="en-US"/>
              </w:rPr>
              <w:t>Ms Luiza Mgebrishvili</w:t>
            </w:r>
          </w:p>
        </w:tc>
        <w:tc>
          <w:tcPr>
            <w:tcW w:w="5414" w:type="dxa"/>
          </w:tcPr>
          <w:p w14:paraId="1A1163C0"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Career Manager</w:t>
            </w:r>
          </w:p>
        </w:tc>
      </w:tr>
      <w:tr w:rsidR="00800FF7" w:rsidRPr="00800FF7" w14:paraId="2A78DF56" w14:textId="77777777" w:rsidTr="004C0D48">
        <w:trPr>
          <w:jc w:val="center"/>
        </w:trPr>
        <w:tc>
          <w:tcPr>
            <w:tcW w:w="9003" w:type="dxa"/>
            <w:gridSpan w:val="2"/>
          </w:tcPr>
          <w:p w14:paraId="4B58D890" w14:textId="77777777" w:rsidR="00800FF7" w:rsidRPr="00800FF7" w:rsidRDefault="00800FF7" w:rsidP="009E3730">
            <w:pPr>
              <w:widowControl w:val="0"/>
              <w:suppressAutoHyphens/>
              <w:jc w:val="left"/>
              <w:rPr>
                <w:rFonts w:eastAsia="Times New Roman" w:cs="Arial"/>
                <w:b/>
                <w:bCs/>
                <w:sz w:val="20"/>
                <w:szCs w:val="20"/>
                <w:lang w:val="en-US"/>
              </w:rPr>
            </w:pPr>
            <w:r w:rsidRPr="00800FF7">
              <w:rPr>
                <w:rFonts w:eastAsia="Times New Roman" w:cs="Arial"/>
                <w:b/>
                <w:bCs/>
                <w:sz w:val="20"/>
                <w:szCs w:val="20"/>
                <w:lang w:val="en-US"/>
              </w:rPr>
              <w:t>Georgian Technical University</w:t>
            </w:r>
          </w:p>
        </w:tc>
      </w:tr>
      <w:tr w:rsidR="00800FF7" w:rsidRPr="00800FF7" w14:paraId="785CB00F" w14:textId="77777777" w:rsidTr="004C0D48">
        <w:trPr>
          <w:jc w:val="center"/>
        </w:trPr>
        <w:tc>
          <w:tcPr>
            <w:tcW w:w="3589" w:type="dxa"/>
          </w:tcPr>
          <w:p w14:paraId="7A1CA39B" w14:textId="77777777" w:rsidR="00800FF7" w:rsidRPr="00800FF7" w:rsidRDefault="00800FF7" w:rsidP="009E3730">
            <w:pPr>
              <w:widowControl w:val="0"/>
              <w:suppressAutoHyphens/>
              <w:jc w:val="left"/>
              <w:rPr>
                <w:rFonts w:eastAsia="Times New Roman" w:cs="Arial"/>
                <w:sz w:val="20"/>
                <w:szCs w:val="20"/>
                <w:lang w:val="en-US"/>
              </w:rPr>
            </w:pPr>
            <w:r w:rsidRPr="00800FF7">
              <w:rPr>
                <w:rFonts w:eastAsia="Times New Roman" w:cs="Arial"/>
                <w:sz w:val="20"/>
                <w:szCs w:val="20"/>
                <w:lang w:val="en-US"/>
              </w:rPr>
              <w:t xml:space="preserve">Mr Zaza </w:t>
            </w:r>
            <w:r w:rsidRPr="00800FF7">
              <w:rPr>
                <w:rFonts w:eastAsia="Times New Roman" w:cs="Arial"/>
                <w:sz w:val="20"/>
                <w:szCs w:val="20"/>
                <w:highlight w:val="yellow"/>
                <w:lang w:val="en-US"/>
              </w:rPr>
              <w:t>………</w:t>
            </w:r>
          </w:p>
        </w:tc>
        <w:tc>
          <w:tcPr>
            <w:tcW w:w="5414" w:type="dxa"/>
          </w:tcPr>
          <w:p w14:paraId="37BD6872"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 xml:space="preserve">MCA ICT Project Manager </w:t>
            </w:r>
          </w:p>
        </w:tc>
      </w:tr>
      <w:tr w:rsidR="00800FF7" w:rsidRPr="00800FF7" w14:paraId="6E02B68D" w14:textId="77777777" w:rsidTr="004C0D48">
        <w:trPr>
          <w:jc w:val="center"/>
        </w:trPr>
        <w:tc>
          <w:tcPr>
            <w:tcW w:w="9003" w:type="dxa"/>
            <w:gridSpan w:val="2"/>
          </w:tcPr>
          <w:p w14:paraId="16DB16B4" w14:textId="77777777" w:rsidR="00800FF7" w:rsidRPr="00800FF7" w:rsidRDefault="00800FF7" w:rsidP="009E3730">
            <w:pPr>
              <w:widowControl w:val="0"/>
              <w:suppressAutoHyphens/>
              <w:jc w:val="left"/>
              <w:rPr>
                <w:rFonts w:eastAsia="Times New Roman" w:cs="Arial"/>
                <w:b/>
                <w:bCs/>
                <w:sz w:val="20"/>
                <w:szCs w:val="20"/>
              </w:rPr>
            </w:pPr>
            <w:r w:rsidRPr="00800FF7">
              <w:rPr>
                <w:rFonts w:eastAsia="Times New Roman" w:cs="Arial"/>
                <w:b/>
                <w:sz w:val="20"/>
                <w:szCs w:val="20"/>
              </w:rPr>
              <w:lastRenderedPageBreak/>
              <w:t>Samtskhe-Javakheti State University</w:t>
            </w:r>
          </w:p>
        </w:tc>
      </w:tr>
      <w:tr w:rsidR="00800FF7" w:rsidRPr="00800FF7" w14:paraId="5138A162" w14:textId="77777777" w:rsidTr="004C0D48">
        <w:trPr>
          <w:jc w:val="center"/>
        </w:trPr>
        <w:tc>
          <w:tcPr>
            <w:tcW w:w="3589" w:type="dxa"/>
          </w:tcPr>
          <w:p w14:paraId="79224424"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Mr Revazi ….</w:t>
            </w:r>
          </w:p>
        </w:tc>
        <w:tc>
          <w:tcPr>
            <w:tcW w:w="5414" w:type="dxa"/>
          </w:tcPr>
          <w:p w14:paraId="329D2246" w14:textId="77777777" w:rsidR="00800FF7" w:rsidRPr="00800FF7" w:rsidRDefault="00800FF7" w:rsidP="009E3730">
            <w:pPr>
              <w:widowControl w:val="0"/>
              <w:suppressAutoHyphens/>
              <w:jc w:val="left"/>
              <w:rPr>
                <w:rFonts w:eastAsia="Times New Roman" w:cs="Arial"/>
                <w:sz w:val="20"/>
                <w:szCs w:val="20"/>
              </w:rPr>
            </w:pPr>
          </w:p>
        </w:tc>
      </w:tr>
      <w:tr w:rsidR="00800FF7" w:rsidRPr="00800FF7" w14:paraId="53732EF6" w14:textId="77777777" w:rsidTr="004C0D48">
        <w:trPr>
          <w:jc w:val="center"/>
        </w:trPr>
        <w:tc>
          <w:tcPr>
            <w:tcW w:w="3589" w:type="dxa"/>
          </w:tcPr>
          <w:p w14:paraId="04941129"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Ms Tina Gelashvili</w:t>
            </w:r>
          </w:p>
        </w:tc>
        <w:tc>
          <w:tcPr>
            <w:tcW w:w="5414" w:type="dxa"/>
          </w:tcPr>
          <w:p w14:paraId="3F62FC3B" w14:textId="77777777" w:rsidR="00800FF7" w:rsidRPr="00800FF7" w:rsidRDefault="00800FF7" w:rsidP="009E3730">
            <w:pPr>
              <w:widowControl w:val="0"/>
              <w:suppressAutoHyphens/>
              <w:jc w:val="left"/>
              <w:rPr>
                <w:rFonts w:eastAsia="Times New Roman" w:cs="Arial"/>
                <w:sz w:val="20"/>
                <w:szCs w:val="20"/>
              </w:rPr>
            </w:pPr>
            <w:r w:rsidRPr="00800FF7">
              <w:rPr>
                <w:rFonts w:eastAsia="Times New Roman" w:cs="Arial"/>
                <w:sz w:val="20"/>
                <w:szCs w:val="20"/>
              </w:rPr>
              <w:t>Institutional Coordinator of TEMPUS projects</w:t>
            </w:r>
          </w:p>
        </w:tc>
      </w:tr>
      <w:tr w:rsidR="00800FF7" w:rsidRPr="00800FF7" w14:paraId="3E3D55B8" w14:textId="77777777" w:rsidTr="004C0D48">
        <w:trPr>
          <w:jc w:val="center"/>
        </w:trPr>
        <w:tc>
          <w:tcPr>
            <w:tcW w:w="9003" w:type="dxa"/>
            <w:gridSpan w:val="2"/>
          </w:tcPr>
          <w:p w14:paraId="04DD70CF" w14:textId="381C650B" w:rsidR="00800FF7" w:rsidRPr="00800FF7" w:rsidRDefault="00800FF7" w:rsidP="009E3730">
            <w:pPr>
              <w:widowControl w:val="0"/>
              <w:suppressAutoHyphens/>
              <w:jc w:val="left"/>
              <w:rPr>
                <w:rFonts w:eastAsia="Times New Roman" w:cs="Arial"/>
                <w:b/>
                <w:bCs/>
                <w:sz w:val="20"/>
                <w:szCs w:val="20"/>
              </w:rPr>
            </w:pPr>
            <w:r>
              <w:rPr>
                <w:rFonts w:eastAsia="Times New Roman" w:cs="Arial"/>
                <w:b/>
                <w:bCs/>
                <w:sz w:val="20"/>
                <w:szCs w:val="20"/>
              </w:rPr>
              <w:t>G</w:t>
            </w:r>
            <w:r w:rsidRPr="00800FF7">
              <w:rPr>
                <w:rFonts w:eastAsia="Times New Roman" w:cs="Arial"/>
                <w:b/>
                <w:bCs/>
                <w:sz w:val="20"/>
                <w:szCs w:val="20"/>
              </w:rPr>
              <w:t>ori State Teaching University</w:t>
            </w:r>
          </w:p>
        </w:tc>
      </w:tr>
      <w:tr w:rsidR="009232BF" w:rsidRPr="00800FF7" w14:paraId="20B96846" w14:textId="77777777" w:rsidTr="004C0D48">
        <w:trPr>
          <w:jc w:val="center"/>
        </w:trPr>
        <w:tc>
          <w:tcPr>
            <w:tcW w:w="3589" w:type="dxa"/>
          </w:tcPr>
          <w:p w14:paraId="788402D1" w14:textId="77777777" w:rsidR="009232BF" w:rsidRPr="00800FF7" w:rsidRDefault="009232BF" w:rsidP="009E3730">
            <w:pPr>
              <w:widowControl w:val="0"/>
              <w:suppressAutoHyphens/>
              <w:jc w:val="left"/>
              <w:rPr>
                <w:rFonts w:eastAsia="Times New Roman" w:cs="Arial"/>
                <w:sz w:val="20"/>
                <w:szCs w:val="20"/>
              </w:rPr>
            </w:pPr>
            <w:r w:rsidRPr="00800FF7">
              <w:rPr>
                <w:rFonts w:eastAsia="Times New Roman" w:cs="Arial"/>
                <w:sz w:val="20"/>
                <w:szCs w:val="20"/>
              </w:rPr>
              <w:t>Mr Alexandre Mgebrishvili</w:t>
            </w:r>
          </w:p>
        </w:tc>
        <w:tc>
          <w:tcPr>
            <w:tcW w:w="5414" w:type="dxa"/>
          </w:tcPr>
          <w:p w14:paraId="7B6D072E" w14:textId="77777777" w:rsidR="009232BF" w:rsidRPr="00800FF7" w:rsidRDefault="009232BF" w:rsidP="009E3730">
            <w:pPr>
              <w:widowControl w:val="0"/>
              <w:suppressAutoHyphens/>
              <w:jc w:val="left"/>
              <w:rPr>
                <w:rFonts w:eastAsia="Times New Roman" w:cs="Arial"/>
                <w:sz w:val="20"/>
                <w:szCs w:val="20"/>
              </w:rPr>
            </w:pPr>
            <w:r w:rsidRPr="00800FF7">
              <w:rPr>
                <w:rFonts w:eastAsia="Times New Roman" w:cs="Arial"/>
                <w:sz w:val="20"/>
                <w:szCs w:val="20"/>
              </w:rPr>
              <w:t>Vice-rector</w:t>
            </w:r>
          </w:p>
        </w:tc>
      </w:tr>
      <w:tr w:rsidR="009232BF" w:rsidRPr="00800FF7" w14:paraId="2CF7B061" w14:textId="77777777" w:rsidTr="004C0D48">
        <w:trPr>
          <w:jc w:val="center"/>
        </w:trPr>
        <w:tc>
          <w:tcPr>
            <w:tcW w:w="3589" w:type="dxa"/>
          </w:tcPr>
          <w:p w14:paraId="03E202F3" w14:textId="77777777" w:rsidR="009232BF" w:rsidRPr="00800FF7" w:rsidRDefault="009232BF" w:rsidP="009E3730">
            <w:pPr>
              <w:widowControl w:val="0"/>
              <w:suppressAutoHyphens/>
              <w:jc w:val="left"/>
              <w:rPr>
                <w:rFonts w:eastAsia="Times New Roman" w:cs="Arial"/>
                <w:sz w:val="20"/>
                <w:szCs w:val="20"/>
              </w:rPr>
            </w:pPr>
            <w:r w:rsidRPr="00800FF7">
              <w:rPr>
                <w:rFonts w:eastAsia="Times New Roman" w:cs="Arial"/>
                <w:sz w:val="20"/>
                <w:szCs w:val="20"/>
              </w:rPr>
              <w:t>Mr Giorgi Khorbaladze</w:t>
            </w:r>
          </w:p>
        </w:tc>
        <w:tc>
          <w:tcPr>
            <w:tcW w:w="5414" w:type="dxa"/>
          </w:tcPr>
          <w:p w14:paraId="1097DCA0" w14:textId="77777777" w:rsidR="009232BF" w:rsidRPr="00800FF7" w:rsidRDefault="009232BF" w:rsidP="009E3730">
            <w:pPr>
              <w:widowControl w:val="0"/>
              <w:suppressAutoHyphens/>
              <w:jc w:val="left"/>
              <w:rPr>
                <w:rFonts w:eastAsia="Times New Roman" w:cs="Arial"/>
                <w:sz w:val="20"/>
                <w:szCs w:val="20"/>
              </w:rPr>
            </w:pPr>
            <w:r w:rsidRPr="00800FF7">
              <w:rPr>
                <w:rFonts w:eastAsia="Times New Roman" w:cs="Arial"/>
                <w:sz w:val="20"/>
                <w:szCs w:val="20"/>
              </w:rPr>
              <w:t>Head of Administration</w:t>
            </w:r>
          </w:p>
        </w:tc>
      </w:tr>
      <w:tr w:rsidR="009232BF" w:rsidRPr="00800FF7" w14:paraId="6390C93F" w14:textId="77777777" w:rsidTr="004C0D48">
        <w:trPr>
          <w:jc w:val="center"/>
        </w:trPr>
        <w:tc>
          <w:tcPr>
            <w:tcW w:w="3589" w:type="dxa"/>
          </w:tcPr>
          <w:p w14:paraId="3536534E" w14:textId="77777777" w:rsidR="009232BF" w:rsidRPr="00800FF7" w:rsidRDefault="009232BF" w:rsidP="009E3730">
            <w:pPr>
              <w:widowControl w:val="0"/>
              <w:suppressAutoHyphens/>
              <w:jc w:val="left"/>
              <w:rPr>
                <w:rFonts w:eastAsia="Times New Roman" w:cs="Arial"/>
                <w:sz w:val="20"/>
                <w:szCs w:val="20"/>
              </w:rPr>
            </w:pPr>
            <w:r w:rsidRPr="00800FF7">
              <w:rPr>
                <w:rFonts w:eastAsia="Times New Roman" w:cs="Arial"/>
                <w:sz w:val="20"/>
                <w:szCs w:val="20"/>
              </w:rPr>
              <w:t>Mr Levan Midodashvili</w:t>
            </w:r>
          </w:p>
        </w:tc>
        <w:tc>
          <w:tcPr>
            <w:tcW w:w="5414" w:type="dxa"/>
          </w:tcPr>
          <w:p w14:paraId="0026978E" w14:textId="77777777" w:rsidR="009232BF" w:rsidRPr="00800FF7" w:rsidRDefault="009232BF" w:rsidP="009E3730">
            <w:pPr>
              <w:widowControl w:val="0"/>
              <w:suppressAutoHyphens/>
              <w:jc w:val="left"/>
              <w:rPr>
                <w:rFonts w:eastAsia="Times New Roman" w:cs="Arial"/>
                <w:sz w:val="20"/>
                <w:szCs w:val="20"/>
              </w:rPr>
            </w:pPr>
            <w:r w:rsidRPr="00800FF7">
              <w:rPr>
                <w:rFonts w:eastAsia="Times New Roman" w:cs="Arial"/>
                <w:sz w:val="20"/>
                <w:szCs w:val="20"/>
              </w:rPr>
              <w:t>Quality Manager</w:t>
            </w:r>
          </w:p>
        </w:tc>
      </w:tr>
      <w:tr w:rsidR="009232BF" w:rsidRPr="00800FF7" w14:paraId="6C9C3E68" w14:textId="77777777" w:rsidTr="004C0D48">
        <w:trPr>
          <w:jc w:val="center"/>
        </w:trPr>
        <w:tc>
          <w:tcPr>
            <w:tcW w:w="3589" w:type="dxa"/>
          </w:tcPr>
          <w:p w14:paraId="44856B9A" w14:textId="77777777" w:rsidR="009232BF" w:rsidRPr="00800FF7" w:rsidRDefault="009232BF" w:rsidP="009E3730">
            <w:pPr>
              <w:widowControl w:val="0"/>
              <w:suppressAutoHyphens/>
              <w:jc w:val="left"/>
              <w:rPr>
                <w:rFonts w:eastAsia="Times New Roman" w:cs="Arial"/>
                <w:sz w:val="20"/>
                <w:szCs w:val="20"/>
              </w:rPr>
            </w:pPr>
            <w:r w:rsidRPr="00800FF7">
              <w:rPr>
                <w:rFonts w:eastAsia="Times New Roman" w:cs="Arial"/>
                <w:sz w:val="20"/>
                <w:szCs w:val="20"/>
              </w:rPr>
              <w:t>Mr Levan Tsikaridze</w:t>
            </w:r>
          </w:p>
        </w:tc>
        <w:tc>
          <w:tcPr>
            <w:tcW w:w="5414" w:type="dxa"/>
          </w:tcPr>
          <w:p w14:paraId="4D7DC285" w14:textId="77777777" w:rsidR="009232BF" w:rsidRPr="00800FF7" w:rsidRDefault="009232BF" w:rsidP="009E3730">
            <w:pPr>
              <w:widowControl w:val="0"/>
              <w:suppressAutoHyphens/>
              <w:jc w:val="left"/>
              <w:rPr>
                <w:rFonts w:eastAsia="Times New Roman" w:cs="Arial"/>
                <w:sz w:val="20"/>
                <w:szCs w:val="20"/>
              </w:rPr>
            </w:pPr>
            <w:r w:rsidRPr="00800FF7">
              <w:rPr>
                <w:rFonts w:eastAsia="Times New Roman" w:cs="Arial"/>
                <w:sz w:val="20"/>
                <w:szCs w:val="20"/>
              </w:rPr>
              <w:t>VET programmes Manager</w:t>
            </w:r>
          </w:p>
        </w:tc>
      </w:tr>
      <w:tr w:rsidR="009232BF" w:rsidRPr="00800FF7" w14:paraId="4AFA1C3E" w14:textId="77777777" w:rsidTr="004C0D48">
        <w:trPr>
          <w:jc w:val="center"/>
        </w:trPr>
        <w:tc>
          <w:tcPr>
            <w:tcW w:w="3589" w:type="dxa"/>
          </w:tcPr>
          <w:p w14:paraId="411310AB" w14:textId="77777777" w:rsidR="009232BF" w:rsidRPr="00800FF7" w:rsidRDefault="009232BF" w:rsidP="009E3730">
            <w:pPr>
              <w:widowControl w:val="0"/>
              <w:suppressAutoHyphens/>
              <w:jc w:val="left"/>
              <w:rPr>
                <w:rFonts w:eastAsia="Times New Roman" w:cs="Arial"/>
                <w:sz w:val="20"/>
                <w:szCs w:val="20"/>
              </w:rPr>
            </w:pPr>
            <w:r w:rsidRPr="00800FF7">
              <w:rPr>
                <w:rFonts w:eastAsia="Times New Roman" w:cs="Arial"/>
                <w:sz w:val="20"/>
                <w:szCs w:val="20"/>
              </w:rPr>
              <w:t>Mr David Kvernadze</w:t>
            </w:r>
          </w:p>
        </w:tc>
        <w:tc>
          <w:tcPr>
            <w:tcW w:w="5414" w:type="dxa"/>
          </w:tcPr>
          <w:p w14:paraId="137357C0" w14:textId="77777777" w:rsidR="009232BF" w:rsidRPr="00800FF7" w:rsidRDefault="009232BF" w:rsidP="009E3730">
            <w:pPr>
              <w:widowControl w:val="0"/>
              <w:suppressAutoHyphens/>
              <w:jc w:val="left"/>
              <w:rPr>
                <w:rFonts w:eastAsia="Times New Roman" w:cs="Arial"/>
                <w:sz w:val="20"/>
                <w:szCs w:val="20"/>
              </w:rPr>
            </w:pPr>
            <w:r w:rsidRPr="00800FF7">
              <w:rPr>
                <w:rFonts w:eastAsia="Times New Roman" w:cs="Arial"/>
                <w:sz w:val="20"/>
                <w:szCs w:val="20"/>
              </w:rPr>
              <w:t>Lawyer</w:t>
            </w:r>
          </w:p>
        </w:tc>
      </w:tr>
      <w:tr w:rsidR="009232BF" w:rsidRPr="00800FF7" w14:paraId="2DDAD136" w14:textId="77777777" w:rsidTr="004C0D48">
        <w:trPr>
          <w:jc w:val="center"/>
        </w:trPr>
        <w:tc>
          <w:tcPr>
            <w:tcW w:w="9003" w:type="dxa"/>
            <w:gridSpan w:val="2"/>
          </w:tcPr>
          <w:p w14:paraId="0DEF3BEE" w14:textId="286CF13C" w:rsidR="009232BF" w:rsidRDefault="009232BF" w:rsidP="009E3730">
            <w:pPr>
              <w:widowControl w:val="0"/>
              <w:suppressAutoHyphens/>
              <w:jc w:val="left"/>
              <w:rPr>
                <w:rFonts w:eastAsia="Times New Roman" w:cs="Arial"/>
                <w:b/>
                <w:bCs/>
                <w:sz w:val="20"/>
                <w:szCs w:val="20"/>
              </w:rPr>
            </w:pPr>
            <w:r>
              <w:rPr>
                <w:rFonts w:eastAsia="Times New Roman" w:cs="Arial"/>
                <w:b/>
                <w:bCs/>
                <w:sz w:val="20"/>
                <w:szCs w:val="20"/>
              </w:rPr>
              <w:t>Akhaltsikhe SSA</w:t>
            </w:r>
            <w:r w:rsidR="00CA078D">
              <w:rPr>
                <w:rFonts w:eastAsia="Times New Roman" w:cs="Arial"/>
                <w:b/>
                <w:bCs/>
                <w:sz w:val="20"/>
                <w:szCs w:val="20"/>
              </w:rPr>
              <w:t xml:space="preserve"> Regional Office</w:t>
            </w:r>
          </w:p>
        </w:tc>
      </w:tr>
      <w:tr w:rsidR="009232BF" w:rsidRPr="00800FF7" w14:paraId="4BC8EFA8" w14:textId="77777777" w:rsidTr="004C0D48">
        <w:trPr>
          <w:jc w:val="center"/>
        </w:trPr>
        <w:tc>
          <w:tcPr>
            <w:tcW w:w="3589" w:type="dxa"/>
          </w:tcPr>
          <w:p w14:paraId="007101F3" w14:textId="1877ACD6" w:rsidR="009232BF" w:rsidRPr="00800FF7" w:rsidRDefault="009232BF" w:rsidP="009E3730">
            <w:pPr>
              <w:widowControl w:val="0"/>
              <w:suppressAutoHyphens/>
              <w:jc w:val="left"/>
              <w:rPr>
                <w:rFonts w:eastAsia="Times New Roman" w:cs="Arial"/>
                <w:sz w:val="20"/>
                <w:szCs w:val="20"/>
              </w:rPr>
            </w:pPr>
            <w:r>
              <w:rPr>
                <w:rFonts w:eastAsia="Times New Roman" w:cs="Arial"/>
                <w:sz w:val="20"/>
                <w:szCs w:val="20"/>
              </w:rPr>
              <w:t>Mr David Gogaladze</w:t>
            </w:r>
          </w:p>
        </w:tc>
        <w:tc>
          <w:tcPr>
            <w:tcW w:w="5414" w:type="dxa"/>
          </w:tcPr>
          <w:p w14:paraId="0A647AD5" w14:textId="422E4B69" w:rsidR="009232BF" w:rsidRPr="00800FF7" w:rsidRDefault="009232BF" w:rsidP="009E3730">
            <w:pPr>
              <w:widowControl w:val="0"/>
              <w:suppressAutoHyphens/>
              <w:jc w:val="left"/>
              <w:rPr>
                <w:rFonts w:eastAsia="Times New Roman" w:cs="Arial"/>
                <w:sz w:val="20"/>
                <w:szCs w:val="20"/>
              </w:rPr>
            </w:pPr>
            <w:r>
              <w:rPr>
                <w:rFonts w:eastAsia="Times New Roman" w:cs="Arial"/>
                <w:sz w:val="20"/>
                <w:szCs w:val="20"/>
              </w:rPr>
              <w:t>Head</w:t>
            </w:r>
          </w:p>
        </w:tc>
      </w:tr>
      <w:tr w:rsidR="009232BF" w:rsidRPr="00800FF7" w14:paraId="003812EB" w14:textId="77777777" w:rsidTr="004C0D48">
        <w:trPr>
          <w:jc w:val="center"/>
        </w:trPr>
        <w:tc>
          <w:tcPr>
            <w:tcW w:w="3589" w:type="dxa"/>
          </w:tcPr>
          <w:p w14:paraId="769EE0CC" w14:textId="77777777" w:rsidR="009232BF" w:rsidRPr="00800FF7" w:rsidRDefault="009232BF" w:rsidP="009E3730">
            <w:pPr>
              <w:widowControl w:val="0"/>
              <w:suppressAutoHyphens/>
              <w:jc w:val="left"/>
              <w:rPr>
                <w:rFonts w:eastAsia="Times New Roman" w:cs="Arial"/>
                <w:sz w:val="20"/>
                <w:szCs w:val="20"/>
              </w:rPr>
            </w:pPr>
          </w:p>
        </w:tc>
        <w:tc>
          <w:tcPr>
            <w:tcW w:w="5414" w:type="dxa"/>
          </w:tcPr>
          <w:p w14:paraId="4822F5AF" w14:textId="77777777" w:rsidR="009232BF" w:rsidRPr="00800FF7" w:rsidRDefault="009232BF" w:rsidP="009E3730">
            <w:pPr>
              <w:widowControl w:val="0"/>
              <w:suppressAutoHyphens/>
              <w:jc w:val="left"/>
              <w:rPr>
                <w:rFonts w:eastAsia="Times New Roman" w:cs="Arial"/>
                <w:sz w:val="20"/>
                <w:szCs w:val="20"/>
              </w:rPr>
            </w:pPr>
          </w:p>
        </w:tc>
      </w:tr>
      <w:tr w:rsidR="009232BF" w:rsidRPr="00800FF7" w14:paraId="115C97D9" w14:textId="77777777" w:rsidTr="004C0D48">
        <w:trPr>
          <w:jc w:val="center"/>
        </w:trPr>
        <w:tc>
          <w:tcPr>
            <w:tcW w:w="9003" w:type="dxa"/>
            <w:gridSpan w:val="2"/>
          </w:tcPr>
          <w:p w14:paraId="04AA3915" w14:textId="29FEB831" w:rsidR="009232BF" w:rsidRDefault="009232BF" w:rsidP="009E3730">
            <w:pPr>
              <w:widowControl w:val="0"/>
              <w:suppressAutoHyphens/>
              <w:jc w:val="left"/>
              <w:rPr>
                <w:rFonts w:eastAsia="Times New Roman" w:cs="Arial"/>
                <w:b/>
                <w:bCs/>
                <w:sz w:val="20"/>
                <w:szCs w:val="20"/>
              </w:rPr>
            </w:pPr>
            <w:r>
              <w:rPr>
                <w:rFonts w:eastAsia="Times New Roman" w:cs="Arial"/>
                <w:b/>
                <w:bCs/>
                <w:sz w:val="20"/>
                <w:szCs w:val="20"/>
              </w:rPr>
              <w:t>Gori SSA</w:t>
            </w:r>
            <w:r w:rsidR="00CA078D">
              <w:rPr>
                <w:rFonts w:eastAsia="Times New Roman" w:cs="Arial"/>
                <w:b/>
                <w:bCs/>
                <w:sz w:val="20"/>
                <w:szCs w:val="20"/>
              </w:rPr>
              <w:t xml:space="preserve"> Regional Office</w:t>
            </w:r>
          </w:p>
        </w:tc>
      </w:tr>
      <w:tr w:rsidR="009232BF" w:rsidRPr="00800FF7" w14:paraId="1EAA8AB8" w14:textId="77777777" w:rsidTr="004C0D48">
        <w:trPr>
          <w:jc w:val="center"/>
        </w:trPr>
        <w:tc>
          <w:tcPr>
            <w:tcW w:w="3589" w:type="dxa"/>
          </w:tcPr>
          <w:p w14:paraId="3BC3CE5E" w14:textId="050FC16E" w:rsidR="009232BF" w:rsidRPr="00800FF7" w:rsidRDefault="009232BF" w:rsidP="009E3730">
            <w:pPr>
              <w:widowControl w:val="0"/>
              <w:suppressAutoHyphens/>
              <w:jc w:val="left"/>
              <w:rPr>
                <w:rFonts w:eastAsia="Times New Roman" w:cs="Arial"/>
                <w:sz w:val="20"/>
                <w:szCs w:val="20"/>
              </w:rPr>
            </w:pPr>
            <w:r>
              <w:rPr>
                <w:rFonts w:eastAsia="Times New Roman" w:cs="Arial"/>
                <w:sz w:val="20"/>
                <w:szCs w:val="20"/>
              </w:rPr>
              <w:t>Ms Tea Tedeluri</w:t>
            </w:r>
          </w:p>
        </w:tc>
        <w:tc>
          <w:tcPr>
            <w:tcW w:w="5414" w:type="dxa"/>
          </w:tcPr>
          <w:p w14:paraId="61D0B487" w14:textId="487C5AF9" w:rsidR="009232BF" w:rsidRPr="00800FF7" w:rsidRDefault="009232BF" w:rsidP="009E3730">
            <w:pPr>
              <w:widowControl w:val="0"/>
              <w:suppressAutoHyphens/>
              <w:jc w:val="left"/>
              <w:rPr>
                <w:rFonts w:eastAsia="Times New Roman" w:cs="Arial"/>
                <w:sz w:val="20"/>
                <w:szCs w:val="20"/>
              </w:rPr>
            </w:pPr>
            <w:r>
              <w:rPr>
                <w:rFonts w:eastAsia="Times New Roman" w:cs="Arial"/>
                <w:sz w:val="20"/>
                <w:szCs w:val="20"/>
              </w:rPr>
              <w:t>Head</w:t>
            </w:r>
          </w:p>
        </w:tc>
      </w:tr>
      <w:tr w:rsidR="009232BF" w:rsidRPr="00800FF7" w14:paraId="692AB845" w14:textId="77777777" w:rsidTr="004C0D48">
        <w:trPr>
          <w:jc w:val="center"/>
        </w:trPr>
        <w:tc>
          <w:tcPr>
            <w:tcW w:w="3589" w:type="dxa"/>
          </w:tcPr>
          <w:p w14:paraId="0F9868FF" w14:textId="77777777" w:rsidR="009232BF" w:rsidRPr="00800FF7" w:rsidRDefault="009232BF" w:rsidP="009E3730">
            <w:pPr>
              <w:widowControl w:val="0"/>
              <w:suppressAutoHyphens/>
              <w:jc w:val="left"/>
              <w:rPr>
                <w:rFonts w:eastAsia="Times New Roman" w:cs="Arial"/>
                <w:sz w:val="20"/>
                <w:szCs w:val="20"/>
              </w:rPr>
            </w:pPr>
          </w:p>
        </w:tc>
        <w:tc>
          <w:tcPr>
            <w:tcW w:w="5414" w:type="dxa"/>
          </w:tcPr>
          <w:p w14:paraId="6500C24C" w14:textId="77777777" w:rsidR="009232BF" w:rsidRPr="00800FF7" w:rsidRDefault="009232BF" w:rsidP="009E3730">
            <w:pPr>
              <w:widowControl w:val="0"/>
              <w:suppressAutoHyphens/>
              <w:jc w:val="left"/>
              <w:rPr>
                <w:rFonts w:eastAsia="Times New Roman" w:cs="Arial"/>
                <w:sz w:val="20"/>
                <w:szCs w:val="20"/>
              </w:rPr>
            </w:pPr>
          </w:p>
        </w:tc>
      </w:tr>
      <w:tr w:rsidR="00CA078D" w:rsidRPr="00800FF7" w14:paraId="5108640E" w14:textId="77777777" w:rsidTr="004C0D48">
        <w:trPr>
          <w:jc w:val="center"/>
        </w:trPr>
        <w:tc>
          <w:tcPr>
            <w:tcW w:w="9003" w:type="dxa"/>
            <w:gridSpan w:val="2"/>
          </w:tcPr>
          <w:p w14:paraId="10EC370B" w14:textId="49F35CBB" w:rsidR="00CA078D" w:rsidRDefault="00CA078D" w:rsidP="009E3730">
            <w:pPr>
              <w:widowControl w:val="0"/>
              <w:suppressAutoHyphens/>
              <w:jc w:val="left"/>
              <w:rPr>
                <w:rFonts w:eastAsia="Times New Roman" w:cs="Arial"/>
                <w:b/>
                <w:bCs/>
                <w:sz w:val="20"/>
                <w:szCs w:val="20"/>
              </w:rPr>
            </w:pPr>
            <w:r>
              <w:rPr>
                <w:rFonts w:eastAsia="Times New Roman" w:cs="Arial"/>
                <w:b/>
                <w:bCs/>
                <w:sz w:val="20"/>
                <w:szCs w:val="20"/>
              </w:rPr>
              <w:t>Mtskheta SSA Regional Office</w:t>
            </w:r>
          </w:p>
        </w:tc>
      </w:tr>
      <w:tr w:rsidR="00CA078D" w:rsidRPr="00800FF7" w14:paraId="7F575A6C" w14:textId="77777777" w:rsidTr="004C0D48">
        <w:trPr>
          <w:jc w:val="center"/>
        </w:trPr>
        <w:tc>
          <w:tcPr>
            <w:tcW w:w="3589" w:type="dxa"/>
          </w:tcPr>
          <w:p w14:paraId="62BEB45A" w14:textId="2F26F889" w:rsidR="00CA078D" w:rsidRPr="00800FF7" w:rsidRDefault="00CA078D" w:rsidP="009E3730">
            <w:pPr>
              <w:widowControl w:val="0"/>
              <w:suppressAutoHyphens/>
              <w:jc w:val="left"/>
              <w:rPr>
                <w:rFonts w:eastAsia="Times New Roman" w:cs="Arial"/>
                <w:sz w:val="20"/>
                <w:szCs w:val="20"/>
              </w:rPr>
            </w:pPr>
            <w:r>
              <w:rPr>
                <w:rFonts w:eastAsia="Times New Roman" w:cs="Arial"/>
                <w:sz w:val="20"/>
                <w:szCs w:val="20"/>
              </w:rPr>
              <w:t>Ms Maka Khamkhadze</w:t>
            </w:r>
          </w:p>
        </w:tc>
        <w:tc>
          <w:tcPr>
            <w:tcW w:w="5414" w:type="dxa"/>
          </w:tcPr>
          <w:p w14:paraId="4919D6EF" w14:textId="05196CF3" w:rsidR="00CA078D" w:rsidRPr="00800FF7" w:rsidRDefault="00CA078D" w:rsidP="009E3730">
            <w:pPr>
              <w:widowControl w:val="0"/>
              <w:suppressAutoHyphens/>
              <w:jc w:val="left"/>
              <w:rPr>
                <w:rFonts w:eastAsia="Times New Roman" w:cs="Arial"/>
                <w:sz w:val="20"/>
                <w:szCs w:val="20"/>
              </w:rPr>
            </w:pPr>
            <w:r>
              <w:rPr>
                <w:rFonts w:eastAsia="Times New Roman" w:cs="Arial"/>
                <w:sz w:val="20"/>
                <w:szCs w:val="20"/>
              </w:rPr>
              <w:t>Head</w:t>
            </w:r>
          </w:p>
        </w:tc>
      </w:tr>
      <w:tr w:rsidR="009232BF" w:rsidRPr="00800FF7" w14:paraId="1C770120" w14:textId="77777777" w:rsidTr="004C0D48">
        <w:trPr>
          <w:jc w:val="center"/>
        </w:trPr>
        <w:tc>
          <w:tcPr>
            <w:tcW w:w="9003" w:type="dxa"/>
            <w:gridSpan w:val="2"/>
          </w:tcPr>
          <w:p w14:paraId="4CC77F99" w14:textId="3C1C9257" w:rsidR="009232BF" w:rsidRDefault="009232BF" w:rsidP="009E3730">
            <w:pPr>
              <w:widowControl w:val="0"/>
              <w:suppressAutoHyphens/>
              <w:jc w:val="left"/>
              <w:rPr>
                <w:rFonts w:eastAsia="Times New Roman" w:cs="Arial"/>
                <w:b/>
                <w:bCs/>
                <w:sz w:val="20"/>
                <w:szCs w:val="20"/>
              </w:rPr>
            </w:pPr>
            <w:r>
              <w:rPr>
                <w:rFonts w:eastAsia="Times New Roman" w:cs="Arial"/>
                <w:b/>
                <w:bCs/>
                <w:sz w:val="20"/>
                <w:szCs w:val="20"/>
              </w:rPr>
              <w:t>Rustavi SSA</w:t>
            </w:r>
            <w:r w:rsidR="00CA078D">
              <w:rPr>
                <w:rFonts w:eastAsia="Times New Roman" w:cs="Arial"/>
                <w:b/>
                <w:bCs/>
                <w:sz w:val="20"/>
                <w:szCs w:val="20"/>
              </w:rPr>
              <w:t xml:space="preserve"> Regional Office</w:t>
            </w:r>
          </w:p>
        </w:tc>
      </w:tr>
      <w:tr w:rsidR="009232BF" w:rsidRPr="00800FF7" w14:paraId="6504E46B" w14:textId="77777777" w:rsidTr="004C0D48">
        <w:trPr>
          <w:jc w:val="center"/>
        </w:trPr>
        <w:tc>
          <w:tcPr>
            <w:tcW w:w="3589" w:type="dxa"/>
          </w:tcPr>
          <w:p w14:paraId="7F010995" w14:textId="6F1F47D2" w:rsidR="009232BF" w:rsidRPr="00800FF7" w:rsidRDefault="009232BF" w:rsidP="009E3730">
            <w:pPr>
              <w:widowControl w:val="0"/>
              <w:suppressAutoHyphens/>
              <w:jc w:val="left"/>
              <w:rPr>
                <w:rFonts w:eastAsia="Times New Roman" w:cs="Arial"/>
                <w:sz w:val="20"/>
                <w:szCs w:val="20"/>
              </w:rPr>
            </w:pPr>
            <w:r>
              <w:rPr>
                <w:rFonts w:eastAsia="Times New Roman" w:cs="Arial"/>
                <w:sz w:val="20"/>
                <w:szCs w:val="20"/>
              </w:rPr>
              <w:t>Ms Lela Machav</w:t>
            </w:r>
            <w:r w:rsidR="00CA078D">
              <w:rPr>
                <w:rFonts w:eastAsia="Times New Roman" w:cs="Arial"/>
                <w:sz w:val="20"/>
                <w:szCs w:val="20"/>
              </w:rPr>
              <w:t>ariani</w:t>
            </w:r>
          </w:p>
        </w:tc>
        <w:tc>
          <w:tcPr>
            <w:tcW w:w="5414" w:type="dxa"/>
          </w:tcPr>
          <w:p w14:paraId="65D9865F" w14:textId="1E13401F" w:rsidR="009232BF" w:rsidRPr="00800FF7" w:rsidRDefault="00CA078D" w:rsidP="009E3730">
            <w:pPr>
              <w:widowControl w:val="0"/>
              <w:suppressAutoHyphens/>
              <w:jc w:val="left"/>
              <w:rPr>
                <w:rFonts w:eastAsia="Times New Roman" w:cs="Arial"/>
                <w:sz w:val="20"/>
                <w:szCs w:val="20"/>
              </w:rPr>
            </w:pPr>
            <w:r>
              <w:rPr>
                <w:rFonts w:eastAsia="Times New Roman" w:cs="Arial"/>
                <w:sz w:val="20"/>
                <w:szCs w:val="20"/>
              </w:rPr>
              <w:t>Deputy Head</w:t>
            </w:r>
          </w:p>
        </w:tc>
      </w:tr>
      <w:tr w:rsidR="00CA078D" w:rsidRPr="00800FF7" w14:paraId="0BADE49B" w14:textId="77777777" w:rsidTr="004C0D48">
        <w:trPr>
          <w:jc w:val="center"/>
        </w:trPr>
        <w:tc>
          <w:tcPr>
            <w:tcW w:w="3589" w:type="dxa"/>
          </w:tcPr>
          <w:p w14:paraId="4A44B7B8" w14:textId="2927BE6A" w:rsidR="00CA078D" w:rsidRDefault="00CA078D" w:rsidP="009E3730">
            <w:pPr>
              <w:widowControl w:val="0"/>
              <w:suppressAutoHyphens/>
              <w:jc w:val="left"/>
              <w:rPr>
                <w:rFonts w:eastAsia="Times New Roman" w:cs="Arial"/>
                <w:sz w:val="20"/>
                <w:szCs w:val="20"/>
              </w:rPr>
            </w:pPr>
            <w:r>
              <w:rPr>
                <w:rFonts w:eastAsia="Times New Roman" w:cs="Arial"/>
                <w:sz w:val="20"/>
                <w:szCs w:val="20"/>
              </w:rPr>
              <w:t>Mr Leri Gelenava</w:t>
            </w:r>
          </w:p>
        </w:tc>
        <w:tc>
          <w:tcPr>
            <w:tcW w:w="5414" w:type="dxa"/>
          </w:tcPr>
          <w:p w14:paraId="4948DF5E" w14:textId="74C0B382" w:rsidR="00CA078D" w:rsidRDefault="00CA078D" w:rsidP="009E3730">
            <w:pPr>
              <w:widowControl w:val="0"/>
              <w:suppressAutoHyphens/>
              <w:jc w:val="left"/>
              <w:rPr>
                <w:rFonts w:eastAsia="Times New Roman" w:cs="Arial"/>
                <w:sz w:val="20"/>
                <w:szCs w:val="20"/>
              </w:rPr>
            </w:pPr>
            <w:r>
              <w:rPr>
                <w:rFonts w:eastAsia="Times New Roman" w:cs="Arial"/>
                <w:sz w:val="20"/>
                <w:szCs w:val="20"/>
              </w:rPr>
              <w:t>Career Guidance Specialist</w:t>
            </w:r>
          </w:p>
        </w:tc>
      </w:tr>
      <w:tr w:rsidR="009232BF" w:rsidRPr="00800FF7" w14:paraId="36DD3545" w14:textId="77777777" w:rsidTr="004C0D48">
        <w:trPr>
          <w:jc w:val="center"/>
        </w:trPr>
        <w:tc>
          <w:tcPr>
            <w:tcW w:w="9003" w:type="dxa"/>
            <w:gridSpan w:val="2"/>
          </w:tcPr>
          <w:p w14:paraId="35E8965D" w14:textId="5946F9CB" w:rsidR="009232BF" w:rsidRDefault="009232BF" w:rsidP="00195CD3">
            <w:pPr>
              <w:widowControl w:val="0"/>
              <w:suppressAutoHyphens/>
              <w:jc w:val="left"/>
              <w:rPr>
                <w:rFonts w:eastAsia="Times New Roman" w:cs="Arial"/>
                <w:b/>
                <w:bCs/>
                <w:sz w:val="20"/>
                <w:szCs w:val="20"/>
              </w:rPr>
            </w:pPr>
            <w:r>
              <w:rPr>
                <w:rFonts w:eastAsia="Times New Roman" w:cs="Arial"/>
                <w:b/>
                <w:bCs/>
                <w:sz w:val="20"/>
                <w:szCs w:val="20"/>
              </w:rPr>
              <w:t xml:space="preserve">Tbilisi </w:t>
            </w:r>
            <w:r w:rsidR="00195CD3">
              <w:rPr>
                <w:rFonts w:eastAsia="Times New Roman" w:cs="Arial"/>
                <w:b/>
                <w:bCs/>
                <w:sz w:val="20"/>
                <w:szCs w:val="20"/>
              </w:rPr>
              <w:t>Vake-Saburtalo</w:t>
            </w:r>
            <w:r>
              <w:rPr>
                <w:rFonts w:eastAsia="Times New Roman" w:cs="Arial"/>
                <w:b/>
                <w:bCs/>
                <w:sz w:val="20"/>
                <w:szCs w:val="20"/>
              </w:rPr>
              <w:t xml:space="preserve"> SSA</w:t>
            </w:r>
            <w:r w:rsidR="00195CD3">
              <w:rPr>
                <w:rFonts w:eastAsia="Times New Roman" w:cs="Arial"/>
                <w:b/>
                <w:bCs/>
                <w:sz w:val="20"/>
                <w:szCs w:val="20"/>
              </w:rPr>
              <w:t xml:space="preserve"> Office</w:t>
            </w:r>
          </w:p>
        </w:tc>
      </w:tr>
      <w:tr w:rsidR="009232BF" w:rsidRPr="00800FF7" w14:paraId="3D75C791" w14:textId="77777777" w:rsidTr="004C0D48">
        <w:trPr>
          <w:jc w:val="center"/>
        </w:trPr>
        <w:tc>
          <w:tcPr>
            <w:tcW w:w="3589" w:type="dxa"/>
          </w:tcPr>
          <w:p w14:paraId="6F106058" w14:textId="77777777" w:rsidR="009232BF" w:rsidRPr="00800FF7" w:rsidRDefault="009232BF" w:rsidP="009E3730">
            <w:pPr>
              <w:widowControl w:val="0"/>
              <w:suppressAutoHyphens/>
              <w:jc w:val="left"/>
              <w:rPr>
                <w:rFonts w:eastAsia="Times New Roman" w:cs="Arial"/>
                <w:sz w:val="20"/>
                <w:szCs w:val="20"/>
              </w:rPr>
            </w:pPr>
          </w:p>
        </w:tc>
        <w:tc>
          <w:tcPr>
            <w:tcW w:w="5414" w:type="dxa"/>
          </w:tcPr>
          <w:p w14:paraId="624CF592" w14:textId="77777777" w:rsidR="009232BF" w:rsidRPr="00800FF7" w:rsidRDefault="009232BF" w:rsidP="009E3730">
            <w:pPr>
              <w:widowControl w:val="0"/>
              <w:suppressAutoHyphens/>
              <w:jc w:val="left"/>
              <w:rPr>
                <w:rFonts w:eastAsia="Times New Roman" w:cs="Arial"/>
                <w:sz w:val="20"/>
                <w:szCs w:val="20"/>
              </w:rPr>
            </w:pPr>
          </w:p>
        </w:tc>
      </w:tr>
      <w:tr w:rsidR="009232BF" w:rsidRPr="00800FF7" w14:paraId="6D358EA0" w14:textId="77777777" w:rsidTr="004C0D48">
        <w:trPr>
          <w:jc w:val="center"/>
        </w:trPr>
        <w:tc>
          <w:tcPr>
            <w:tcW w:w="3589" w:type="dxa"/>
          </w:tcPr>
          <w:p w14:paraId="6A75E43C" w14:textId="77777777" w:rsidR="009232BF" w:rsidRPr="00800FF7" w:rsidRDefault="009232BF" w:rsidP="009E3730">
            <w:pPr>
              <w:widowControl w:val="0"/>
              <w:suppressAutoHyphens/>
              <w:jc w:val="left"/>
              <w:rPr>
                <w:rFonts w:eastAsia="Times New Roman" w:cs="Arial"/>
                <w:sz w:val="20"/>
                <w:szCs w:val="20"/>
              </w:rPr>
            </w:pPr>
          </w:p>
        </w:tc>
        <w:tc>
          <w:tcPr>
            <w:tcW w:w="5414" w:type="dxa"/>
          </w:tcPr>
          <w:p w14:paraId="47C1B47A" w14:textId="77777777" w:rsidR="009232BF" w:rsidRPr="00800FF7" w:rsidRDefault="009232BF" w:rsidP="009E3730">
            <w:pPr>
              <w:widowControl w:val="0"/>
              <w:suppressAutoHyphens/>
              <w:jc w:val="left"/>
              <w:rPr>
                <w:rFonts w:eastAsia="Times New Roman" w:cs="Arial"/>
                <w:sz w:val="20"/>
                <w:szCs w:val="20"/>
              </w:rPr>
            </w:pPr>
          </w:p>
        </w:tc>
      </w:tr>
      <w:tr w:rsidR="009232BF" w:rsidRPr="00800FF7" w14:paraId="41EA2624" w14:textId="77777777" w:rsidTr="004C0D48">
        <w:trPr>
          <w:jc w:val="center"/>
        </w:trPr>
        <w:tc>
          <w:tcPr>
            <w:tcW w:w="9003" w:type="dxa"/>
            <w:gridSpan w:val="2"/>
          </w:tcPr>
          <w:p w14:paraId="053AF588" w14:textId="2EA75BA3" w:rsidR="009232BF" w:rsidRDefault="009232BF" w:rsidP="009E3730">
            <w:pPr>
              <w:widowControl w:val="0"/>
              <w:suppressAutoHyphens/>
              <w:jc w:val="left"/>
              <w:rPr>
                <w:rFonts w:eastAsia="Times New Roman" w:cs="Arial"/>
                <w:b/>
                <w:bCs/>
                <w:sz w:val="20"/>
                <w:szCs w:val="20"/>
              </w:rPr>
            </w:pPr>
            <w:r>
              <w:rPr>
                <w:rFonts w:eastAsia="Times New Roman" w:cs="Arial"/>
                <w:b/>
                <w:bCs/>
                <w:sz w:val="20"/>
                <w:szCs w:val="20"/>
              </w:rPr>
              <w:t>Tbilisi Didube</w:t>
            </w:r>
            <w:r w:rsidR="00195CD3">
              <w:rPr>
                <w:rFonts w:eastAsia="Times New Roman" w:cs="Arial"/>
                <w:b/>
                <w:bCs/>
                <w:sz w:val="20"/>
                <w:szCs w:val="20"/>
              </w:rPr>
              <w:t>-Chigureti</w:t>
            </w:r>
            <w:r>
              <w:rPr>
                <w:rFonts w:eastAsia="Times New Roman" w:cs="Arial"/>
                <w:b/>
                <w:bCs/>
                <w:sz w:val="20"/>
                <w:szCs w:val="20"/>
              </w:rPr>
              <w:t xml:space="preserve"> SSA</w:t>
            </w:r>
            <w:r w:rsidR="00195CD3">
              <w:rPr>
                <w:rFonts w:eastAsia="Times New Roman" w:cs="Arial"/>
                <w:b/>
                <w:bCs/>
                <w:sz w:val="20"/>
                <w:szCs w:val="20"/>
              </w:rPr>
              <w:t xml:space="preserve"> Office</w:t>
            </w:r>
          </w:p>
        </w:tc>
      </w:tr>
      <w:tr w:rsidR="009232BF" w:rsidRPr="00800FF7" w14:paraId="57BD1D97" w14:textId="77777777" w:rsidTr="004C0D48">
        <w:trPr>
          <w:jc w:val="center"/>
        </w:trPr>
        <w:tc>
          <w:tcPr>
            <w:tcW w:w="3589" w:type="dxa"/>
          </w:tcPr>
          <w:p w14:paraId="3D86292F" w14:textId="77777777" w:rsidR="009232BF" w:rsidRPr="00800FF7" w:rsidRDefault="009232BF" w:rsidP="009E3730">
            <w:pPr>
              <w:widowControl w:val="0"/>
              <w:suppressAutoHyphens/>
              <w:jc w:val="left"/>
              <w:rPr>
                <w:rFonts w:eastAsia="Times New Roman" w:cs="Arial"/>
                <w:sz w:val="20"/>
                <w:szCs w:val="20"/>
              </w:rPr>
            </w:pPr>
          </w:p>
        </w:tc>
        <w:tc>
          <w:tcPr>
            <w:tcW w:w="5414" w:type="dxa"/>
          </w:tcPr>
          <w:p w14:paraId="5EE6CFC2" w14:textId="77777777" w:rsidR="009232BF" w:rsidRPr="00800FF7" w:rsidRDefault="009232BF" w:rsidP="009E3730">
            <w:pPr>
              <w:widowControl w:val="0"/>
              <w:suppressAutoHyphens/>
              <w:jc w:val="left"/>
              <w:rPr>
                <w:rFonts w:eastAsia="Times New Roman" w:cs="Arial"/>
                <w:sz w:val="20"/>
                <w:szCs w:val="20"/>
              </w:rPr>
            </w:pPr>
          </w:p>
        </w:tc>
      </w:tr>
      <w:tr w:rsidR="009232BF" w:rsidRPr="00800FF7" w14:paraId="50CF797F" w14:textId="77777777" w:rsidTr="004C0D48">
        <w:trPr>
          <w:jc w:val="center"/>
        </w:trPr>
        <w:tc>
          <w:tcPr>
            <w:tcW w:w="3589" w:type="dxa"/>
          </w:tcPr>
          <w:p w14:paraId="04B695AB" w14:textId="77777777" w:rsidR="009232BF" w:rsidRPr="00800FF7" w:rsidRDefault="009232BF" w:rsidP="009E3730">
            <w:pPr>
              <w:widowControl w:val="0"/>
              <w:suppressAutoHyphens/>
              <w:jc w:val="left"/>
              <w:rPr>
                <w:rFonts w:eastAsia="Times New Roman" w:cs="Arial"/>
                <w:sz w:val="20"/>
                <w:szCs w:val="20"/>
              </w:rPr>
            </w:pPr>
          </w:p>
        </w:tc>
        <w:tc>
          <w:tcPr>
            <w:tcW w:w="5414" w:type="dxa"/>
          </w:tcPr>
          <w:p w14:paraId="6B9867B5" w14:textId="77777777" w:rsidR="009232BF" w:rsidRPr="00800FF7" w:rsidRDefault="009232BF" w:rsidP="009E3730">
            <w:pPr>
              <w:widowControl w:val="0"/>
              <w:suppressAutoHyphens/>
              <w:jc w:val="left"/>
              <w:rPr>
                <w:rFonts w:eastAsia="Times New Roman" w:cs="Arial"/>
                <w:sz w:val="20"/>
                <w:szCs w:val="20"/>
              </w:rPr>
            </w:pPr>
          </w:p>
        </w:tc>
      </w:tr>
    </w:tbl>
    <w:p w14:paraId="023231EB" w14:textId="77777777" w:rsidR="00800FF7" w:rsidRDefault="00800FF7" w:rsidP="009E3730">
      <w:pPr>
        <w:widowControl w:val="0"/>
        <w:suppressAutoHyphens/>
      </w:pPr>
    </w:p>
    <w:tbl>
      <w:tblPr>
        <w:tblW w:w="90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589"/>
        <w:gridCol w:w="5414"/>
      </w:tblGrid>
      <w:tr w:rsidR="00800FF7" w:rsidRPr="00690428" w14:paraId="0CB1971C" w14:textId="77777777" w:rsidTr="004C0D48">
        <w:trPr>
          <w:jc w:val="center"/>
        </w:trPr>
        <w:tc>
          <w:tcPr>
            <w:tcW w:w="9003" w:type="dxa"/>
            <w:gridSpan w:val="2"/>
          </w:tcPr>
          <w:p w14:paraId="1DE8F2A6" w14:textId="77777777" w:rsidR="00800FF7" w:rsidRPr="00690428" w:rsidRDefault="00800FF7" w:rsidP="009E3730">
            <w:pPr>
              <w:widowControl w:val="0"/>
              <w:suppressAutoHyphens/>
              <w:jc w:val="left"/>
              <w:rPr>
                <w:b/>
                <w:bCs/>
                <w:sz w:val="20"/>
                <w:szCs w:val="20"/>
              </w:rPr>
            </w:pPr>
            <w:r w:rsidRPr="00690428">
              <w:rPr>
                <w:b/>
                <w:bCs/>
                <w:sz w:val="20"/>
                <w:szCs w:val="20"/>
              </w:rPr>
              <w:t>European Union (EU) - Delegation of the EU to Georgia</w:t>
            </w:r>
          </w:p>
        </w:tc>
      </w:tr>
      <w:tr w:rsidR="00800FF7" w:rsidRPr="00690428" w14:paraId="2682D50B" w14:textId="77777777" w:rsidTr="004C0D48">
        <w:trPr>
          <w:jc w:val="center"/>
        </w:trPr>
        <w:tc>
          <w:tcPr>
            <w:tcW w:w="3589" w:type="dxa"/>
          </w:tcPr>
          <w:p w14:paraId="13FEC79E" w14:textId="77777777" w:rsidR="00800FF7" w:rsidRPr="00690428" w:rsidRDefault="00800FF7" w:rsidP="009E3730">
            <w:pPr>
              <w:widowControl w:val="0"/>
              <w:suppressAutoHyphens/>
              <w:jc w:val="left"/>
              <w:rPr>
                <w:sz w:val="20"/>
                <w:szCs w:val="20"/>
              </w:rPr>
            </w:pPr>
            <w:r w:rsidRPr="00690428">
              <w:rPr>
                <w:sz w:val="20"/>
                <w:szCs w:val="20"/>
              </w:rPr>
              <w:t>Ms Nino Kochiashvili</w:t>
            </w:r>
          </w:p>
        </w:tc>
        <w:tc>
          <w:tcPr>
            <w:tcW w:w="5414" w:type="dxa"/>
          </w:tcPr>
          <w:p w14:paraId="303CC5F3" w14:textId="77777777" w:rsidR="00800FF7" w:rsidRPr="00690428" w:rsidRDefault="00800FF7" w:rsidP="009E3730">
            <w:pPr>
              <w:widowControl w:val="0"/>
              <w:suppressAutoHyphens/>
              <w:jc w:val="left"/>
              <w:rPr>
                <w:sz w:val="20"/>
                <w:szCs w:val="20"/>
              </w:rPr>
            </w:pPr>
            <w:r w:rsidRPr="00690428">
              <w:rPr>
                <w:sz w:val="20"/>
                <w:szCs w:val="20"/>
              </w:rPr>
              <w:t>Programme Manager</w:t>
            </w:r>
          </w:p>
        </w:tc>
      </w:tr>
    </w:tbl>
    <w:p w14:paraId="0433D1B4" w14:textId="77777777" w:rsidR="00800FF7" w:rsidRDefault="00800FF7" w:rsidP="009E3730">
      <w:pPr>
        <w:widowControl w:val="0"/>
        <w:suppressAutoHyphens/>
        <w:jc w:val="center"/>
      </w:pPr>
    </w:p>
    <w:tbl>
      <w:tblPr>
        <w:tblW w:w="90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589"/>
        <w:gridCol w:w="5414"/>
      </w:tblGrid>
      <w:tr w:rsidR="00800FF7" w:rsidRPr="00690428" w14:paraId="59A884FB" w14:textId="77777777" w:rsidTr="004C0D48">
        <w:trPr>
          <w:jc w:val="center"/>
        </w:trPr>
        <w:tc>
          <w:tcPr>
            <w:tcW w:w="9003" w:type="dxa"/>
            <w:gridSpan w:val="2"/>
          </w:tcPr>
          <w:p w14:paraId="53009D89" w14:textId="0E098EE5" w:rsidR="00800FF7" w:rsidRPr="00690428" w:rsidRDefault="00800FF7" w:rsidP="009E3730">
            <w:pPr>
              <w:widowControl w:val="0"/>
              <w:suppressAutoHyphens/>
              <w:jc w:val="left"/>
              <w:rPr>
                <w:b/>
                <w:bCs/>
                <w:sz w:val="20"/>
                <w:szCs w:val="20"/>
                <w:lang w:val="en-US"/>
              </w:rPr>
            </w:pPr>
            <w:r w:rsidRPr="00690428">
              <w:rPr>
                <w:b/>
                <w:bCs/>
                <w:sz w:val="20"/>
                <w:szCs w:val="20"/>
                <w:lang w:val="en-US"/>
              </w:rPr>
              <w:t>EU: "Technical Assistance to VET &amp; Employment Reforms in Georgia" (EU</w:t>
            </w:r>
            <w:r w:rsidR="00B520E5">
              <w:rPr>
                <w:b/>
                <w:bCs/>
                <w:sz w:val="20"/>
                <w:szCs w:val="20"/>
                <w:lang w:val="en-US"/>
              </w:rPr>
              <w:t>VEGE</w:t>
            </w:r>
            <w:r w:rsidRPr="00690428">
              <w:rPr>
                <w:b/>
                <w:bCs/>
                <w:sz w:val="20"/>
                <w:szCs w:val="20"/>
                <w:lang w:val="en-US"/>
              </w:rPr>
              <w:t>) Project</w:t>
            </w:r>
          </w:p>
        </w:tc>
      </w:tr>
      <w:tr w:rsidR="00800FF7" w:rsidRPr="00690428" w14:paraId="61437805" w14:textId="77777777" w:rsidTr="004C0D48">
        <w:trPr>
          <w:jc w:val="center"/>
        </w:trPr>
        <w:tc>
          <w:tcPr>
            <w:tcW w:w="3589" w:type="dxa"/>
          </w:tcPr>
          <w:p w14:paraId="310286D2" w14:textId="77777777" w:rsidR="00800FF7" w:rsidRPr="00690428" w:rsidRDefault="00800FF7" w:rsidP="009E3730">
            <w:pPr>
              <w:widowControl w:val="0"/>
              <w:suppressAutoHyphens/>
              <w:jc w:val="left"/>
              <w:rPr>
                <w:sz w:val="20"/>
                <w:szCs w:val="20"/>
                <w:lang w:val="ru-RU"/>
              </w:rPr>
            </w:pPr>
            <w:r w:rsidRPr="00690428">
              <w:rPr>
                <w:sz w:val="20"/>
                <w:szCs w:val="20"/>
              </w:rPr>
              <w:t>Mr Wulf Schmieder</w:t>
            </w:r>
          </w:p>
        </w:tc>
        <w:tc>
          <w:tcPr>
            <w:tcW w:w="5414" w:type="dxa"/>
          </w:tcPr>
          <w:p w14:paraId="48FB06DF" w14:textId="77777777" w:rsidR="00800FF7" w:rsidRPr="00690428" w:rsidRDefault="00800FF7" w:rsidP="009E3730">
            <w:pPr>
              <w:widowControl w:val="0"/>
              <w:suppressAutoHyphens/>
              <w:jc w:val="left"/>
              <w:rPr>
                <w:sz w:val="20"/>
                <w:szCs w:val="20"/>
              </w:rPr>
            </w:pPr>
            <w:r w:rsidRPr="00690428">
              <w:rPr>
                <w:sz w:val="20"/>
                <w:szCs w:val="20"/>
              </w:rPr>
              <w:t>Team Leader, LM and Employment Expert</w:t>
            </w:r>
          </w:p>
        </w:tc>
      </w:tr>
      <w:tr w:rsidR="00800FF7" w:rsidRPr="00690428" w14:paraId="33786800" w14:textId="77777777" w:rsidTr="004C0D48">
        <w:trPr>
          <w:jc w:val="center"/>
        </w:trPr>
        <w:tc>
          <w:tcPr>
            <w:tcW w:w="3589" w:type="dxa"/>
          </w:tcPr>
          <w:p w14:paraId="74603DF1" w14:textId="77777777" w:rsidR="00800FF7" w:rsidRPr="00690428" w:rsidRDefault="00800FF7" w:rsidP="009E3730">
            <w:pPr>
              <w:widowControl w:val="0"/>
              <w:suppressAutoHyphens/>
              <w:jc w:val="left"/>
              <w:rPr>
                <w:sz w:val="20"/>
                <w:szCs w:val="20"/>
              </w:rPr>
            </w:pPr>
            <w:r w:rsidRPr="00690428">
              <w:rPr>
                <w:sz w:val="20"/>
                <w:szCs w:val="20"/>
                <w:lang w:val="ru-RU"/>
              </w:rPr>
              <w:t>Mr Oliver Deasy</w:t>
            </w:r>
          </w:p>
        </w:tc>
        <w:tc>
          <w:tcPr>
            <w:tcW w:w="5414" w:type="dxa"/>
          </w:tcPr>
          <w:p w14:paraId="2B35367F" w14:textId="77777777" w:rsidR="00800FF7" w:rsidRPr="00690428" w:rsidRDefault="00800FF7" w:rsidP="009E3730">
            <w:pPr>
              <w:widowControl w:val="0"/>
              <w:suppressAutoHyphens/>
              <w:jc w:val="left"/>
              <w:rPr>
                <w:sz w:val="20"/>
                <w:szCs w:val="20"/>
              </w:rPr>
            </w:pPr>
            <w:r w:rsidRPr="00690428">
              <w:rPr>
                <w:sz w:val="20"/>
                <w:szCs w:val="20"/>
              </w:rPr>
              <w:t>Deputy Team Leader, VET Policy Expert</w:t>
            </w:r>
          </w:p>
        </w:tc>
      </w:tr>
      <w:tr w:rsidR="00800FF7" w:rsidRPr="00690428" w14:paraId="0F2CCA9A" w14:textId="77777777" w:rsidTr="004C0D48">
        <w:trPr>
          <w:jc w:val="center"/>
        </w:trPr>
        <w:tc>
          <w:tcPr>
            <w:tcW w:w="3589" w:type="dxa"/>
          </w:tcPr>
          <w:p w14:paraId="2D3A94E1" w14:textId="77777777" w:rsidR="00800FF7" w:rsidRPr="00690428" w:rsidRDefault="00800FF7" w:rsidP="009E3730">
            <w:pPr>
              <w:widowControl w:val="0"/>
              <w:suppressAutoHyphens/>
              <w:jc w:val="left"/>
              <w:rPr>
                <w:sz w:val="20"/>
                <w:szCs w:val="20"/>
              </w:rPr>
            </w:pPr>
            <w:r w:rsidRPr="00690428">
              <w:rPr>
                <w:sz w:val="20"/>
                <w:szCs w:val="20"/>
                <w:lang w:val="ru-RU"/>
              </w:rPr>
              <w:t>Ms Lela Maisuradze</w:t>
            </w:r>
          </w:p>
        </w:tc>
        <w:tc>
          <w:tcPr>
            <w:tcW w:w="5414" w:type="dxa"/>
          </w:tcPr>
          <w:p w14:paraId="3B6E3D27" w14:textId="77777777" w:rsidR="00800FF7" w:rsidRPr="00690428" w:rsidRDefault="00800FF7" w:rsidP="009E3730">
            <w:pPr>
              <w:widowControl w:val="0"/>
              <w:suppressAutoHyphens/>
              <w:jc w:val="left"/>
              <w:rPr>
                <w:sz w:val="20"/>
                <w:szCs w:val="20"/>
              </w:rPr>
            </w:pPr>
            <w:r w:rsidRPr="00690428">
              <w:rPr>
                <w:sz w:val="20"/>
                <w:szCs w:val="20"/>
              </w:rPr>
              <w:t>VET Policy Expert</w:t>
            </w:r>
          </w:p>
        </w:tc>
      </w:tr>
      <w:tr w:rsidR="00800FF7" w:rsidRPr="00690428" w14:paraId="7584763B" w14:textId="77777777" w:rsidTr="004C0D48">
        <w:trPr>
          <w:jc w:val="center"/>
        </w:trPr>
        <w:tc>
          <w:tcPr>
            <w:tcW w:w="3589" w:type="dxa"/>
          </w:tcPr>
          <w:p w14:paraId="446529B9" w14:textId="77777777" w:rsidR="00800FF7" w:rsidRPr="00690428" w:rsidRDefault="00800FF7" w:rsidP="009E3730">
            <w:pPr>
              <w:widowControl w:val="0"/>
              <w:suppressAutoHyphens/>
              <w:jc w:val="left"/>
              <w:rPr>
                <w:sz w:val="20"/>
                <w:szCs w:val="20"/>
              </w:rPr>
            </w:pPr>
            <w:r w:rsidRPr="00690428">
              <w:rPr>
                <w:sz w:val="20"/>
                <w:szCs w:val="20"/>
              </w:rPr>
              <w:t>Ms Keti Jakeli</w:t>
            </w:r>
          </w:p>
        </w:tc>
        <w:tc>
          <w:tcPr>
            <w:tcW w:w="5414" w:type="dxa"/>
          </w:tcPr>
          <w:p w14:paraId="77FE6563" w14:textId="77777777" w:rsidR="00800FF7" w:rsidRPr="00690428" w:rsidRDefault="00800FF7" w:rsidP="009E3730">
            <w:pPr>
              <w:widowControl w:val="0"/>
              <w:suppressAutoHyphens/>
              <w:jc w:val="left"/>
              <w:rPr>
                <w:sz w:val="20"/>
                <w:szCs w:val="20"/>
              </w:rPr>
            </w:pPr>
            <w:r w:rsidRPr="00690428">
              <w:rPr>
                <w:sz w:val="20"/>
                <w:szCs w:val="20"/>
              </w:rPr>
              <w:t>Training Consultant at TPDC</w:t>
            </w:r>
          </w:p>
        </w:tc>
      </w:tr>
      <w:tr w:rsidR="00800FF7" w:rsidRPr="00690428" w14:paraId="489BD14B" w14:textId="77777777" w:rsidTr="004C0D48">
        <w:trPr>
          <w:jc w:val="center"/>
        </w:trPr>
        <w:tc>
          <w:tcPr>
            <w:tcW w:w="9003" w:type="dxa"/>
            <w:gridSpan w:val="2"/>
          </w:tcPr>
          <w:p w14:paraId="75B8AB98" w14:textId="77777777" w:rsidR="00800FF7" w:rsidRPr="00690428" w:rsidRDefault="00800FF7" w:rsidP="009E3730">
            <w:pPr>
              <w:widowControl w:val="0"/>
              <w:suppressAutoHyphens/>
              <w:jc w:val="left"/>
              <w:rPr>
                <w:b/>
                <w:bCs/>
                <w:sz w:val="20"/>
                <w:szCs w:val="20"/>
                <w:lang w:val="en-US"/>
              </w:rPr>
            </w:pPr>
            <w:r w:rsidRPr="00690428">
              <w:rPr>
                <w:b/>
                <w:bCs/>
                <w:sz w:val="20"/>
                <w:szCs w:val="20"/>
              </w:rPr>
              <w:t>EU: "Capacity Building of the Employment Support Services of Georgia" Twinning Project</w:t>
            </w:r>
          </w:p>
        </w:tc>
      </w:tr>
      <w:tr w:rsidR="00800FF7" w:rsidRPr="00D867CB" w14:paraId="54772C6B" w14:textId="77777777" w:rsidTr="004C0D48">
        <w:trPr>
          <w:jc w:val="center"/>
        </w:trPr>
        <w:tc>
          <w:tcPr>
            <w:tcW w:w="3589" w:type="dxa"/>
          </w:tcPr>
          <w:p w14:paraId="1CB8F374" w14:textId="77777777" w:rsidR="00800FF7" w:rsidRPr="00D867CB" w:rsidRDefault="00800FF7" w:rsidP="009E3730">
            <w:pPr>
              <w:widowControl w:val="0"/>
              <w:suppressAutoHyphens/>
              <w:jc w:val="left"/>
              <w:rPr>
                <w:sz w:val="20"/>
                <w:szCs w:val="20"/>
                <w:lang w:val="ru-RU"/>
              </w:rPr>
            </w:pPr>
            <w:r w:rsidRPr="00D867CB">
              <w:rPr>
                <w:sz w:val="20"/>
                <w:szCs w:val="20"/>
              </w:rPr>
              <w:t>Mr Tibor Bors Borbely-Pecze</w:t>
            </w:r>
          </w:p>
        </w:tc>
        <w:tc>
          <w:tcPr>
            <w:tcW w:w="5414" w:type="dxa"/>
          </w:tcPr>
          <w:p w14:paraId="7E606E5F" w14:textId="77777777" w:rsidR="00800FF7" w:rsidRPr="00D867CB" w:rsidRDefault="00800FF7" w:rsidP="009E3730">
            <w:pPr>
              <w:widowControl w:val="0"/>
              <w:suppressAutoHyphens/>
              <w:jc w:val="left"/>
              <w:rPr>
                <w:sz w:val="20"/>
                <w:szCs w:val="20"/>
              </w:rPr>
            </w:pPr>
            <w:r w:rsidRPr="00D867CB">
              <w:rPr>
                <w:sz w:val="20"/>
                <w:szCs w:val="20"/>
              </w:rPr>
              <w:t>Resident Twinning Adviser</w:t>
            </w:r>
          </w:p>
        </w:tc>
      </w:tr>
      <w:tr w:rsidR="00CA078D" w:rsidRPr="00690428" w14:paraId="34E18961" w14:textId="77777777" w:rsidTr="004C0D48">
        <w:trPr>
          <w:jc w:val="center"/>
        </w:trPr>
        <w:tc>
          <w:tcPr>
            <w:tcW w:w="9003" w:type="dxa"/>
            <w:gridSpan w:val="2"/>
          </w:tcPr>
          <w:p w14:paraId="20854CD7" w14:textId="3990BB99" w:rsidR="00CA078D" w:rsidRPr="00690428" w:rsidRDefault="00CA078D" w:rsidP="009E3730">
            <w:pPr>
              <w:widowControl w:val="0"/>
              <w:suppressAutoHyphens/>
              <w:jc w:val="left"/>
              <w:rPr>
                <w:b/>
                <w:bCs/>
                <w:sz w:val="20"/>
                <w:szCs w:val="20"/>
                <w:lang w:val="en-US"/>
              </w:rPr>
            </w:pPr>
            <w:r>
              <w:rPr>
                <w:b/>
                <w:bCs/>
                <w:sz w:val="20"/>
                <w:szCs w:val="20"/>
                <w:lang w:val="en-US"/>
              </w:rPr>
              <w:t>GIZ</w:t>
            </w:r>
          </w:p>
        </w:tc>
      </w:tr>
      <w:tr w:rsidR="00CA078D" w:rsidRPr="00690428" w14:paraId="538B0C11" w14:textId="77777777" w:rsidTr="004C0D48">
        <w:trPr>
          <w:jc w:val="center"/>
        </w:trPr>
        <w:tc>
          <w:tcPr>
            <w:tcW w:w="3589" w:type="dxa"/>
          </w:tcPr>
          <w:p w14:paraId="3F7C461E" w14:textId="77777777" w:rsidR="00CA078D" w:rsidRPr="00690428" w:rsidRDefault="00CA078D" w:rsidP="009E3730">
            <w:pPr>
              <w:widowControl w:val="0"/>
              <w:suppressAutoHyphens/>
              <w:jc w:val="left"/>
              <w:rPr>
                <w:sz w:val="20"/>
                <w:szCs w:val="20"/>
              </w:rPr>
            </w:pPr>
          </w:p>
        </w:tc>
        <w:tc>
          <w:tcPr>
            <w:tcW w:w="5414" w:type="dxa"/>
          </w:tcPr>
          <w:p w14:paraId="1D9AB7D4" w14:textId="77777777" w:rsidR="00CA078D" w:rsidRPr="00690428" w:rsidRDefault="00CA078D" w:rsidP="009E3730">
            <w:pPr>
              <w:widowControl w:val="0"/>
              <w:suppressAutoHyphens/>
              <w:jc w:val="left"/>
              <w:rPr>
                <w:sz w:val="20"/>
                <w:szCs w:val="20"/>
              </w:rPr>
            </w:pPr>
          </w:p>
        </w:tc>
      </w:tr>
      <w:tr w:rsidR="00CA078D" w:rsidRPr="00690428" w14:paraId="58BF2F91" w14:textId="77777777" w:rsidTr="004C0D48">
        <w:trPr>
          <w:jc w:val="center"/>
        </w:trPr>
        <w:tc>
          <w:tcPr>
            <w:tcW w:w="3589" w:type="dxa"/>
          </w:tcPr>
          <w:p w14:paraId="185AD007" w14:textId="77777777" w:rsidR="00CA078D" w:rsidRPr="00690428" w:rsidRDefault="00CA078D" w:rsidP="009E3730">
            <w:pPr>
              <w:widowControl w:val="0"/>
              <w:suppressAutoHyphens/>
              <w:jc w:val="left"/>
              <w:rPr>
                <w:sz w:val="20"/>
                <w:szCs w:val="20"/>
              </w:rPr>
            </w:pPr>
          </w:p>
        </w:tc>
        <w:tc>
          <w:tcPr>
            <w:tcW w:w="5414" w:type="dxa"/>
          </w:tcPr>
          <w:p w14:paraId="6EEB6CF0" w14:textId="77777777" w:rsidR="00CA078D" w:rsidRPr="00690428" w:rsidRDefault="00CA078D" w:rsidP="009E3730">
            <w:pPr>
              <w:widowControl w:val="0"/>
              <w:suppressAutoHyphens/>
              <w:jc w:val="left"/>
              <w:rPr>
                <w:sz w:val="20"/>
                <w:szCs w:val="20"/>
              </w:rPr>
            </w:pPr>
          </w:p>
        </w:tc>
      </w:tr>
      <w:tr w:rsidR="00CA078D" w:rsidRPr="00690428" w14:paraId="2E8F9786" w14:textId="77777777" w:rsidTr="004C0D48">
        <w:trPr>
          <w:jc w:val="center"/>
        </w:trPr>
        <w:tc>
          <w:tcPr>
            <w:tcW w:w="9003" w:type="dxa"/>
            <w:gridSpan w:val="2"/>
          </w:tcPr>
          <w:p w14:paraId="55476236" w14:textId="20DFBA29" w:rsidR="00CA078D" w:rsidRPr="00690428" w:rsidRDefault="00CA078D" w:rsidP="009E3730">
            <w:pPr>
              <w:widowControl w:val="0"/>
              <w:suppressAutoHyphens/>
              <w:jc w:val="left"/>
              <w:rPr>
                <w:b/>
                <w:bCs/>
                <w:sz w:val="20"/>
                <w:szCs w:val="20"/>
                <w:lang w:val="en-US"/>
              </w:rPr>
            </w:pPr>
            <w:r>
              <w:rPr>
                <w:b/>
                <w:bCs/>
                <w:sz w:val="20"/>
                <w:szCs w:val="20"/>
                <w:lang w:val="en-US"/>
              </w:rPr>
              <w:t>KfW</w:t>
            </w:r>
          </w:p>
        </w:tc>
      </w:tr>
      <w:tr w:rsidR="00CA078D" w:rsidRPr="00690428" w14:paraId="0890E5B8" w14:textId="77777777" w:rsidTr="004C0D48">
        <w:trPr>
          <w:jc w:val="center"/>
        </w:trPr>
        <w:tc>
          <w:tcPr>
            <w:tcW w:w="3589" w:type="dxa"/>
          </w:tcPr>
          <w:p w14:paraId="1EECF562" w14:textId="77777777" w:rsidR="00CA078D" w:rsidRPr="00690428" w:rsidRDefault="00CA078D" w:rsidP="009E3730">
            <w:pPr>
              <w:widowControl w:val="0"/>
              <w:suppressAutoHyphens/>
              <w:jc w:val="left"/>
              <w:rPr>
                <w:sz w:val="20"/>
                <w:szCs w:val="20"/>
              </w:rPr>
            </w:pPr>
          </w:p>
        </w:tc>
        <w:tc>
          <w:tcPr>
            <w:tcW w:w="5414" w:type="dxa"/>
          </w:tcPr>
          <w:p w14:paraId="038E63A2" w14:textId="77777777" w:rsidR="00CA078D" w:rsidRPr="00690428" w:rsidRDefault="00CA078D" w:rsidP="009E3730">
            <w:pPr>
              <w:widowControl w:val="0"/>
              <w:suppressAutoHyphens/>
              <w:jc w:val="left"/>
              <w:rPr>
                <w:sz w:val="20"/>
                <w:szCs w:val="20"/>
              </w:rPr>
            </w:pPr>
          </w:p>
        </w:tc>
      </w:tr>
      <w:tr w:rsidR="00CA078D" w:rsidRPr="00690428" w14:paraId="169302D1" w14:textId="77777777" w:rsidTr="004C0D48">
        <w:trPr>
          <w:jc w:val="center"/>
        </w:trPr>
        <w:tc>
          <w:tcPr>
            <w:tcW w:w="3589" w:type="dxa"/>
          </w:tcPr>
          <w:p w14:paraId="39C9693C" w14:textId="77777777" w:rsidR="00CA078D" w:rsidRPr="00690428" w:rsidRDefault="00CA078D" w:rsidP="009E3730">
            <w:pPr>
              <w:widowControl w:val="0"/>
              <w:suppressAutoHyphens/>
              <w:jc w:val="left"/>
              <w:rPr>
                <w:sz w:val="20"/>
                <w:szCs w:val="20"/>
              </w:rPr>
            </w:pPr>
          </w:p>
        </w:tc>
        <w:tc>
          <w:tcPr>
            <w:tcW w:w="5414" w:type="dxa"/>
          </w:tcPr>
          <w:p w14:paraId="7ED6EEC5" w14:textId="77777777" w:rsidR="00CA078D" w:rsidRPr="00690428" w:rsidRDefault="00CA078D" w:rsidP="009E3730">
            <w:pPr>
              <w:widowControl w:val="0"/>
              <w:suppressAutoHyphens/>
              <w:jc w:val="left"/>
              <w:rPr>
                <w:sz w:val="20"/>
                <w:szCs w:val="20"/>
              </w:rPr>
            </w:pPr>
          </w:p>
        </w:tc>
      </w:tr>
      <w:tr w:rsidR="00800FF7" w:rsidRPr="00690428" w14:paraId="624D9A9C" w14:textId="77777777" w:rsidTr="004C0D48">
        <w:trPr>
          <w:jc w:val="center"/>
        </w:trPr>
        <w:tc>
          <w:tcPr>
            <w:tcW w:w="9003" w:type="dxa"/>
            <w:gridSpan w:val="2"/>
          </w:tcPr>
          <w:p w14:paraId="7AEFF316" w14:textId="77777777" w:rsidR="00800FF7" w:rsidRPr="00690428" w:rsidRDefault="00800FF7" w:rsidP="009E3730">
            <w:pPr>
              <w:widowControl w:val="0"/>
              <w:suppressAutoHyphens/>
              <w:jc w:val="left"/>
              <w:rPr>
                <w:b/>
                <w:bCs/>
                <w:sz w:val="20"/>
                <w:szCs w:val="20"/>
                <w:lang w:val="en-US"/>
              </w:rPr>
            </w:pPr>
            <w:r w:rsidRPr="00690428">
              <w:rPr>
                <w:b/>
                <w:bCs/>
                <w:sz w:val="20"/>
                <w:szCs w:val="20"/>
                <w:lang w:val="en-US"/>
              </w:rPr>
              <w:t xml:space="preserve">Millennium Challenge Account </w:t>
            </w:r>
            <w:r>
              <w:rPr>
                <w:b/>
                <w:bCs/>
                <w:sz w:val="20"/>
                <w:szCs w:val="20"/>
                <w:lang w:val="en-US"/>
              </w:rPr>
              <w:t xml:space="preserve">Georgia </w:t>
            </w:r>
            <w:r w:rsidRPr="00690428">
              <w:rPr>
                <w:b/>
                <w:bCs/>
                <w:sz w:val="20"/>
                <w:szCs w:val="20"/>
                <w:lang w:val="en-US"/>
              </w:rPr>
              <w:t>(</w:t>
            </w:r>
            <w:r>
              <w:rPr>
                <w:b/>
                <w:bCs/>
                <w:sz w:val="20"/>
                <w:szCs w:val="20"/>
                <w:lang w:val="en-US"/>
              </w:rPr>
              <w:t>MCA-G</w:t>
            </w:r>
            <w:r w:rsidRPr="00690428">
              <w:rPr>
                <w:b/>
                <w:bCs/>
                <w:sz w:val="20"/>
                <w:szCs w:val="20"/>
                <w:lang w:val="en-US"/>
              </w:rPr>
              <w:t>): "</w:t>
            </w:r>
            <w:r w:rsidRPr="00690428">
              <w:rPr>
                <w:b/>
                <w:bCs/>
                <w:sz w:val="20"/>
                <w:szCs w:val="20"/>
              </w:rPr>
              <w:t>Industry-led Skills and Workforce Dev</w:t>
            </w:r>
            <w:r>
              <w:rPr>
                <w:b/>
                <w:bCs/>
                <w:sz w:val="20"/>
                <w:szCs w:val="20"/>
              </w:rPr>
              <w:t>elopment</w:t>
            </w:r>
            <w:r w:rsidRPr="00690428">
              <w:rPr>
                <w:b/>
                <w:bCs/>
                <w:sz w:val="20"/>
                <w:szCs w:val="20"/>
              </w:rPr>
              <w:t xml:space="preserve">" </w:t>
            </w:r>
            <w:r>
              <w:rPr>
                <w:b/>
                <w:bCs/>
                <w:sz w:val="20"/>
                <w:szCs w:val="20"/>
              </w:rPr>
              <w:t xml:space="preserve">(ISWD) </w:t>
            </w:r>
            <w:r w:rsidRPr="00690428">
              <w:rPr>
                <w:b/>
                <w:bCs/>
                <w:sz w:val="20"/>
                <w:szCs w:val="20"/>
              </w:rPr>
              <w:t>Project</w:t>
            </w:r>
          </w:p>
        </w:tc>
      </w:tr>
      <w:tr w:rsidR="00800FF7" w:rsidRPr="00690428" w14:paraId="29F6036F" w14:textId="77777777" w:rsidTr="004C0D48">
        <w:trPr>
          <w:jc w:val="center"/>
        </w:trPr>
        <w:tc>
          <w:tcPr>
            <w:tcW w:w="3589" w:type="dxa"/>
          </w:tcPr>
          <w:p w14:paraId="56314A2E" w14:textId="77777777" w:rsidR="00800FF7" w:rsidRPr="00690428" w:rsidRDefault="00800FF7" w:rsidP="009E3730">
            <w:pPr>
              <w:widowControl w:val="0"/>
              <w:suppressAutoHyphens/>
              <w:jc w:val="left"/>
              <w:rPr>
                <w:sz w:val="20"/>
                <w:szCs w:val="20"/>
              </w:rPr>
            </w:pPr>
            <w:r w:rsidRPr="00690428">
              <w:rPr>
                <w:sz w:val="20"/>
                <w:szCs w:val="20"/>
              </w:rPr>
              <w:t>Mr David Handley</w:t>
            </w:r>
          </w:p>
        </w:tc>
        <w:tc>
          <w:tcPr>
            <w:tcW w:w="5414" w:type="dxa"/>
          </w:tcPr>
          <w:p w14:paraId="3BF7BC0D" w14:textId="77777777" w:rsidR="00800FF7" w:rsidRPr="00690428" w:rsidRDefault="00800FF7" w:rsidP="009E3730">
            <w:pPr>
              <w:widowControl w:val="0"/>
              <w:suppressAutoHyphens/>
              <w:jc w:val="left"/>
              <w:rPr>
                <w:sz w:val="20"/>
                <w:szCs w:val="20"/>
              </w:rPr>
            </w:pPr>
            <w:r w:rsidRPr="00690428">
              <w:rPr>
                <w:sz w:val="20"/>
                <w:szCs w:val="20"/>
              </w:rPr>
              <w:t>Team Leader</w:t>
            </w:r>
          </w:p>
        </w:tc>
      </w:tr>
      <w:tr w:rsidR="00800FF7" w:rsidRPr="00690428" w14:paraId="47CBDD3B" w14:textId="77777777" w:rsidTr="004C0D48">
        <w:trPr>
          <w:jc w:val="center"/>
        </w:trPr>
        <w:tc>
          <w:tcPr>
            <w:tcW w:w="3589" w:type="dxa"/>
          </w:tcPr>
          <w:p w14:paraId="5DEE8274" w14:textId="77777777" w:rsidR="00800FF7" w:rsidRPr="00690428" w:rsidRDefault="00800FF7" w:rsidP="009E3730">
            <w:pPr>
              <w:widowControl w:val="0"/>
              <w:suppressAutoHyphens/>
              <w:jc w:val="left"/>
              <w:rPr>
                <w:sz w:val="20"/>
                <w:szCs w:val="20"/>
              </w:rPr>
            </w:pPr>
            <w:r w:rsidRPr="00690428">
              <w:rPr>
                <w:sz w:val="20"/>
                <w:szCs w:val="20"/>
              </w:rPr>
              <w:t>Ms An</w:t>
            </w:r>
            <w:r w:rsidRPr="00690428">
              <w:rPr>
                <w:sz w:val="20"/>
                <w:szCs w:val="20"/>
                <w:lang w:val="ru-RU"/>
              </w:rPr>
              <w:t>astasia</w:t>
            </w:r>
            <w:r w:rsidRPr="00690428">
              <w:rPr>
                <w:sz w:val="20"/>
                <w:szCs w:val="20"/>
              </w:rPr>
              <w:t xml:space="preserve"> Kitiashvili</w:t>
            </w:r>
          </w:p>
        </w:tc>
        <w:tc>
          <w:tcPr>
            <w:tcW w:w="5414" w:type="dxa"/>
          </w:tcPr>
          <w:p w14:paraId="220F80C5" w14:textId="77777777" w:rsidR="00800FF7" w:rsidRPr="00690428" w:rsidRDefault="00800FF7" w:rsidP="009E3730">
            <w:pPr>
              <w:widowControl w:val="0"/>
              <w:suppressAutoHyphens/>
              <w:jc w:val="left"/>
              <w:rPr>
                <w:sz w:val="20"/>
                <w:szCs w:val="20"/>
              </w:rPr>
            </w:pPr>
            <w:r w:rsidRPr="00690428">
              <w:rPr>
                <w:sz w:val="20"/>
                <w:szCs w:val="20"/>
              </w:rPr>
              <w:t>VET Policy Expert</w:t>
            </w:r>
          </w:p>
        </w:tc>
      </w:tr>
      <w:tr w:rsidR="00800FF7" w:rsidRPr="00690428" w14:paraId="7174BEB3" w14:textId="77777777" w:rsidTr="004C0D48">
        <w:trPr>
          <w:jc w:val="center"/>
        </w:trPr>
        <w:tc>
          <w:tcPr>
            <w:tcW w:w="9003" w:type="dxa"/>
            <w:gridSpan w:val="2"/>
          </w:tcPr>
          <w:p w14:paraId="72F30E33" w14:textId="77777777" w:rsidR="00800FF7" w:rsidRPr="00690428" w:rsidRDefault="00800FF7" w:rsidP="009E3730">
            <w:pPr>
              <w:widowControl w:val="0"/>
              <w:suppressAutoHyphens/>
              <w:jc w:val="left"/>
              <w:rPr>
                <w:b/>
                <w:bCs/>
                <w:sz w:val="20"/>
                <w:szCs w:val="20"/>
              </w:rPr>
            </w:pPr>
            <w:r w:rsidRPr="00690428">
              <w:rPr>
                <w:b/>
                <w:bCs/>
                <w:sz w:val="20"/>
                <w:szCs w:val="20"/>
              </w:rPr>
              <w:t>Norwegian Ministry of Education and Research: "Introduction of Inclusive Education in Vocational Education and Training System in Georgia" Project</w:t>
            </w:r>
          </w:p>
        </w:tc>
      </w:tr>
      <w:tr w:rsidR="00800FF7" w:rsidRPr="00690428" w14:paraId="1A4773DF" w14:textId="77777777" w:rsidTr="004C0D48">
        <w:trPr>
          <w:jc w:val="center"/>
        </w:trPr>
        <w:tc>
          <w:tcPr>
            <w:tcW w:w="3589" w:type="dxa"/>
          </w:tcPr>
          <w:p w14:paraId="26C4C2C1" w14:textId="77777777" w:rsidR="00800FF7" w:rsidRPr="00690428" w:rsidRDefault="00800FF7" w:rsidP="009E3730">
            <w:pPr>
              <w:widowControl w:val="0"/>
              <w:suppressAutoHyphens/>
              <w:jc w:val="left"/>
              <w:rPr>
                <w:sz w:val="20"/>
                <w:szCs w:val="20"/>
              </w:rPr>
            </w:pPr>
            <w:r w:rsidRPr="00690428">
              <w:rPr>
                <w:sz w:val="20"/>
                <w:szCs w:val="20"/>
              </w:rPr>
              <w:t>Ms Maia Bagrationi-Gruzinski</w:t>
            </w:r>
          </w:p>
        </w:tc>
        <w:tc>
          <w:tcPr>
            <w:tcW w:w="5414" w:type="dxa"/>
          </w:tcPr>
          <w:p w14:paraId="657024FA" w14:textId="77777777" w:rsidR="00800FF7" w:rsidRPr="00690428" w:rsidRDefault="00800FF7" w:rsidP="009E3730">
            <w:pPr>
              <w:widowControl w:val="0"/>
              <w:suppressAutoHyphens/>
              <w:jc w:val="left"/>
              <w:rPr>
                <w:sz w:val="20"/>
                <w:szCs w:val="20"/>
              </w:rPr>
            </w:pPr>
            <w:r w:rsidRPr="00690428">
              <w:rPr>
                <w:sz w:val="20"/>
                <w:szCs w:val="20"/>
              </w:rPr>
              <w:t>Project Manager</w:t>
            </w:r>
          </w:p>
        </w:tc>
      </w:tr>
      <w:tr w:rsidR="00800FF7" w:rsidRPr="00690428" w14:paraId="06205260" w14:textId="77777777" w:rsidTr="004C0D48">
        <w:trPr>
          <w:jc w:val="center"/>
        </w:trPr>
        <w:tc>
          <w:tcPr>
            <w:tcW w:w="9003" w:type="dxa"/>
            <w:gridSpan w:val="2"/>
          </w:tcPr>
          <w:p w14:paraId="4234FED0" w14:textId="77777777" w:rsidR="00800FF7" w:rsidRPr="00690428" w:rsidRDefault="00800FF7" w:rsidP="009E3730">
            <w:pPr>
              <w:widowControl w:val="0"/>
              <w:suppressAutoHyphens/>
              <w:jc w:val="left"/>
              <w:rPr>
                <w:b/>
                <w:bCs/>
                <w:sz w:val="20"/>
                <w:szCs w:val="20"/>
              </w:rPr>
            </w:pPr>
            <w:r w:rsidRPr="00690428">
              <w:rPr>
                <w:b/>
                <w:bCs/>
                <w:sz w:val="20"/>
                <w:szCs w:val="20"/>
              </w:rPr>
              <w:t>Swiss Development Cooperation - UNDP implemented: “Modernization of the Vocational Education and Training and Extension Systems to Agriculture in Georgia" Project</w:t>
            </w:r>
          </w:p>
        </w:tc>
      </w:tr>
      <w:tr w:rsidR="00800FF7" w:rsidRPr="00690428" w14:paraId="5C554F78" w14:textId="77777777" w:rsidTr="004C0D48">
        <w:trPr>
          <w:jc w:val="center"/>
        </w:trPr>
        <w:tc>
          <w:tcPr>
            <w:tcW w:w="3589" w:type="dxa"/>
          </w:tcPr>
          <w:p w14:paraId="2104D411" w14:textId="77777777" w:rsidR="00800FF7" w:rsidRPr="00690428" w:rsidRDefault="00800FF7" w:rsidP="009E3730">
            <w:pPr>
              <w:widowControl w:val="0"/>
              <w:suppressAutoHyphens/>
              <w:jc w:val="left"/>
              <w:rPr>
                <w:sz w:val="20"/>
                <w:szCs w:val="20"/>
              </w:rPr>
            </w:pPr>
            <w:r w:rsidRPr="00690428">
              <w:rPr>
                <w:sz w:val="20"/>
                <w:szCs w:val="20"/>
              </w:rPr>
              <w:t xml:space="preserve">Mr Rüdiger Heining  </w:t>
            </w:r>
          </w:p>
        </w:tc>
        <w:tc>
          <w:tcPr>
            <w:tcW w:w="5414" w:type="dxa"/>
          </w:tcPr>
          <w:p w14:paraId="51484393" w14:textId="77777777" w:rsidR="00800FF7" w:rsidRPr="00690428" w:rsidRDefault="00800FF7" w:rsidP="009E3730">
            <w:pPr>
              <w:widowControl w:val="0"/>
              <w:suppressAutoHyphens/>
              <w:jc w:val="left"/>
              <w:rPr>
                <w:sz w:val="20"/>
                <w:szCs w:val="20"/>
              </w:rPr>
            </w:pPr>
            <w:r w:rsidRPr="00690428">
              <w:rPr>
                <w:sz w:val="20"/>
                <w:szCs w:val="20"/>
              </w:rPr>
              <w:t>Project Manager</w:t>
            </w:r>
          </w:p>
        </w:tc>
      </w:tr>
      <w:tr w:rsidR="00800FF7" w:rsidRPr="00690428" w14:paraId="794AE3AA" w14:textId="77777777" w:rsidTr="004C0D48">
        <w:trPr>
          <w:jc w:val="center"/>
        </w:trPr>
        <w:tc>
          <w:tcPr>
            <w:tcW w:w="3589" w:type="dxa"/>
          </w:tcPr>
          <w:p w14:paraId="4FD68C1B" w14:textId="77777777" w:rsidR="00800FF7" w:rsidRPr="00690428" w:rsidRDefault="00800FF7" w:rsidP="009E3730">
            <w:pPr>
              <w:widowControl w:val="0"/>
              <w:suppressAutoHyphens/>
              <w:jc w:val="left"/>
              <w:rPr>
                <w:sz w:val="20"/>
                <w:szCs w:val="20"/>
              </w:rPr>
            </w:pPr>
            <w:r w:rsidRPr="00690428">
              <w:rPr>
                <w:sz w:val="20"/>
                <w:szCs w:val="20"/>
              </w:rPr>
              <w:t>Ms Tamar Kitiashvili</w:t>
            </w:r>
          </w:p>
        </w:tc>
        <w:tc>
          <w:tcPr>
            <w:tcW w:w="5414" w:type="dxa"/>
          </w:tcPr>
          <w:p w14:paraId="74C9B5A8" w14:textId="77777777" w:rsidR="00800FF7" w:rsidRPr="00690428" w:rsidRDefault="00800FF7" w:rsidP="009E3730">
            <w:pPr>
              <w:widowControl w:val="0"/>
              <w:suppressAutoHyphens/>
              <w:jc w:val="left"/>
              <w:rPr>
                <w:sz w:val="20"/>
                <w:szCs w:val="20"/>
              </w:rPr>
            </w:pPr>
            <w:r w:rsidRPr="00690428">
              <w:rPr>
                <w:sz w:val="20"/>
                <w:szCs w:val="20"/>
              </w:rPr>
              <w:t>Vocational Education and Training Adviser</w:t>
            </w:r>
          </w:p>
        </w:tc>
      </w:tr>
    </w:tbl>
    <w:p w14:paraId="19B1D6C2" w14:textId="77777777" w:rsidR="00800FF7" w:rsidRDefault="00800FF7" w:rsidP="009E3730">
      <w:pPr>
        <w:widowControl w:val="0"/>
        <w:suppressAutoHyphens/>
      </w:pPr>
    </w:p>
    <w:p w14:paraId="118D5338" w14:textId="77777777" w:rsidR="00800FF7" w:rsidRDefault="00800FF7" w:rsidP="009E3730">
      <w:pPr>
        <w:widowControl w:val="0"/>
        <w:suppressAutoHyphens/>
        <w:sectPr w:rsidR="00800FF7" w:rsidSect="00800FF7">
          <w:pgSz w:w="11906" w:h="16838" w:code="9"/>
          <w:pgMar w:top="1440" w:right="1440" w:bottom="1440" w:left="1440" w:header="708" w:footer="708" w:gutter="0"/>
          <w:cols w:space="708"/>
          <w:docGrid w:linePitch="360"/>
        </w:sectPr>
      </w:pPr>
    </w:p>
    <w:p w14:paraId="27F6DBE1" w14:textId="77777777" w:rsidR="009601AE" w:rsidRDefault="009601AE" w:rsidP="009E3730">
      <w:pPr>
        <w:pStyle w:val="Heading1"/>
        <w:widowControl w:val="0"/>
        <w:suppressAutoHyphens/>
      </w:pPr>
      <w:bookmarkStart w:id="82" w:name="_Toc342978091"/>
      <w:bookmarkStart w:id="83" w:name="_Toc419079101"/>
      <w:bookmarkStart w:id="84" w:name="_Toc486837775"/>
      <w:r>
        <w:lastRenderedPageBreak/>
        <w:t>Appendix 2: Conditions for Instalment Release</w:t>
      </w:r>
      <w:bookmarkEnd w:id="82"/>
      <w:bookmarkEnd w:id="83"/>
      <w:bookmarkEnd w:id="84"/>
    </w:p>
    <w:p w14:paraId="445E0E4B" w14:textId="77777777" w:rsidR="009601AE" w:rsidRDefault="009601AE" w:rsidP="009E3730">
      <w:pPr>
        <w:widowControl w:val="0"/>
        <w:suppressAutoHyphens/>
      </w:pPr>
    </w:p>
    <w:p w14:paraId="67573EFE" w14:textId="77777777" w:rsidR="009601AE" w:rsidRDefault="009601AE" w:rsidP="009E3730">
      <w:pPr>
        <w:widowControl w:val="0"/>
        <w:suppressAutoHyphens/>
      </w:pPr>
      <w:r>
        <w:t>Section 2.3.2 of Annex II: Technical and Administrative Provisions (TAPs) of the Financing Agreement (FA) indicates instalments will be released upon compliance with the General and Specific Conditions in the Policy Reform Matrix in the TAPs' Appendices. General Conditions, which apply to all instalments, cover the eligibility criteria for budget support and relate to macroeconomic policy, medium term Labour Market and VET reform strategies; public finance management, and transparency of the budget. Specific Conditions cover three areas of reform: (a) effective labour market management; (b) improved quality of the VET system; and (c) efficient transition from training into employment. These General and Specific Conditions are elaborated in Tables 2 and 3 of Appendix 2 to the TAPs, reproduced below.</w:t>
      </w:r>
    </w:p>
    <w:p w14:paraId="191877C2" w14:textId="77777777" w:rsidR="009601AE" w:rsidRDefault="009601AE" w:rsidP="009E3730">
      <w:pPr>
        <w:widowControl w:val="0"/>
        <w:suppressAutoHyphens/>
      </w:pPr>
    </w:p>
    <w:p w14:paraId="5AB70D04" w14:textId="77777777" w:rsidR="009601AE" w:rsidRDefault="009601AE" w:rsidP="009E3730">
      <w:pPr>
        <w:widowControl w:val="0"/>
        <w:suppressAutoHyphens/>
      </w:pPr>
      <w:r>
        <w:rPr>
          <w:b/>
          <w:bCs/>
          <w:i/>
          <w:iCs/>
          <w:sz w:val="24"/>
          <w:szCs w:val="24"/>
        </w:rPr>
        <w:br w:type="page"/>
      </w:r>
      <w:r>
        <w:rPr>
          <w:b/>
          <w:bCs/>
          <w:i/>
          <w:iCs/>
          <w:sz w:val="24"/>
          <w:szCs w:val="24"/>
        </w:rPr>
        <w:lastRenderedPageBreak/>
        <w:t>a)</w:t>
      </w:r>
      <w:r>
        <w:rPr>
          <w:b/>
          <w:bCs/>
          <w:i/>
          <w:iCs/>
          <w:sz w:val="24"/>
          <w:szCs w:val="24"/>
        </w:rPr>
        <w:tab/>
        <w:t>General Policy Conditions</w:t>
      </w:r>
    </w:p>
    <w:p w14:paraId="3B7B2D7E" w14:textId="77777777" w:rsidR="009601AE" w:rsidRDefault="009601AE" w:rsidP="009E3730">
      <w:pPr>
        <w:widowControl w:val="0"/>
        <w:suppressAutoHyphens/>
      </w:pPr>
    </w:p>
    <w:p w14:paraId="7F8D08D8" w14:textId="77777777" w:rsidR="009601AE" w:rsidRDefault="009601AE" w:rsidP="009E3730">
      <w:pPr>
        <w:widowControl w:val="0"/>
        <w:suppressAutoHyphens/>
      </w:pPr>
      <w:r>
        <w:t>The General Conditions apply to all instalments/tranches.</w:t>
      </w:r>
    </w:p>
    <w:p w14:paraId="60995102" w14:textId="77777777" w:rsidR="009601AE" w:rsidRDefault="009601AE" w:rsidP="009E3730">
      <w:pPr>
        <w:widowControl w:val="0"/>
        <w:suppressAutoHyphens/>
      </w:pPr>
    </w:p>
    <w:p w14:paraId="74C5B462" w14:textId="77777777" w:rsidR="009601AE" w:rsidRDefault="009601AE" w:rsidP="009E3730">
      <w:pPr>
        <w:widowControl w:val="0"/>
        <w:suppressAutoHyphens/>
        <w:jc w:val="center"/>
        <w:rPr>
          <w:b/>
          <w:bCs/>
        </w:rPr>
      </w:pPr>
      <w:r>
        <w:rPr>
          <w:b/>
          <w:bCs/>
        </w:rPr>
        <w:t>FA Annex II: Appendix 2 - Table 2: General Conditions for Tranche Release</w:t>
      </w:r>
    </w:p>
    <w:p w14:paraId="5FA5FAB4" w14:textId="77777777" w:rsidR="009601AE" w:rsidRDefault="009601AE" w:rsidP="009E3730">
      <w:pPr>
        <w:widowControl w:val="0"/>
        <w:suppressAutoHyphens/>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3827"/>
        <w:gridCol w:w="3544"/>
      </w:tblGrid>
      <w:tr w:rsidR="009601AE" w:rsidRPr="00690428" w14:paraId="0D2E4702" w14:textId="77777777" w:rsidTr="00C90833">
        <w:trPr>
          <w:jc w:val="center"/>
        </w:trPr>
        <w:tc>
          <w:tcPr>
            <w:tcW w:w="2518" w:type="dxa"/>
          </w:tcPr>
          <w:p w14:paraId="7D8FA2D4" w14:textId="77777777" w:rsidR="009601AE" w:rsidRPr="00690428" w:rsidRDefault="009601AE" w:rsidP="009E3730">
            <w:pPr>
              <w:widowControl w:val="0"/>
              <w:suppressAutoHyphens/>
              <w:jc w:val="center"/>
              <w:rPr>
                <w:b/>
                <w:bCs/>
              </w:rPr>
            </w:pPr>
            <w:r w:rsidRPr="00690428">
              <w:rPr>
                <w:b/>
                <w:bCs/>
                <w:sz w:val="20"/>
                <w:szCs w:val="20"/>
                <w:lang w:eastAsia="en-GB"/>
              </w:rPr>
              <w:t>AREA</w:t>
            </w:r>
          </w:p>
        </w:tc>
        <w:tc>
          <w:tcPr>
            <w:tcW w:w="3827" w:type="dxa"/>
          </w:tcPr>
          <w:p w14:paraId="0A669E3F" w14:textId="77777777" w:rsidR="009601AE" w:rsidRPr="00690428" w:rsidRDefault="009601AE" w:rsidP="009E3730">
            <w:pPr>
              <w:widowControl w:val="0"/>
              <w:suppressAutoHyphens/>
              <w:jc w:val="center"/>
              <w:rPr>
                <w:b/>
                <w:bCs/>
              </w:rPr>
            </w:pPr>
            <w:r w:rsidRPr="00690428">
              <w:rPr>
                <w:b/>
                <w:bCs/>
                <w:sz w:val="20"/>
                <w:szCs w:val="20"/>
                <w:lang w:eastAsia="en-GB"/>
              </w:rPr>
              <w:t>CONDITION</w:t>
            </w:r>
          </w:p>
        </w:tc>
        <w:tc>
          <w:tcPr>
            <w:tcW w:w="3544" w:type="dxa"/>
          </w:tcPr>
          <w:p w14:paraId="1DD19AD9" w14:textId="77777777" w:rsidR="009601AE" w:rsidRPr="00690428" w:rsidRDefault="009601AE" w:rsidP="009E3730">
            <w:pPr>
              <w:widowControl w:val="0"/>
              <w:suppressAutoHyphens/>
              <w:jc w:val="center"/>
              <w:rPr>
                <w:b/>
                <w:bCs/>
              </w:rPr>
            </w:pPr>
            <w:r w:rsidRPr="00690428">
              <w:rPr>
                <w:b/>
                <w:bCs/>
                <w:sz w:val="20"/>
                <w:szCs w:val="20"/>
                <w:lang w:eastAsia="en-GB"/>
              </w:rPr>
              <w:t>SOURCE OF VERIFICATION</w:t>
            </w:r>
          </w:p>
        </w:tc>
      </w:tr>
      <w:tr w:rsidR="009601AE" w:rsidRPr="00690428" w14:paraId="06B99B62" w14:textId="77777777" w:rsidTr="00C90833">
        <w:trPr>
          <w:jc w:val="center"/>
        </w:trPr>
        <w:tc>
          <w:tcPr>
            <w:tcW w:w="2518" w:type="dxa"/>
          </w:tcPr>
          <w:p w14:paraId="4366D8D7" w14:textId="77777777" w:rsidR="009601AE" w:rsidRPr="00690428" w:rsidRDefault="009601AE" w:rsidP="009E3730">
            <w:pPr>
              <w:widowControl w:val="0"/>
              <w:suppressAutoHyphens/>
              <w:jc w:val="left"/>
              <w:rPr>
                <w:b/>
                <w:bCs/>
              </w:rPr>
            </w:pPr>
            <w:r w:rsidRPr="00690428">
              <w:rPr>
                <w:b/>
                <w:bCs/>
                <w:sz w:val="20"/>
                <w:szCs w:val="20"/>
                <w:lang w:eastAsia="en-GB"/>
              </w:rPr>
              <w:t>EMPLOYMENT AND VET POLICY</w:t>
            </w:r>
          </w:p>
        </w:tc>
        <w:tc>
          <w:tcPr>
            <w:tcW w:w="3827" w:type="dxa"/>
          </w:tcPr>
          <w:p w14:paraId="5B998406" w14:textId="77777777" w:rsidR="009601AE" w:rsidRPr="00690428" w:rsidRDefault="009601AE" w:rsidP="009E3730">
            <w:pPr>
              <w:widowControl w:val="0"/>
              <w:suppressAutoHyphens/>
              <w:jc w:val="left"/>
              <w:rPr>
                <w:sz w:val="20"/>
                <w:szCs w:val="20"/>
                <w:lang w:val="ru-RU" w:eastAsia="en-GB"/>
              </w:rPr>
            </w:pPr>
            <w:r w:rsidRPr="00690428">
              <w:rPr>
                <w:sz w:val="20"/>
                <w:szCs w:val="20"/>
                <w:lang w:eastAsia="en-GB"/>
              </w:rPr>
              <w:t>Satisfactory progress in the review and implementation of relevant and credible medium-term Labour Market and VET reform strategies:</w:t>
            </w:r>
          </w:p>
          <w:p w14:paraId="2B6AC4CE" w14:textId="77777777" w:rsidR="009601AE" w:rsidRPr="00690428" w:rsidRDefault="009601AE" w:rsidP="009E3730">
            <w:pPr>
              <w:widowControl w:val="0"/>
              <w:suppressAutoHyphens/>
              <w:jc w:val="left"/>
              <w:rPr>
                <w:lang w:val="ru-RU"/>
              </w:rPr>
            </w:pPr>
          </w:p>
          <w:p w14:paraId="3A0CD885" w14:textId="77777777" w:rsidR="009601AE" w:rsidRPr="00690428" w:rsidRDefault="009601AE" w:rsidP="009E3730">
            <w:pPr>
              <w:widowControl w:val="0"/>
              <w:suppressAutoHyphens/>
              <w:jc w:val="left"/>
              <w:rPr>
                <w:sz w:val="20"/>
                <w:szCs w:val="20"/>
                <w:lang w:eastAsia="en-GB"/>
              </w:rPr>
            </w:pPr>
            <w:r w:rsidRPr="00690428">
              <w:rPr>
                <w:sz w:val="20"/>
                <w:szCs w:val="20"/>
                <w:lang w:eastAsia="en-GB"/>
              </w:rPr>
              <w:t>1. The Ministry of Labour, Health and Social Affairs monitors, updates, assesses and publishes on its website a relevant and credible medium-term Labour Market reform strategy together with the costed Action Plan, reflected in the Ministry’s annual budget proposal to be submitted to the Ministry of Finance, and subsequently as part of the Basic Data and Directions Document to the Government of Georgia and in the annual budget law to the Parliament;</w:t>
            </w:r>
          </w:p>
          <w:p w14:paraId="19DB3D50" w14:textId="77777777" w:rsidR="009601AE" w:rsidRPr="00690428" w:rsidRDefault="009601AE" w:rsidP="009E3730">
            <w:pPr>
              <w:widowControl w:val="0"/>
              <w:suppressAutoHyphens/>
              <w:jc w:val="left"/>
            </w:pPr>
          </w:p>
          <w:p w14:paraId="0ACBD51F" w14:textId="77777777" w:rsidR="009601AE" w:rsidRPr="00690428" w:rsidRDefault="009601AE" w:rsidP="009E3730">
            <w:pPr>
              <w:widowControl w:val="0"/>
              <w:suppressAutoHyphens/>
              <w:jc w:val="left"/>
              <w:rPr>
                <w:sz w:val="20"/>
                <w:szCs w:val="20"/>
                <w:lang w:eastAsia="en-GB"/>
              </w:rPr>
            </w:pPr>
            <w:r w:rsidRPr="00690428">
              <w:rPr>
                <w:sz w:val="20"/>
                <w:szCs w:val="20"/>
                <w:lang w:eastAsia="en-GB"/>
              </w:rPr>
              <w:t>2. The Ministry of Education and Science monitors, updates, assesses and publishes on its website a relevant and credible medium-term VET reform strategy together with the costed Action Plan reflected in the Ministry’s annual budget proposal to be submitted to the Ministry of Finance, and subsequently as part of the Basic Data and Directions Document to the Government of Georgia and in the annual budget law to the Parliament</w:t>
            </w:r>
          </w:p>
          <w:p w14:paraId="48BBBC6F" w14:textId="77777777" w:rsidR="009601AE" w:rsidRPr="00690428" w:rsidRDefault="009601AE" w:rsidP="009E3730">
            <w:pPr>
              <w:widowControl w:val="0"/>
              <w:suppressAutoHyphens/>
              <w:jc w:val="left"/>
            </w:pPr>
          </w:p>
          <w:p w14:paraId="6538D4AD" w14:textId="77777777" w:rsidR="009601AE" w:rsidRPr="00690428" w:rsidRDefault="009601AE" w:rsidP="009E3730">
            <w:pPr>
              <w:widowControl w:val="0"/>
              <w:suppressAutoHyphens/>
              <w:jc w:val="left"/>
            </w:pPr>
            <w:r w:rsidRPr="00690428">
              <w:rPr>
                <w:sz w:val="20"/>
                <w:szCs w:val="20"/>
                <w:lang w:eastAsia="en-GB"/>
              </w:rPr>
              <w:t>3. Employment-VET Coordination Council established to steer the present programme and meets at least quarterly to monitor strategy implementation</w:t>
            </w:r>
          </w:p>
        </w:tc>
        <w:tc>
          <w:tcPr>
            <w:tcW w:w="3544" w:type="dxa"/>
          </w:tcPr>
          <w:p w14:paraId="5043CF55" w14:textId="77777777" w:rsidR="009601AE" w:rsidRPr="00690428" w:rsidRDefault="009601AE" w:rsidP="009E3730">
            <w:pPr>
              <w:widowControl w:val="0"/>
              <w:suppressAutoHyphens/>
              <w:jc w:val="left"/>
              <w:rPr>
                <w:sz w:val="20"/>
                <w:szCs w:val="20"/>
                <w:lang w:eastAsia="en-GB"/>
              </w:rPr>
            </w:pPr>
          </w:p>
          <w:p w14:paraId="5475CB97" w14:textId="77777777" w:rsidR="009601AE" w:rsidRPr="00690428" w:rsidRDefault="009601AE" w:rsidP="009E3730">
            <w:pPr>
              <w:widowControl w:val="0"/>
              <w:suppressAutoHyphens/>
              <w:jc w:val="left"/>
              <w:rPr>
                <w:sz w:val="20"/>
                <w:szCs w:val="20"/>
                <w:lang w:eastAsia="en-GB"/>
              </w:rPr>
            </w:pPr>
          </w:p>
          <w:p w14:paraId="46104648" w14:textId="77777777" w:rsidR="009601AE" w:rsidRPr="00690428" w:rsidRDefault="009601AE" w:rsidP="009E3730">
            <w:pPr>
              <w:widowControl w:val="0"/>
              <w:suppressAutoHyphens/>
              <w:jc w:val="left"/>
              <w:rPr>
                <w:sz w:val="20"/>
                <w:szCs w:val="20"/>
                <w:lang w:eastAsia="en-GB"/>
              </w:rPr>
            </w:pPr>
          </w:p>
          <w:p w14:paraId="79651D9B" w14:textId="77777777" w:rsidR="009601AE" w:rsidRPr="00690428" w:rsidRDefault="009601AE" w:rsidP="009E3730">
            <w:pPr>
              <w:widowControl w:val="0"/>
              <w:suppressAutoHyphens/>
              <w:jc w:val="left"/>
              <w:rPr>
                <w:sz w:val="20"/>
                <w:szCs w:val="20"/>
                <w:lang w:eastAsia="en-GB"/>
              </w:rPr>
            </w:pPr>
          </w:p>
          <w:p w14:paraId="372DC144" w14:textId="77777777" w:rsidR="009601AE" w:rsidRPr="00690428" w:rsidRDefault="009601AE" w:rsidP="009E3730">
            <w:pPr>
              <w:widowControl w:val="0"/>
              <w:suppressAutoHyphens/>
              <w:jc w:val="left"/>
              <w:rPr>
                <w:sz w:val="20"/>
                <w:szCs w:val="20"/>
                <w:lang w:eastAsia="en-GB"/>
              </w:rPr>
            </w:pPr>
          </w:p>
          <w:p w14:paraId="715C0E37" w14:textId="77777777" w:rsidR="009601AE" w:rsidRPr="00690428" w:rsidRDefault="009601AE" w:rsidP="009E3730">
            <w:pPr>
              <w:widowControl w:val="0"/>
              <w:suppressAutoHyphens/>
              <w:jc w:val="left"/>
            </w:pPr>
            <w:r w:rsidRPr="00690428">
              <w:rPr>
                <w:sz w:val="20"/>
                <w:szCs w:val="20"/>
                <w:lang w:eastAsia="en-GB"/>
              </w:rPr>
              <w:t>MoLHSA Labour Market Strategy and Action Plan for 2014-2017;</w:t>
            </w:r>
          </w:p>
          <w:p w14:paraId="739A3CE1" w14:textId="77777777" w:rsidR="009601AE" w:rsidRPr="00690428" w:rsidRDefault="009601AE" w:rsidP="009E3730">
            <w:pPr>
              <w:widowControl w:val="0"/>
              <w:suppressAutoHyphens/>
              <w:jc w:val="left"/>
            </w:pPr>
            <w:r w:rsidRPr="00690428">
              <w:rPr>
                <w:sz w:val="20"/>
                <w:szCs w:val="20"/>
                <w:lang w:eastAsia="en-GB"/>
              </w:rPr>
              <w:t>Government of Georgia/MoLHSA budget proposal;</w:t>
            </w:r>
          </w:p>
          <w:p w14:paraId="7F1E68F6" w14:textId="77777777" w:rsidR="009601AE" w:rsidRPr="00690428" w:rsidRDefault="009601AE" w:rsidP="009E3730">
            <w:pPr>
              <w:widowControl w:val="0"/>
              <w:suppressAutoHyphens/>
              <w:jc w:val="left"/>
              <w:rPr>
                <w:sz w:val="20"/>
                <w:szCs w:val="20"/>
                <w:lang w:eastAsia="en-GB"/>
              </w:rPr>
            </w:pPr>
            <w:r w:rsidRPr="00690428">
              <w:rPr>
                <w:sz w:val="20"/>
                <w:szCs w:val="20"/>
                <w:lang w:eastAsia="en-GB"/>
              </w:rPr>
              <w:t>MoLHSA Annual Reports (2015, 2016, 2017 on implementation of the Labour Market Strategy Action Plan, including statistical data linked to the indicators included in the Action Plan.</w:t>
            </w:r>
          </w:p>
          <w:p w14:paraId="4CADB4DB" w14:textId="77777777" w:rsidR="009601AE" w:rsidRPr="00690428" w:rsidRDefault="009601AE" w:rsidP="009E3730">
            <w:pPr>
              <w:widowControl w:val="0"/>
              <w:suppressAutoHyphens/>
              <w:jc w:val="left"/>
              <w:rPr>
                <w:sz w:val="20"/>
                <w:szCs w:val="20"/>
                <w:lang w:eastAsia="en-GB"/>
              </w:rPr>
            </w:pPr>
          </w:p>
          <w:p w14:paraId="3F000967" w14:textId="77777777" w:rsidR="009601AE" w:rsidRPr="00690428" w:rsidRDefault="009601AE" w:rsidP="009E3730">
            <w:pPr>
              <w:widowControl w:val="0"/>
              <w:suppressAutoHyphens/>
              <w:jc w:val="left"/>
              <w:rPr>
                <w:sz w:val="20"/>
                <w:szCs w:val="20"/>
                <w:lang w:eastAsia="en-GB"/>
              </w:rPr>
            </w:pPr>
          </w:p>
          <w:p w14:paraId="7F759812" w14:textId="77777777" w:rsidR="009601AE" w:rsidRPr="00690428" w:rsidRDefault="009601AE" w:rsidP="009E3730">
            <w:pPr>
              <w:widowControl w:val="0"/>
              <w:suppressAutoHyphens/>
              <w:jc w:val="left"/>
              <w:rPr>
                <w:sz w:val="20"/>
                <w:szCs w:val="20"/>
                <w:lang w:eastAsia="en-GB"/>
              </w:rPr>
            </w:pPr>
          </w:p>
          <w:p w14:paraId="5D57DAB5" w14:textId="77777777" w:rsidR="009601AE" w:rsidRPr="00690428" w:rsidRDefault="009601AE" w:rsidP="009E3730">
            <w:pPr>
              <w:widowControl w:val="0"/>
              <w:suppressAutoHyphens/>
              <w:jc w:val="left"/>
            </w:pPr>
          </w:p>
          <w:p w14:paraId="0E6E2873" w14:textId="77777777" w:rsidR="009601AE" w:rsidRPr="00690428" w:rsidRDefault="009601AE" w:rsidP="009E3730">
            <w:pPr>
              <w:widowControl w:val="0"/>
              <w:suppressAutoHyphens/>
              <w:jc w:val="left"/>
            </w:pPr>
            <w:r w:rsidRPr="00690428">
              <w:rPr>
                <w:sz w:val="20"/>
                <w:szCs w:val="20"/>
                <w:lang w:eastAsia="en-GB"/>
              </w:rPr>
              <w:t>MoES VET Strategy and Action Plan for 2014-2017 Government of Georgia/MoES budget proposal;</w:t>
            </w:r>
          </w:p>
          <w:p w14:paraId="33127D53" w14:textId="77777777" w:rsidR="009601AE" w:rsidRPr="00690428" w:rsidRDefault="009601AE" w:rsidP="009E3730">
            <w:pPr>
              <w:widowControl w:val="0"/>
              <w:suppressAutoHyphens/>
              <w:jc w:val="left"/>
              <w:rPr>
                <w:sz w:val="20"/>
                <w:szCs w:val="20"/>
                <w:lang w:eastAsia="en-GB"/>
              </w:rPr>
            </w:pPr>
            <w:r w:rsidRPr="00690428">
              <w:rPr>
                <w:sz w:val="20"/>
                <w:szCs w:val="20"/>
                <w:lang w:eastAsia="en-GB"/>
              </w:rPr>
              <w:t>MoES Annual Reports (2015, 2016, 2017 on implementation of the VET Strategy Action Plan including statistical data reflecting the achievement of the indicators included in the Action Plan.</w:t>
            </w:r>
          </w:p>
          <w:p w14:paraId="675E9FCF" w14:textId="77777777" w:rsidR="009601AE" w:rsidRPr="00690428" w:rsidRDefault="009601AE" w:rsidP="009E3730">
            <w:pPr>
              <w:widowControl w:val="0"/>
              <w:suppressAutoHyphens/>
              <w:jc w:val="left"/>
              <w:rPr>
                <w:sz w:val="20"/>
                <w:szCs w:val="20"/>
                <w:lang w:eastAsia="en-GB"/>
              </w:rPr>
            </w:pPr>
          </w:p>
          <w:p w14:paraId="3425AD0E" w14:textId="77777777" w:rsidR="009601AE" w:rsidRPr="00690428" w:rsidRDefault="009601AE" w:rsidP="009E3730">
            <w:pPr>
              <w:widowControl w:val="0"/>
              <w:suppressAutoHyphens/>
              <w:jc w:val="left"/>
            </w:pPr>
          </w:p>
          <w:p w14:paraId="246CB84C" w14:textId="77777777" w:rsidR="009601AE" w:rsidRPr="00690428" w:rsidRDefault="009601AE" w:rsidP="009E3730">
            <w:pPr>
              <w:widowControl w:val="0"/>
              <w:suppressAutoHyphens/>
              <w:jc w:val="left"/>
              <w:rPr>
                <w:sz w:val="20"/>
                <w:szCs w:val="20"/>
                <w:lang w:eastAsia="en-GB"/>
              </w:rPr>
            </w:pPr>
            <w:r w:rsidRPr="00690428">
              <w:rPr>
                <w:sz w:val="20"/>
                <w:szCs w:val="20"/>
                <w:lang w:eastAsia="en-GB"/>
              </w:rPr>
              <w:t>MoLHSA and MoES websites.</w:t>
            </w:r>
          </w:p>
          <w:p w14:paraId="79E6F6A6" w14:textId="77777777" w:rsidR="009601AE" w:rsidRPr="00690428" w:rsidRDefault="009601AE" w:rsidP="009E3730">
            <w:pPr>
              <w:widowControl w:val="0"/>
              <w:suppressAutoHyphens/>
              <w:jc w:val="left"/>
            </w:pPr>
          </w:p>
          <w:p w14:paraId="2C91439B" w14:textId="77777777" w:rsidR="009601AE" w:rsidRPr="00690428" w:rsidRDefault="009601AE" w:rsidP="009E3730">
            <w:pPr>
              <w:widowControl w:val="0"/>
              <w:suppressAutoHyphens/>
              <w:jc w:val="left"/>
            </w:pPr>
            <w:r w:rsidRPr="00690428">
              <w:rPr>
                <w:sz w:val="20"/>
                <w:szCs w:val="20"/>
                <w:lang w:eastAsia="en-GB"/>
              </w:rPr>
              <w:t>Minutes of Employment-VET Coordination Council</w:t>
            </w:r>
          </w:p>
          <w:p w14:paraId="5BDB4A2E" w14:textId="77777777" w:rsidR="009601AE" w:rsidRPr="00690428" w:rsidRDefault="009601AE" w:rsidP="009E3730">
            <w:pPr>
              <w:widowControl w:val="0"/>
              <w:suppressAutoHyphens/>
              <w:jc w:val="left"/>
            </w:pPr>
            <w:r w:rsidRPr="00690428">
              <w:rPr>
                <w:sz w:val="20"/>
                <w:szCs w:val="20"/>
                <w:lang w:eastAsia="en-GB"/>
              </w:rPr>
              <w:t>Annual reports Employment-VET Council</w:t>
            </w:r>
          </w:p>
        </w:tc>
      </w:tr>
      <w:tr w:rsidR="009601AE" w:rsidRPr="00690428" w14:paraId="143F106E" w14:textId="77777777" w:rsidTr="00C90833">
        <w:trPr>
          <w:jc w:val="center"/>
        </w:trPr>
        <w:tc>
          <w:tcPr>
            <w:tcW w:w="2518" w:type="dxa"/>
          </w:tcPr>
          <w:p w14:paraId="198ABBD2" w14:textId="77777777" w:rsidR="009601AE" w:rsidRPr="00690428" w:rsidRDefault="009601AE" w:rsidP="009E3730">
            <w:pPr>
              <w:widowControl w:val="0"/>
              <w:suppressAutoHyphens/>
              <w:jc w:val="left"/>
              <w:rPr>
                <w:b/>
                <w:bCs/>
              </w:rPr>
            </w:pPr>
            <w:r w:rsidRPr="00690428">
              <w:rPr>
                <w:b/>
                <w:bCs/>
                <w:sz w:val="20"/>
                <w:szCs w:val="20"/>
                <w:lang w:eastAsia="en-GB"/>
              </w:rPr>
              <w:t>MACROECONOMIC STABILITY</w:t>
            </w:r>
          </w:p>
        </w:tc>
        <w:tc>
          <w:tcPr>
            <w:tcW w:w="3827" w:type="dxa"/>
          </w:tcPr>
          <w:p w14:paraId="7A542A1F" w14:textId="77777777" w:rsidR="009601AE" w:rsidRPr="00690428" w:rsidRDefault="009601AE" w:rsidP="009E3730">
            <w:pPr>
              <w:widowControl w:val="0"/>
              <w:suppressAutoHyphens/>
              <w:jc w:val="left"/>
            </w:pPr>
            <w:r w:rsidRPr="00690428">
              <w:rPr>
                <w:sz w:val="20"/>
                <w:szCs w:val="20"/>
                <w:lang w:eastAsia="en-GB"/>
              </w:rPr>
              <w:t>Government of Georgia maintains stability orientated macroeconomic policies.</w:t>
            </w:r>
          </w:p>
        </w:tc>
        <w:tc>
          <w:tcPr>
            <w:tcW w:w="3544" w:type="dxa"/>
          </w:tcPr>
          <w:p w14:paraId="09E0E85E" w14:textId="77777777" w:rsidR="009601AE" w:rsidRPr="00690428" w:rsidRDefault="009601AE" w:rsidP="009E3730">
            <w:pPr>
              <w:widowControl w:val="0"/>
              <w:suppressAutoHyphens/>
              <w:jc w:val="left"/>
            </w:pPr>
            <w:r w:rsidRPr="00690428">
              <w:rPr>
                <w:sz w:val="20"/>
                <w:szCs w:val="20"/>
                <w:lang w:eastAsia="en-GB"/>
              </w:rPr>
              <w:t>IMF, WB &amp; EU Reports</w:t>
            </w:r>
          </w:p>
        </w:tc>
      </w:tr>
      <w:tr w:rsidR="009601AE" w:rsidRPr="00690428" w14:paraId="5B21BE66" w14:textId="77777777" w:rsidTr="00C90833">
        <w:trPr>
          <w:jc w:val="center"/>
        </w:trPr>
        <w:tc>
          <w:tcPr>
            <w:tcW w:w="2518" w:type="dxa"/>
          </w:tcPr>
          <w:p w14:paraId="5265FADE" w14:textId="77777777" w:rsidR="009601AE" w:rsidRPr="00690428" w:rsidRDefault="009601AE" w:rsidP="009E3730">
            <w:pPr>
              <w:widowControl w:val="0"/>
              <w:suppressAutoHyphens/>
              <w:jc w:val="left"/>
              <w:rPr>
                <w:b/>
                <w:bCs/>
              </w:rPr>
            </w:pPr>
            <w:r w:rsidRPr="00690428">
              <w:rPr>
                <w:b/>
                <w:bCs/>
                <w:sz w:val="20"/>
                <w:szCs w:val="20"/>
                <w:lang w:eastAsia="en-GB"/>
              </w:rPr>
              <w:t>PUBLIC FINANCE MANAGEMENT</w:t>
            </w:r>
          </w:p>
        </w:tc>
        <w:tc>
          <w:tcPr>
            <w:tcW w:w="3827" w:type="dxa"/>
          </w:tcPr>
          <w:p w14:paraId="2D55E540" w14:textId="77777777" w:rsidR="009601AE" w:rsidRPr="00690428" w:rsidRDefault="009601AE" w:rsidP="009E3730">
            <w:pPr>
              <w:widowControl w:val="0"/>
              <w:suppressAutoHyphens/>
              <w:jc w:val="left"/>
            </w:pPr>
            <w:r w:rsidRPr="00690428">
              <w:rPr>
                <w:sz w:val="20"/>
                <w:szCs w:val="20"/>
                <w:lang w:eastAsia="en-GB"/>
              </w:rPr>
              <w:t>Satisfactory progress in the implementation of the public finance management reform Programme.</w:t>
            </w:r>
          </w:p>
        </w:tc>
        <w:tc>
          <w:tcPr>
            <w:tcW w:w="3544" w:type="dxa"/>
          </w:tcPr>
          <w:p w14:paraId="5348907B" w14:textId="77777777" w:rsidR="009601AE" w:rsidRPr="00690428" w:rsidRDefault="009601AE" w:rsidP="009E3730">
            <w:pPr>
              <w:widowControl w:val="0"/>
              <w:suppressAutoHyphens/>
              <w:jc w:val="left"/>
            </w:pPr>
            <w:r w:rsidRPr="00690428">
              <w:rPr>
                <w:sz w:val="20"/>
                <w:szCs w:val="20"/>
                <w:lang w:eastAsia="en-GB"/>
              </w:rPr>
              <w:t>PFM Reform Coordination Council meeting minutes;</w:t>
            </w:r>
          </w:p>
          <w:p w14:paraId="21DB9C6C" w14:textId="77777777" w:rsidR="009601AE" w:rsidRPr="00690428" w:rsidRDefault="009601AE" w:rsidP="009E3730">
            <w:pPr>
              <w:widowControl w:val="0"/>
              <w:suppressAutoHyphens/>
              <w:jc w:val="left"/>
            </w:pPr>
            <w:r w:rsidRPr="00690428">
              <w:rPr>
                <w:sz w:val="20"/>
                <w:szCs w:val="20"/>
                <w:lang w:eastAsia="en-GB"/>
              </w:rPr>
              <w:t>EU PFM Reports;</w:t>
            </w:r>
          </w:p>
          <w:p w14:paraId="010C97A1" w14:textId="77777777" w:rsidR="009601AE" w:rsidRPr="00690428" w:rsidRDefault="009601AE" w:rsidP="009E3730">
            <w:pPr>
              <w:widowControl w:val="0"/>
              <w:suppressAutoHyphens/>
              <w:jc w:val="left"/>
            </w:pPr>
            <w:r w:rsidRPr="00690428">
              <w:rPr>
                <w:sz w:val="20"/>
                <w:szCs w:val="20"/>
                <w:lang w:eastAsia="en-GB"/>
              </w:rPr>
              <w:t>MoF, SAO reports on PFM action plan implementation.</w:t>
            </w:r>
          </w:p>
        </w:tc>
      </w:tr>
      <w:tr w:rsidR="009601AE" w:rsidRPr="00690428" w14:paraId="55D0196C" w14:textId="77777777" w:rsidTr="00C90833">
        <w:trPr>
          <w:trHeight w:val="1475"/>
          <w:jc w:val="center"/>
        </w:trPr>
        <w:tc>
          <w:tcPr>
            <w:tcW w:w="2518" w:type="dxa"/>
          </w:tcPr>
          <w:p w14:paraId="389230C3" w14:textId="77777777" w:rsidR="009601AE" w:rsidRPr="00690428" w:rsidRDefault="009601AE" w:rsidP="009E3730">
            <w:pPr>
              <w:widowControl w:val="0"/>
              <w:suppressAutoHyphens/>
              <w:jc w:val="left"/>
              <w:rPr>
                <w:b/>
                <w:bCs/>
              </w:rPr>
            </w:pPr>
            <w:r w:rsidRPr="00690428">
              <w:rPr>
                <w:b/>
                <w:bCs/>
                <w:sz w:val="20"/>
                <w:szCs w:val="20"/>
                <w:lang w:eastAsia="en-GB"/>
              </w:rPr>
              <w:t>TRANSPARENCY AND OVERSIGHT OF THE BUDGET</w:t>
            </w:r>
          </w:p>
        </w:tc>
        <w:tc>
          <w:tcPr>
            <w:tcW w:w="3827" w:type="dxa"/>
          </w:tcPr>
          <w:p w14:paraId="5B6588BF" w14:textId="77777777" w:rsidR="009601AE" w:rsidRPr="00690428" w:rsidRDefault="009601AE" w:rsidP="009E3730">
            <w:pPr>
              <w:widowControl w:val="0"/>
              <w:suppressAutoHyphens/>
              <w:jc w:val="left"/>
            </w:pPr>
            <w:r w:rsidRPr="00690428">
              <w:rPr>
                <w:sz w:val="20"/>
                <w:szCs w:val="20"/>
                <w:lang w:eastAsia="en-GB"/>
              </w:rPr>
              <w:t>The Georgian authorities (the Government, the Parliament and the State Audit Office) maintain and/or progress with regard to the public availability of accessible, timely, comprehensive, and sound budgetary information.</w:t>
            </w:r>
          </w:p>
        </w:tc>
        <w:tc>
          <w:tcPr>
            <w:tcW w:w="3544" w:type="dxa"/>
          </w:tcPr>
          <w:p w14:paraId="613BF468" w14:textId="77777777" w:rsidR="009601AE" w:rsidRPr="00690428" w:rsidRDefault="009601AE" w:rsidP="009E3730">
            <w:pPr>
              <w:widowControl w:val="0"/>
              <w:suppressAutoHyphens/>
              <w:jc w:val="left"/>
              <w:rPr>
                <w:sz w:val="20"/>
                <w:szCs w:val="20"/>
                <w:lang w:eastAsia="en-GB"/>
              </w:rPr>
            </w:pPr>
            <w:r w:rsidRPr="00690428">
              <w:rPr>
                <w:sz w:val="20"/>
                <w:szCs w:val="20"/>
                <w:lang w:eastAsia="en-GB"/>
              </w:rPr>
              <w:t>Open Budget Index;</w:t>
            </w:r>
          </w:p>
          <w:p w14:paraId="541C1EA2" w14:textId="77777777" w:rsidR="009601AE" w:rsidRPr="00690428" w:rsidRDefault="009601AE" w:rsidP="009E3730">
            <w:pPr>
              <w:widowControl w:val="0"/>
              <w:suppressAutoHyphens/>
              <w:jc w:val="left"/>
            </w:pPr>
            <w:r w:rsidRPr="00690428">
              <w:rPr>
                <w:sz w:val="20"/>
                <w:szCs w:val="20"/>
                <w:lang w:eastAsia="en-GB"/>
              </w:rPr>
              <w:t>MF, WB &amp; EU Reports.</w:t>
            </w:r>
          </w:p>
        </w:tc>
      </w:tr>
    </w:tbl>
    <w:p w14:paraId="2B6C25A5" w14:textId="77777777" w:rsidR="009601AE" w:rsidRDefault="009601AE" w:rsidP="009E3730">
      <w:pPr>
        <w:widowControl w:val="0"/>
        <w:suppressAutoHyphens/>
      </w:pPr>
    </w:p>
    <w:p w14:paraId="6EECE382" w14:textId="77777777" w:rsidR="009601AE" w:rsidRDefault="009601AE" w:rsidP="009E3730">
      <w:pPr>
        <w:widowControl w:val="0"/>
        <w:suppressAutoHyphens/>
      </w:pPr>
    </w:p>
    <w:p w14:paraId="10E0F7C1" w14:textId="77777777" w:rsidR="009601AE" w:rsidRDefault="009601AE" w:rsidP="009E3730">
      <w:pPr>
        <w:widowControl w:val="0"/>
        <w:suppressAutoHyphens/>
        <w:sectPr w:rsidR="009601AE">
          <w:pgSz w:w="11909" w:h="16834" w:code="9"/>
          <w:pgMar w:top="1417" w:right="1417" w:bottom="1417" w:left="1417" w:header="709" w:footer="709" w:gutter="0"/>
          <w:cols w:space="709"/>
        </w:sectPr>
      </w:pPr>
    </w:p>
    <w:p w14:paraId="218D4E9A" w14:textId="77777777" w:rsidR="009601AE" w:rsidRDefault="009601AE" w:rsidP="009E3730">
      <w:pPr>
        <w:widowControl w:val="0"/>
        <w:suppressAutoHyphens/>
        <w:rPr>
          <w:b/>
          <w:bCs/>
          <w:i/>
          <w:iCs/>
          <w:sz w:val="24"/>
          <w:szCs w:val="24"/>
        </w:rPr>
      </w:pPr>
      <w:r>
        <w:rPr>
          <w:b/>
          <w:bCs/>
          <w:i/>
          <w:iCs/>
          <w:sz w:val="24"/>
          <w:szCs w:val="24"/>
        </w:rPr>
        <w:t>b)</w:t>
      </w:r>
      <w:r>
        <w:rPr>
          <w:b/>
          <w:bCs/>
          <w:i/>
          <w:iCs/>
          <w:sz w:val="24"/>
          <w:szCs w:val="24"/>
        </w:rPr>
        <w:tab/>
        <w:t>Specific Policy Conditions</w:t>
      </w:r>
    </w:p>
    <w:p w14:paraId="450D3938" w14:textId="77777777" w:rsidR="009601AE" w:rsidRDefault="009601AE" w:rsidP="009E3730">
      <w:pPr>
        <w:widowControl w:val="0"/>
        <w:suppressAutoHyphens/>
        <w:rPr>
          <w:sz w:val="24"/>
          <w:szCs w:val="24"/>
        </w:rPr>
      </w:pPr>
    </w:p>
    <w:p w14:paraId="2758F9EE" w14:textId="77777777" w:rsidR="009601AE" w:rsidRDefault="009601AE" w:rsidP="009E3730">
      <w:pPr>
        <w:widowControl w:val="0"/>
        <w:suppressAutoHyphens/>
      </w:pPr>
      <w:r>
        <w:t xml:space="preserve">The Specific Conditions apply to individual instalments/tranches. There are no Specific Conditions for the First Instalment, which comprises a fixed tranche only, disbursement of which is dependent upon compliance with the General Conditions. There are, however, Specific Conditions for disbursement of each of the variable tranches of the Second, Third and Fourth Instalments, each of which also has a fixed tranche. </w:t>
      </w:r>
    </w:p>
    <w:p w14:paraId="1B78D81C" w14:textId="77777777" w:rsidR="009601AE" w:rsidRDefault="009601AE" w:rsidP="009E3730">
      <w:pPr>
        <w:widowControl w:val="0"/>
        <w:suppressAutoHyphens/>
        <w:jc w:val="center"/>
        <w:rPr>
          <w:b/>
          <w:bCs/>
          <w:sz w:val="20"/>
          <w:szCs w:val="20"/>
        </w:rPr>
      </w:pPr>
    </w:p>
    <w:p w14:paraId="060769F1" w14:textId="77777777" w:rsidR="009601AE" w:rsidRDefault="009601AE" w:rsidP="009E3730">
      <w:pPr>
        <w:widowControl w:val="0"/>
        <w:suppressAutoHyphens/>
        <w:jc w:val="center"/>
      </w:pPr>
      <w:r>
        <w:rPr>
          <w:b/>
          <w:bCs/>
        </w:rPr>
        <w:t>FA Annex II: Appendix 2 - Table 3: Specific Conditions for Tranche Release</w:t>
      </w:r>
    </w:p>
    <w:p w14:paraId="6577E5C4" w14:textId="77777777" w:rsidR="009601AE" w:rsidRDefault="009601AE" w:rsidP="009E3730">
      <w:pPr>
        <w:widowControl w:val="0"/>
        <w:suppressAutoHyphens/>
        <w:rPr>
          <w:sz w:val="20"/>
          <w:szCs w:val="20"/>
        </w:rPr>
      </w:pPr>
    </w:p>
    <w:tbl>
      <w:tblPr>
        <w:tblW w:w="15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2"/>
        <w:gridCol w:w="1273"/>
        <w:gridCol w:w="1701"/>
        <w:gridCol w:w="1559"/>
        <w:gridCol w:w="5586"/>
        <w:gridCol w:w="3173"/>
      </w:tblGrid>
      <w:tr w:rsidR="009601AE" w:rsidRPr="00690428" w14:paraId="30C29CB3" w14:textId="77777777" w:rsidTr="00C90833">
        <w:trPr>
          <w:trHeight w:val="20"/>
          <w:jc w:val="center"/>
        </w:trPr>
        <w:tc>
          <w:tcPr>
            <w:tcW w:w="1852" w:type="dxa"/>
          </w:tcPr>
          <w:p w14:paraId="43B67847" w14:textId="77777777" w:rsidR="009601AE" w:rsidRPr="00690428" w:rsidRDefault="009601AE" w:rsidP="009E3730">
            <w:pPr>
              <w:widowControl w:val="0"/>
              <w:suppressAutoHyphens/>
              <w:spacing w:before="40" w:after="40"/>
              <w:jc w:val="center"/>
              <w:rPr>
                <w:sz w:val="20"/>
                <w:szCs w:val="20"/>
              </w:rPr>
            </w:pPr>
            <w:r w:rsidRPr="00690428">
              <w:rPr>
                <w:sz w:val="20"/>
                <w:szCs w:val="20"/>
              </w:rPr>
              <w:t>Tranche</w:t>
            </w:r>
          </w:p>
          <w:p w14:paraId="4A312119" w14:textId="77777777" w:rsidR="009601AE" w:rsidRPr="00690428" w:rsidRDefault="009601AE" w:rsidP="009E3730">
            <w:pPr>
              <w:widowControl w:val="0"/>
              <w:suppressAutoHyphens/>
              <w:spacing w:before="40" w:after="40"/>
              <w:jc w:val="left"/>
              <w:rPr>
                <w:sz w:val="20"/>
                <w:szCs w:val="20"/>
              </w:rPr>
            </w:pPr>
          </w:p>
        </w:tc>
        <w:tc>
          <w:tcPr>
            <w:tcW w:w="1273" w:type="dxa"/>
          </w:tcPr>
          <w:p w14:paraId="59CF85BC" w14:textId="77777777" w:rsidR="009601AE" w:rsidRPr="00690428" w:rsidRDefault="009601AE" w:rsidP="009E3730">
            <w:pPr>
              <w:widowControl w:val="0"/>
              <w:suppressAutoHyphens/>
              <w:spacing w:before="40" w:after="40"/>
              <w:jc w:val="left"/>
              <w:rPr>
                <w:sz w:val="20"/>
                <w:szCs w:val="20"/>
                <w:lang w:val="ru-RU"/>
              </w:rPr>
            </w:pPr>
            <w:r w:rsidRPr="00690428">
              <w:rPr>
                <w:sz w:val="20"/>
                <w:szCs w:val="20"/>
              </w:rPr>
              <w:t>Amount</w:t>
            </w:r>
          </w:p>
        </w:tc>
        <w:tc>
          <w:tcPr>
            <w:tcW w:w="1701" w:type="dxa"/>
          </w:tcPr>
          <w:p w14:paraId="094A6C58" w14:textId="77777777" w:rsidR="009601AE" w:rsidRPr="00690428" w:rsidRDefault="009601AE" w:rsidP="009E3730">
            <w:pPr>
              <w:widowControl w:val="0"/>
              <w:suppressAutoHyphens/>
              <w:spacing w:before="40" w:after="40"/>
              <w:jc w:val="center"/>
              <w:rPr>
                <w:sz w:val="20"/>
                <w:szCs w:val="20"/>
                <w:lang w:val="ru-RU"/>
              </w:rPr>
            </w:pPr>
            <w:r w:rsidRPr="00690428">
              <w:rPr>
                <w:sz w:val="20"/>
                <w:szCs w:val="20"/>
              </w:rPr>
              <w:t>Indicative</w:t>
            </w:r>
            <w:r w:rsidRPr="00690428">
              <w:rPr>
                <w:sz w:val="20"/>
                <w:szCs w:val="20"/>
                <w:lang w:val="ru-RU"/>
              </w:rPr>
              <w:t xml:space="preserve"> </w:t>
            </w:r>
            <w:r w:rsidRPr="00690428">
              <w:rPr>
                <w:sz w:val="20"/>
                <w:szCs w:val="20"/>
              </w:rPr>
              <w:t>disbursement</w:t>
            </w:r>
            <w:r w:rsidRPr="00690428">
              <w:rPr>
                <w:sz w:val="20"/>
                <w:szCs w:val="20"/>
                <w:lang w:val="ru-RU"/>
              </w:rPr>
              <w:t xml:space="preserve"> </w:t>
            </w:r>
            <w:r w:rsidRPr="00690428">
              <w:rPr>
                <w:sz w:val="20"/>
                <w:szCs w:val="20"/>
              </w:rPr>
              <w:t>request date</w:t>
            </w:r>
            <w:r w:rsidRPr="00690428">
              <w:rPr>
                <w:sz w:val="20"/>
                <w:szCs w:val="20"/>
                <w:lang w:val="ru-RU"/>
              </w:rPr>
              <w:t xml:space="preserve"> </w:t>
            </w:r>
            <w:r w:rsidRPr="00690428">
              <w:rPr>
                <w:sz w:val="20"/>
                <w:szCs w:val="20"/>
              </w:rPr>
              <w:t>Quarter/Year</w:t>
            </w:r>
          </w:p>
        </w:tc>
        <w:tc>
          <w:tcPr>
            <w:tcW w:w="1559" w:type="dxa"/>
          </w:tcPr>
          <w:p w14:paraId="072B26CB" w14:textId="77777777" w:rsidR="009601AE" w:rsidRPr="00690428" w:rsidRDefault="009601AE" w:rsidP="009E3730">
            <w:pPr>
              <w:widowControl w:val="0"/>
              <w:suppressAutoHyphens/>
              <w:spacing w:before="40" w:after="40"/>
              <w:jc w:val="center"/>
              <w:rPr>
                <w:sz w:val="20"/>
                <w:szCs w:val="20"/>
              </w:rPr>
            </w:pPr>
            <w:r w:rsidRPr="00690428">
              <w:rPr>
                <w:sz w:val="20"/>
                <w:szCs w:val="20"/>
              </w:rPr>
              <w:t>Indicative</w:t>
            </w:r>
            <w:r w:rsidRPr="00690428">
              <w:rPr>
                <w:sz w:val="20"/>
                <w:szCs w:val="20"/>
                <w:lang w:val="ru-RU"/>
              </w:rPr>
              <w:t xml:space="preserve"> </w:t>
            </w:r>
            <w:r w:rsidRPr="00690428">
              <w:rPr>
                <w:sz w:val="20"/>
                <w:szCs w:val="20"/>
              </w:rPr>
              <w:t>disbursement</w:t>
            </w:r>
            <w:r w:rsidRPr="00690428">
              <w:rPr>
                <w:sz w:val="20"/>
                <w:szCs w:val="20"/>
                <w:lang w:val="ru-RU"/>
              </w:rPr>
              <w:t xml:space="preserve"> </w:t>
            </w:r>
            <w:r w:rsidRPr="00690428">
              <w:rPr>
                <w:sz w:val="20"/>
                <w:szCs w:val="20"/>
              </w:rPr>
              <w:t>date Quarter/Year</w:t>
            </w:r>
          </w:p>
        </w:tc>
        <w:tc>
          <w:tcPr>
            <w:tcW w:w="5586" w:type="dxa"/>
          </w:tcPr>
          <w:p w14:paraId="1D7BDD6A" w14:textId="77777777" w:rsidR="009601AE" w:rsidRPr="00690428" w:rsidRDefault="009601AE" w:rsidP="009E3730">
            <w:pPr>
              <w:widowControl w:val="0"/>
              <w:suppressAutoHyphens/>
              <w:spacing w:before="40" w:after="40"/>
              <w:jc w:val="center"/>
              <w:rPr>
                <w:sz w:val="20"/>
                <w:szCs w:val="20"/>
              </w:rPr>
            </w:pPr>
            <w:r w:rsidRPr="00690428">
              <w:rPr>
                <w:sz w:val="20"/>
                <w:szCs w:val="20"/>
              </w:rPr>
              <w:t>Condition/Criteria/Activity for disbursement</w:t>
            </w:r>
          </w:p>
        </w:tc>
        <w:tc>
          <w:tcPr>
            <w:tcW w:w="3173" w:type="dxa"/>
          </w:tcPr>
          <w:p w14:paraId="33E9F0AB" w14:textId="77777777" w:rsidR="009601AE" w:rsidRPr="00690428" w:rsidRDefault="009601AE" w:rsidP="009E3730">
            <w:pPr>
              <w:widowControl w:val="0"/>
              <w:suppressAutoHyphens/>
              <w:spacing w:before="40" w:after="40"/>
              <w:jc w:val="center"/>
              <w:rPr>
                <w:sz w:val="20"/>
                <w:szCs w:val="20"/>
              </w:rPr>
            </w:pPr>
            <w:r w:rsidRPr="00690428">
              <w:rPr>
                <w:sz w:val="20"/>
                <w:szCs w:val="20"/>
              </w:rPr>
              <w:t>Sources of Verification</w:t>
            </w:r>
          </w:p>
        </w:tc>
      </w:tr>
      <w:tr w:rsidR="009601AE" w:rsidRPr="00690428" w14:paraId="67875911" w14:textId="77777777" w:rsidTr="00C90833">
        <w:trPr>
          <w:trHeight w:val="20"/>
          <w:jc w:val="center"/>
        </w:trPr>
        <w:tc>
          <w:tcPr>
            <w:tcW w:w="1852" w:type="dxa"/>
            <w:shd w:val="clear" w:color="auto" w:fill="D9D9D9"/>
          </w:tcPr>
          <w:p w14:paraId="35024AEE" w14:textId="07F1D67A" w:rsidR="009601AE" w:rsidRPr="00690428" w:rsidRDefault="009601AE" w:rsidP="009E3730">
            <w:pPr>
              <w:widowControl w:val="0"/>
              <w:suppressAutoHyphens/>
              <w:spacing w:before="40" w:after="40"/>
              <w:jc w:val="left"/>
              <w:rPr>
                <w:sz w:val="20"/>
                <w:szCs w:val="20"/>
              </w:rPr>
            </w:pPr>
            <w:r w:rsidRPr="00690428">
              <w:rPr>
                <w:sz w:val="20"/>
                <w:szCs w:val="20"/>
              </w:rPr>
              <w:t xml:space="preserve">Second </w:t>
            </w:r>
            <w:r w:rsidR="00320807">
              <w:rPr>
                <w:sz w:val="20"/>
                <w:szCs w:val="20"/>
              </w:rPr>
              <w:t>F</w:t>
            </w:r>
            <w:r w:rsidRPr="00690428">
              <w:rPr>
                <w:sz w:val="20"/>
                <w:szCs w:val="20"/>
              </w:rPr>
              <w:t>ix</w:t>
            </w:r>
            <w:r w:rsidRPr="00690428">
              <w:rPr>
                <w:sz w:val="20"/>
                <w:szCs w:val="20"/>
                <w:lang w:val="ru-RU"/>
              </w:rPr>
              <w:t>e</w:t>
            </w:r>
            <w:r w:rsidRPr="00690428">
              <w:rPr>
                <w:sz w:val="20"/>
                <w:szCs w:val="20"/>
              </w:rPr>
              <w:t>d Tranch</w:t>
            </w:r>
            <w:r w:rsidRPr="00690428">
              <w:rPr>
                <w:sz w:val="20"/>
                <w:szCs w:val="20"/>
                <w:lang w:val="ru-RU"/>
              </w:rPr>
              <w:t>e</w:t>
            </w:r>
          </w:p>
        </w:tc>
        <w:tc>
          <w:tcPr>
            <w:tcW w:w="1273" w:type="dxa"/>
            <w:shd w:val="clear" w:color="auto" w:fill="D9D9D9"/>
          </w:tcPr>
          <w:p w14:paraId="34016660" w14:textId="0DC4B2E5" w:rsidR="009601AE" w:rsidRPr="00690428" w:rsidRDefault="009601AE" w:rsidP="009E3730">
            <w:pPr>
              <w:widowControl w:val="0"/>
              <w:suppressAutoHyphens/>
              <w:spacing w:before="40" w:after="40"/>
              <w:jc w:val="left"/>
              <w:rPr>
                <w:sz w:val="20"/>
                <w:szCs w:val="20"/>
              </w:rPr>
            </w:pPr>
            <w:r w:rsidRPr="00690428">
              <w:rPr>
                <w:sz w:val="20"/>
                <w:szCs w:val="20"/>
                <w:lang w:val="ru-RU"/>
              </w:rPr>
              <w:t>EUR</w:t>
            </w:r>
            <w:r w:rsidRPr="00690428">
              <w:rPr>
                <w:sz w:val="20"/>
                <w:szCs w:val="20"/>
              </w:rPr>
              <w:t xml:space="preserve"> 1</w:t>
            </w:r>
            <w:r w:rsidRPr="00690428">
              <w:rPr>
                <w:sz w:val="20"/>
                <w:szCs w:val="20"/>
                <w:lang w:val="ru-RU"/>
              </w:rPr>
              <w:t xml:space="preserve"> </w:t>
            </w:r>
            <w:r w:rsidR="00320807">
              <w:rPr>
                <w:sz w:val="20"/>
                <w:szCs w:val="20"/>
              </w:rPr>
              <w:t>million</w:t>
            </w:r>
          </w:p>
        </w:tc>
        <w:tc>
          <w:tcPr>
            <w:tcW w:w="1701" w:type="dxa"/>
            <w:shd w:val="clear" w:color="auto" w:fill="D9D9D9"/>
          </w:tcPr>
          <w:p w14:paraId="34C14984" w14:textId="77777777" w:rsidR="009601AE" w:rsidRPr="00690428" w:rsidRDefault="009601AE" w:rsidP="009E3730">
            <w:pPr>
              <w:widowControl w:val="0"/>
              <w:suppressAutoHyphens/>
              <w:spacing w:before="40" w:after="40"/>
              <w:jc w:val="center"/>
              <w:rPr>
                <w:sz w:val="20"/>
                <w:szCs w:val="20"/>
              </w:rPr>
            </w:pPr>
            <w:r w:rsidRPr="00690428">
              <w:rPr>
                <w:sz w:val="20"/>
                <w:szCs w:val="20"/>
              </w:rPr>
              <w:t>Q1/2015</w:t>
            </w:r>
          </w:p>
        </w:tc>
        <w:tc>
          <w:tcPr>
            <w:tcW w:w="1559" w:type="dxa"/>
            <w:shd w:val="clear" w:color="auto" w:fill="D9D9D9"/>
          </w:tcPr>
          <w:p w14:paraId="762E2238" w14:textId="77777777" w:rsidR="009601AE" w:rsidRPr="00690428" w:rsidRDefault="009601AE" w:rsidP="009E3730">
            <w:pPr>
              <w:widowControl w:val="0"/>
              <w:suppressAutoHyphens/>
              <w:spacing w:before="40" w:after="40"/>
              <w:jc w:val="center"/>
              <w:rPr>
                <w:sz w:val="20"/>
                <w:szCs w:val="20"/>
              </w:rPr>
            </w:pPr>
            <w:r w:rsidRPr="00690428">
              <w:rPr>
                <w:sz w:val="20"/>
                <w:szCs w:val="20"/>
              </w:rPr>
              <w:t>02/2015</w:t>
            </w:r>
          </w:p>
        </w:tc>
        <w:tc>
          <w:tcPr>
            <w:tcW w:w="5586" w:type="dxa"/>
            <w:shd w:val="clear" w:color="auto" w:fill="D9D9D9"/>
          </w:tcPr>
          <w:p w14:paraId="62E3B34E" w14:textId="77777777" w:rsidR="009601AE" w:rsidRPr="00690428" w:rsidRDefault="009601AE" w:rsidP="009E3730">
            <w:pPr>
              <w:widowControl w:val="0"/>
              <w:suppressAutoHyphens/>
              <w:spacing w:before="40" w:after="40"/>
              <w:jc w:val="left"/>
              <w:rPr>
                <w:sz w:val="20"/>
                <w:szCs w:val="20"/>
              </w:rPr>
            </w:pPr>
            <w:r w:rsidRPr="00690428">
              <w:rPr>
                <w:sz w:val="20"/>
                <w:szCs w:val="20"/>
              </w:rPr>
              <w:t>General Conditions set out in TABLE 2 above</w:t>
            </w:r>
          </w:p>
        </w:tc>
        <w:tc>
          <w:tcPr>
            <w:tcW w:w="3173" w:type="dxa"/>
            <w:shd w:val="clear" w:color="auto" w:fill="D9D9D9"/>
          </w:tcPr>
          <w:p w14:paraId="5462A601" w14:textId="77777777" w:rsidR="009601AE" w:rsidRPr="00690428" w:rsidRDefault="009601AE" w:rsidP="009E3730">
            <w:pPr>
              <w:widowControl w:val="0"/>
              <w:suppressAutoHyphens/>
              <w:spacing w:before="40" w:after="40"/>
              <w:jc w:val="center"/>
              <w:rPr>
                <w:b/>
                <w:bCs/>
                <w:sz w:val="20"/>
                <w:szCs w:val="20"/>
                <w:lang w:val="ru-RU"/>
              </w:rPr>
            </w:pPr>
          </w:p>
        </w:tc>
      </w:tr>
      <w:tr w:rsidR="009601AE" w:rsidRPr="00690428" w14:paraId="0B0C95AD" w14:textId="77777777" w:rsidTr="00C90833">
        <w:trPr>
          <w:trHeight w:val="20"/>
          <w:jc w:val="center"/>
        </w:trPr>
        <w:tc>
          <w:tcPr>
            <w:tcW w:w="1852" w:type="dxa"/>
            <w:shd w:val="clear" w:color="auto" w:fill="D9D9D9"/>
          </w:tcPr>
          <w:p w14:paraId="4E70BFCF" w14:textId="77777777" w:rsidR="009601AE" w:rsidRPr="00690428" w:rsidRDefault="009601AE" w:rsidP="009E3730">
            <w:pPr>
              <w:widowControl w:val="0"/>
              <w:suppressAutoHyphens/>
              <w:spacing w:before="40" w:after="40"/>
              <w:jc w:val="left"/>
              <w:rPr>
                <w:sz w:val="20"/>
                <w:szCs w:val="20"/>
              </w:rPr>
            </w:pPr>
            <w:r w:rsidRPr="00690428">
              <w:rPr>
                <w:sz w:val="20"/>
                <w:szCs w:val="20"/>
              </w:rPr>
              <w:t>First Variable Tranche</w:t>
            </w:r>
          </w:p>
        </w:tc>
        <w:tc>
          <w:tcPr>
            <w:tcW w:w="1273" w:type="dxa"/>
            <w:shd w:val="clear" w:color="auto" w:fill="D9D9D9"/>
          </w:tcPr>
          <w:p w14:paraId="567B51D9" w14:textId="49175A07" w:rsidR="009601AE" w:rsidRPr="00690428" w:rsidRDefault="009601AE" w:rsidP="009E3730">
            <w:pPr>
              <w:widowControl w:val="0"/>
              <w:suppressAutoHyphens/>
              <w:spacing w:before="40" w:after="40"/>
              <w:jc w:val="left"/>
              <w:rPr>
                <w:sz w:val="20"/>
                <w:szCs w:val="20"/>
              </w:rPr>
            </w:pPr>
            <w:r w:rsidRPr="00690428">
              <w:rPr>
                <w:sz w:val="20"/>
                <w:szCs w:val="20"/>
                <w:lang w:val="ru-RU"/>
              </w:rPr>
              <w:t>EU</w:t>
            </w:r>
            <w:r w:rsidRPr="00690428">
              <w:rPr>
                <w:sz w:val="20"/>
                <w:szCs w:val="20"/>
              </w:rPr>
              <w:t>R 3</w:t>
            </w:r>
            <w:r w:rsidRPr="00690428">
              <w:rPr>
                <w:sz w:val="20"/>
                <w:szCs w:val="20"/>
                <w:lang w:val="ru-RU"/>
              </w:rPr>
              <w:t xml:space="preserve"> </w:t>
            </w:r>
            <w:r w:rsidR="00320807">
              <w:rPr>
                <w:sz w:val="20"/>
                <w:szCs w:val="20"/>
              </w:rPr>
              <w:t>million</w:t>
            </w:r>
          </w:p>
        </w:tc>
        <w:tc>
          <w:tcPr>
            <w:tcW w:w="1701" w:type="dxa"/>
            <w:shd w:val="clear" w:color="auto" w:fill="D9D9D9"/>
          </w:tcPr>
          <w:p w14:paraId="53FFD004" w14:textId="77777777" w:rsidR="009601AE" w:rsidRPr="00690428" w:rsidRDefault="009601AE" w:rsidP="009E3730">
            <w:pPr>
              <w:widowControl w:val="0"/>
              <w:suppressAutoHyphens/>
              <w:spacing w:before="40" w:after="40"/>
              <w:jc w:val="center"/>
              <w:rPr>
                <w:sz w:val="20"/>
                <w:szCs w:val="20"/>
              </w:rPr>
            </w:pPr>
            <w:r w:rsidRPr="00690428">
              <w:rPr>
                <w:b/>
                <w:bCs/>
                <w:sz w:val="20"/>
                <w:szCs w:val="20"/>
              </w:rPr>
              <w:t>Q1/2015</w:t>
            </w:r>
          </w:p>
        </w:tc>
        <w:tc>
          <w:tcPr>
            <w:tcW w:w="1559" w:type="dxa"/>
            <w:shd w:val="clear" w:color="auto" w:fill="D9D9D9"/>
          </w:tcPr>
          <w:p w14:paraId="17DC0FA8" w14:textId="77777777" w:rsidR="009601AE" w:rsidRPr="00690428" w:rsidRDefault="009601AE" w:rsidP="009E3730">
            <w:pPr>
              <w:widowControl w:val="0"/>
              <w:suppressAutoHyphens/>
              <w:spacing w:before="40" w:after="40"/>
              <w:jc w:val="center"/>
              <w:rPr>
                <w:sz w:val="20"/>
                <w:szCs w:val="20"/>
              </w:rPr>
            </w:pPr>
            <w:r w:rsidRPr="00690428">
              <w:rPr>
                <w:sz w:val="20"/>
                <w:szCs w:val="20"/>
              </w:rPr>
              <w:t>Q2/2015</w:t>
            </w:r>
          </w:p>
        </w:tc>
        <w:tc>
          <w:tcPr>
            <w:tcW w:w="5586" w:type="dxa"/>
            <w:shd w:val="clear" w:color="auto" w:fill="D9D9D9"/>
          </w:tcPr>
          <w:p w14:paraId="70517094" w14:textId="77777777" w:rsidR="009601AE" w:rsidRPr="00690428" w:rsidRDefault="009601AE" w:rsidP="009E3730">
            <w:pPr>
              <w:widowControl w:val="0"/>
              <w:suppressAutoHyphens/>
              <w:spacing w:before="40" w:after="40"/>
              <w:jc w:val="left"/>
              <w:rPr>
                <w:sz w:val="20"/>
                <w:szCs w:val="20"/>
              </w:rPr>
            </w:pPr>
            <w:r w:rsidRPr="00690428">
              <w:rPr>
                <w:sz w:val="20"/>
                <w:szCs w:val="20"/>
              </w:rPr>
              <w:t>General Conditions set out in TABLE 2 above</w:t>
            </w:r>
          </w:p>
        </w:tc>
        <w:tc>
          <w:tcPr>
            <w:tcW w:w="3173" w:type="dxa"/>
            <w:shd w:val="clear" w:color="auto" w:fill="D9D9D9"/>
          </w:tcPr>
          <w:p w14:paraId="7F58C1B7" w14:textId="77777777" w:rsidR="009601AE" w:rsidRPr="00690428" w:rsidRDefault="009601AE" w:rsidP="009E3730">
            <w:pPr>
              <w:widowControl w:val="0"/>
              <w:suppressAutoHyphens/>
              <w:spacing w:before="40" w:after="40"/>
              <w:jc w:val="center"/>
              <w:rPr>
                <w:b/>
                <w:bCs/>
                <w:sz w:val="20"/>
                <w:szCs w:val="20"/>
                <w:lang w:val="ru-RU"/>
              </w:rPr>
            </w:pPr>
          </w:p>
        </w:tc>
      </w:tr>
      <w:tr w:rsidR="009601AE" w:rsidRPr="00690428" w14:paraId="54E8E8A7" w14:textId="77777777" w:rsidTr="00C90833">
        <w:trPr>
          <w:trHeight w:val="20"/>
          <w:jc w:val="center"/>
        </w:trPr>
        <w:tc>
          <w:tcPr>
            <w:tcW w:w="15144" w:type="dxa"/>
            <w:gridSpan w:val="6"/>
            <w:vAlign w:val="center"/>
          </w:tcPr>
          <w:p w14:paraId="7CD6BBA0" w14:textId="77777777" w:rsidR="009601AE" w:rsidRPr="00690428" w:rsidRDefault="009601AE" w:rsidP="009E3730">
            <w:pPr>
              <w:widowControl w:val="0"/>
              <w:suppressAutoHyphens/>
              <w:spacing w:before="40" w:after="40"/>
              <w:jc w:val="left"/>
              <w:rPr>
                <w:b/>
                <w:bCs/>
                <w:sz w:val="20"/>
                <w:szCs w:val="20"/>
                <w:lang w:val="ru-RU"/>
              </w:rPr>
            </w:pPr>
            <w:r w:rsidRPr="00690428">
              <w:rPr>
                <w:sz w:val="20"/>
                <w:szCs w:val="20"/>
              </w:rPr>
              <w:t>COMPONENT 1: EFFECTIVE LABOUR MARKET MANAGEMENT</w:t>
            </w:r>
          </w:p>
        </w:tc>
      </w:tr>
      <w:tr w:rsidR="009601AE" w:rsidRPr="00690428" w14:paraId="5E7967A8" w14:textId="77777777" w:rsidTr="00C90833">
        <w:trPr>
          <w:cantSplit/>
          <w:trHeight w:val="20"/>
          <w:jc w:val="center"/>
        </w:trPr>
        <w:tc>
          <w:tcPr>
            <w:tcW w:w="1852" w:type="dxa"/>
            <w:vMerge w:val="restart"/>
          </w:tcPr>
          <w:p w14:paraId="06322E81" w14:textId="77777777" w:rsidR="009601AE" w:rsidRPr="00690428" w:rsidRDefault="009601AE" w:rsidP="009E3730">
            <w:pPr>
              <w:widowControl w:val="0"/>
              <w:suppressAutoHyphens/>
              <w:spacing w:before="40" w:after="40"/>
              <w:jc w:val="center"/>
              <w:rPr>
                <w:b/>
                <w:bCs/>
                <w:sz w:val="20"/>
                <w:szCs w:val="20"/>
                <w:lang w:val="ru-RU"/>
              </w:rPr>
            </w:pPr>
          </w:p>
        </w:tc>
        <w:tc>
          <w:tcPr>
            <w:tcW w:w="1273" w:type="dxa"/>
            <w:vMerge w:val="restart"/>
          </w:tcPr>
          <w:p w14:paraId="4E2ECA8D" w14:textId="77777777" w:rsidR="009601AE" w:rsidRPr="00690428" w:rsidRDefault="009601AE" w:rsidP="009E3730">
            <w:pPr>
              <w:widowControl w:val="0"/>
              <w:suppressAutoHyphens/>
              <w:spacing w:before="40" w:after="40"/>
              <w:jc w:val="center"/>
              <w:rPr>
                <w:b/>
                <w:bCs/>
                <w:sz w:val="20"/>
                <w:szCs w:val="20"/>
                <w:lang w:val="ru-RU"/>
              </w:rPr>
            </w:pPr>
          </w:p>
        </w:tc>
        <w:tc>
          <w:tcPr>
            <w:tcW w:w="1701" w:type="dxa"/>
            <w:vMerge w:val="restart"/>
          </w:tcPr>
          <w:p w14:paraId="741D6C32" w14:textId="77777777" w:rsidR="009601AE" w:rsidRPr="00690428" w:rsidRDefault="009601AE" w:rsidP="009E3730">
            <w:pPr>
              <w:widowControl w:val="0"/>
              <w:suppressAutoHyphens/>
              <w:spacing w:before="40" w:after="40"/>
              <w:jc w:val="center"/>
              <w:rPr>
                <w:b/>
                <w:bCs/>
                <w:sz w:val="20"/>
                <w:szCs w:val="20"/>
                <w:lang w:val="ru-RU"/>
              </w:rPr>
            </w:pPr>
          </w:p>
        </w:tc>
        <w:tc>
          <w:tcPr>
            <w:tcW w:w="1559" w:type="dxa"/>
            <w:vMerge w:val="restart"/>
          </w:tcPr>
          <w:p w14:paraId="27CCA65D" w14:textId="77777777" w:rsidR="009601AE" w:rsidRPr="00690428" w:rsidRDefault="009601AE" w:rsidP="009E3730">
            <w:pPr>
              <w:widowControl w:val="0"/>
              <w:suppressAutoHyphens/>
              <w:spacing w:before="40" w:after="40"/>
              <w:jc w:val="center"/>
              <w:rPr>
                <w:b/>
                <w:bCs/>
                <w:sz w:val="20"/>
                <w:szCs w:val="20"/>
                <w:lang w:val="ru-RU"/>
              </w:rPr>
            </w:pPr>
          </w:p>
        </w:tc>
        <w:tc>
          <w:tcPr>
            <w:tcW w:w="5586" w:type="dxa"/>
            <w:tcBorders>
              <w:bottom w:val="nil"/>
            </w:tcBorders>
          </w:tcPr>
          <w:p w14:paraId="7116FC59" w14:textId="77777777" w:rsidR="009601AE" w:rsidRPr="00690428" w:rsidRDefault="009601AE" w:rsidP="009E3730">
            <w:pPr>
              <w:widowControl w:val="0"/>
              <w:suppressAutoHyphens/>
              <w:spacing w:before="40" w:after="40"/>
              <w:jc w:val="left"/>
              <w:rPr>
                <w:sz w:val="20"/>
                <w:szCs w:val="20"/>
              </w:rPr>
            </w:pPr>
            <w:r w:rsidRPr="00690428">
              <w:rPr>
                <w:sz w:val="20"/>
                <w:szCs w:val="20"/>
              </w:rPr>
              <w:t>Rl.l Reliable and sustainable labour market information and forecasting</w:t>
            </w:r>
          </w:p>
        </w:tc>
        <w:tc>
          <w:tcPr>
            <w:tcW w:w="3173" w:type="dxa"/>
            <w:tcBorders>
              <w:bottom w:val="nil"/>
            </w:tcBorders>
          </w:tcPr>
          <w:p w14:paraId="19DBD5E0" w14:textId="77777777" w:rsidR="009601AE" w:rsidRPr="00690428" w:rsidRDefault="009601AE" w:rsidP="009E3730">
            <w:pPr>
              <w:widowControl w:val="0"/>
              <w:suppressAutoHyphens/>
              <w:spacing w:before="40" w:after="40"/>
              <w:jc w:val="left"/>
              <w:rPr>
                <w:sz w:val="20"/>
                <w:szCs w:val="20"/>
              </w:rPr>
            </w:pPr>
          </w:p>
          <w:p w14:paraId="21A8A973" w14:textId="77777777" w:rsidR="009601AE" w:rsidRPr="00690428" w:rsidRDefault="009601AE" w:rsidP="009E3730">
            <w:pPr>
              <w:widowControl w:val="0"/>
              <w:suppressAutoHyphens/>
              <w:spacing w:before="40" w:after="40"/>
              <w:jc w:val="left"/>
              <w:rPr>
                <w:sz w:val="20"/>
                <w:szCs w:val="20"/>
              </w:rPr>
            </w:pPr>
          </w:p>
        </w:tc>
      </w:tr>
      <w:tr w:rsidR="009601AE" w:rsidRPr="00690428" w14:paraId="054018D3" w14:textId="77777777" w:rsidTr="00C90833">
        <w:trPr>
          <w:cantSplit/>
          <w:trHeight w:val="20"/>
          <w:jc w:val="center"/>
        </w:trPr>
        <w:tc>
          <w:tcPr>
            <w:tcW w:w="1852" w:type="dxa"/>
            <w:vMerge/>
          </w:tcPr>
          <w:p w14:paraId="728A91C9"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4907D297"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4C26CD63"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07A22356"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bottom w:val="nil"/>
            </w:tcBorders>
          </w:tcPr>
          <w:p w14:paraId="723261F2" w14:textId="77777777" w:rsidR="009601AE" w:rsidRPr="00690428" w:rsidRDefault="009601AE" w:rsidP="009E3730">
            <w:pPr>
              <w:widowControl w:val="0"/>
              <w:suppressAutoHyphens/>
              <w:spacing w:before="40" w:after="40"/>
              <w:jc w:val="left"/>
              <w:rPr>
                <w:sz w:val="20"/>
                <w:szCs w:val="20"/>
              </w:rPr>
            </w:pPr>
            <w:r w:rsidRPr="00690428">
              <w:rPr>
                <w:sz w:val="20"/>
                <w:szCs w:val="20"/>
              </w:rPr>
              <w:t>R1.1.1 Institutional setting for Labour Market Information System (LMIS) model defined and approved by the responsible government entity</w:t>
            </w:r>
          </w:p>
        </w:tc>
        <w:tc>
          <w:tcPr>
            <w:tcW w:w="3173" w:type="dxa"/>
            <w:tcBorders>
              <w:top w:val="nil"/>
              <w:bottom w:val="nil"/>
            </w:tcBorders>
          </w:tcPr>
          <w:p w14:paraId="11E47A9A" w14:textId="77777777" w:rsidR="009601AE" w:rsidRPr="00690428" w:rsidRDefault="009601AE" w:rsidP="009E3730">
            <w:pPr>
              <w:widowControl w:val="0"/>
              <w:suppressAutoHyphens/>
              <w:spacing w:before="40" w:after="40"/>
              <w:jc w:val="left"/>
              <w:rPr>
                <w:sz w:val="20"/>
                <w:szCs w:val="20"/>
              </w:rPr>
            </w:pPr>
            <w:r w:rsidRPr="00690428">
              <w:rPr>
                <w:sz w:val="20"/>
                <w:szCs w:val="20"/>
              </w:rPr>
              <w:t>Ministerial Decision establishing institutional setting for LMIS.</w:t>
            </w:r>
          </w:p>
        </w:tc>
      </w:tr>
      <w:tr w:rsidR="009601AE" w:rsidRPr="00690428" w14:paraId="285A4E69" w14:textId="77777777" w:rsidTr="00C90833">
        <w:trPr>
          <w:cantSplit/>
          <w:trHeight w:val="20"/>
          <w:jc w:val="center"/>
        </w:trPr>
        <w:tc>
          <w:tcPr>
            <w:tcW w:w="1852" w:type="dxa"/>
            <w:vMerge/>
          </w:tcPr>
          <w:p w14:paraId="070516F2"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694DEF8B"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6DEB9916"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025CC8EC"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tcBorders>
          </w:tcPr>
          <w:p w14:paraId="3C94B6D0" w14:textId="77777777" w:rsidR="009601AE" w:rsidRPr="00690428" w:rsidRDefault="009601AE" w:rsidP="009E3730">
            <w:pPr>
              <w:widowControl w:val="0"/>
              <w:suppressAutoHyphens/>
              <w:spacing w:before="40" w:after="40"/>
              <w:jc w:val="left"/>
              <w:rPr>
                <w:sz w:val="20"/>
                <w:szCs w:val="20"/>
              </w:rPr>
            </w:pPr>
            <w:r w:rsidRPr="00690428">
              <w:rPr>
                <w:sz w:val="20"/>
                <w:szCs w:val="20"/>
              </w:rPr>
              <w:t>RI. 1.2 Detailed concept and action plan for implementation of LMIS (including at least the objectives, with accent on skills anticipation and matching, users, methods and tools, reporting and data; links with National Statistics Office of Georgia, as well as with MoES, Ministry of Economy and Sustainable Development and other relevant institutions) defined and approved by the responsible government entity(ies)</w:t>
            </w:r>
          </w:p>
        </w:tc>
        <w:tc>
          <w:tcPr>
            <w:tcW w:w="3173" w:type="dxa"/>
            <w:tcBorders>
              <w:top w:val="nil"/>
            </w:tcBorders>
          </w:tcPr>
          <w:p w14:paraId="3036226E" w14:textId="77777777" w:rsidR="009601AE" w:rsidRPr="00690428" w:rsidRDefault="009601AE" w:rsidP="009E3730">
            <w:pPr>
              <w:widowControl w:val="0"/>
              <w:suppressAutoHyphens/>
              <w:spacing w:before="40" w:after="40"/>
              <w:jc w:val="left"/>
              <w:rPr>
                <w:sz w:val="20"/>
                <w:szCs w:val="20"/>
              </w:rPr>
            </w:pPr>
            <w:r w:rsidRPr="00690428">
              <w:rPr>
                <w:sz w:val="20"/>
                <w:szCs w:val="20"/>
              </w:rPr>
              <w:t>Ministerial Decision approving LMIS Concept</w:t>
            </w:r>
          </w:p>
          <w:p w14:paraId="27D3B0C7" w14:textId="77777777" w:rsidR="009601AE" w:rsidRPr="00690428" w:rsidRDefault="009601AE" w:rsidP="009E3730">
            <w:pPr>
              <w:widowControl w:val="0"/>
              <w:suppressAutoHyphens/>
              <w:spacing w:before="40" w:after="40"/>
              <w:jc w:val="left"/>
              <w:rPr>
                <w:sz w:val="20"/>
                <w:szCs w:val="20"/>
              </w:rPr>
            </w:pPr>
          </w:p>
          <w:p w14:paraId="7F317B76" w14:textId="77777777" w:rsidR="009601AE" w:rsidRPr="00690428" w:rsidRDefault="009601AE" w:rsidP="009E3730">
            <w:pPr>
              <w:widowControl w:val="0"/>
              <w:suppressAutoHyphens/>
              <w:spacing w:before="40" w:after="40"/>
              <w:jc w:val="left"/>
              <w:rPr>
                <w:sz w:val="20"/>
                <w:szCs w:val="20"/>
              </w:rPr>
            </w:pPr>
            <w:r w:rsidRPr="00690428">
              <w:rPr>
                <w:sz w:val="20"/>
                <w:szCs w:val="20"/>
              </w:rPr>
              <w:t>Ministerial Decision approving Action Plan for implementation of LMIS</w:t>
            </w:r>
          </w:p>
        </w:tc>
      </w:tr>
      <w:tr w:rsidR="009601AE" w:rsidRPr="00690428" w14:paraId="22C8DBD9" w14:textId="77777777" w:rsidTr="00C90833">
        <w:trPr>
          <w:cantSplit/>
          <w:trHeight w:val="20"/>
          <w:jc w:val="center"/>
        </w:trPr>
        <w:tc>
          <w:tcPr>
            <w:tcW w:w="1852" w:type="dxa"/>
            <w:vMerge w:val="restart"/>
          </w:tcPr>
          <w:p w14:paraId="2B7EE564" w14:textId="77777777" w:rsidR="009601AE" w:rsidRPr="00690428" w:rsidRDefault="009601AE" w:rsidP="009E3730">
            <w:pPr>
              <w:widowControl w:val="0"/>
              <w:suppressAutoHyphens/>
              <w:spacing w:before="40" w:after="40"/>
              <w:jc w:val="center"/>
              <w:rPr>
                <w:b/>
                <w:bCs/>
                <w:sz w:val="20"/>
                <w:szCs w:val="20"/>
              </w:rPr>
            </w:pPr>
          </w:p>
        </w:tc>
        <w:tc>
          <w:tcPr>
            <w:tcW w:w="1273" w:type="dxa"/>
            <w:vMerge w:val="restart"/>
          </w:tcPr>
          <w:p w14:paraId="3E32FF9A" w14:textId="77777777" w:rsidR="009601AE" w:rsidRPr="00690428" w:rsidRDefault="009601AE" w:rsidP="009E3730">
            <w:pPr>
              <w:widowControl w:val="0"/>
              <w:suppressAutoHyphens/>
              <w:spacing w:before="40" w:after="40"/>
              <w:jc w:val="center"/>
              <w:rPr>
                <w:b/>
                <w:bCs/>
                <w:sz w:val="20"/>
                <w:szCs w:val="20"/>
              </w:rPr>
            </w:pPr>
          </w:p>
        </w:tc>
        <w:tc>
          <w:tcPr>
            <w:tcW w:w="1701" w:type="dxa"/>
            <w:vMerge w:val="restart"/>
          </w:tcPr>
          <w:p w14:paraId="45847B5B" w14:textId="77777777" w:rsidR="009601AE" w:rsidRPr="00690428" w:rsidRDefault="009601AE" w:rsidP="009E3730">
            <w:pPr>
              <w:widowControl w:val="0"/>
              <w:suppressAutoHyphens/>
              <w:spacing w:before="40" w:after="40"/>
              <w:jc w:val="center"/>
              <w:rPr>
                <w:b/>
                <w:bCs/>
                <w:sz w:val="20"/>
                <w:szCs w:val="20"/>
              </w:rPr>
            </w:pPr>
          </w:p>
        </w:tc>
        <w:tc>
          <w:tcPr>
            <w:tcW w:w="1559" w:type="dxa"/>
            <w:vMerge w:val="restart"/>
          </w:tcPr>
          <w:p w14:paraId="067D25AF" w14:textId="77777777" w:rsidR="009601AE" w:rsidRPr="00690428" w:rsidRDefault="009601AE" w:rsidP="009E3730">
            <w:pPr>
              <w:widowControl w:val="0"/>
              <w:suppressAutoHyphens/>
              <w:spacing w:before="40" w:after="40"/>
              <w:jc w:val="center"/>
              <w:rPr>
                <w:b/>
                <w:bCs/>
                <w:sz w:val="20"/>
                <w:szCs w:val="20"/>
              </w:rPr>
            </w:pPr>
          </w:p>
        </w:tc>
        <w:tc>
          <w:tcPr>
            <w:tcW w:w="5586" w:type="dxa"/>
            <w:tcBorders>
              <w:bottom w:val="nil"/>
            </w:tcBorders>
          </w:tcPr>
          <w:p w14:paraId="0A1B52F7" w14:textId="77777777" w:rsidR="009601AE" w:rsidRPr="00690428" w:rsidRDefault="009601AE" w:rsidP="009E3730">
            <w:pPr>
              <w:widowControl w:val="0"/>
              <w:suppressAutoHyphens/>
              <w:spacing w:before="40" w:after="40"/>
              <w:jc w:val="left"/>
              <w:rPr>
                <w:sz w:val="20"/>
                <w:szCs w:val="20"/>
              </w:rPr>
            </w:pPr>
            <w:r w:rsidRPr="00690428">
              <w:rPr>
                <w:sz w:val="20"/>
                <w:szCs w:val="20"/>
              </w:rPr>
              <w:t>R1.2 Improved Quality of Employment Support Services</w:t>
            </w:r>
          </w:p>
        </w:tc>
        <w:tc>
          <w:tcPr>
            <w:tcW w:w="3173" w:type="dxa"/>
            <w:tcBorders>
              <w:bottom w:val="nil"/>
            </w:tcBorders>
          </w:tcPr>
          <w:p w14:paraId="554A7D89" w14:textId="77777777" w:rsidR="009601AE" w:rsidRPr="00690428" w:rsidRDefault="009601AE" w:rsidP="009E3730">
            <w:pPr>
              <w:widowControl w:val="0"/>
              <w:suppressAutoHyphens/>
              <w:spacing w:before="40" w:after="40"/>
              <w:ind w:hanging="91"/>
              <w:jc w:val="left"/>
              <w:rPr>
                <w:sz w:val="20"/>
                <w:szCs w:val="20"/>
                <w:lang w:val="ru-RU"/>
              </w:rPr>
            </w:pPr>
          </w:p>
          <w:p w14:paraId="25BEC644" w14:textId="77777777" w:rsidR="009601AE" w:rsidRPr="00690428" w:rsidRDefault="009601AE" w:rsidP="009E3730">
            <w:pPr>
              <w:widowControl w:val="0"/>
              <w:suppressAutoHyphens/>
              <w:spacing w:before="40" w:after="40"/>
              <w:ind w:hanging="91"/>
              <w:jc w:val="left"/>
              <w:rPr>
                <w:sz w:val="20"/>
                <w:szCs w:val="20"/>
              </w:rPr>
            </w:pPr>
          </w:p>
        </w:tc>
      </w:tr>
      <w:tr w:rsidR="009601AE" w:rsidRPr="00690428" w14:paraId="752BC042" w14:textId="77777777" w:rsidTr="00C90833">
        <w:trPr>
          <w:cantSplit/>
          <w:trHeight w:val="20"/>
          <w:jc w:val="center"/>
        </w:trPr>
        <w:tc>
          <w:tcPr>
            <w:tcW w:w="1852" w:type="dxa"/>
            <w:vMerge/>
          </w:tcPr>
          <w:p w14:paraId="0EA6CFB4"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307AE4E3"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75ABB0A7"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56A4EEDA"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tcBorders>
          </w:tcPr>
          <w:p w14:paraId="106C0886" w14:textId="77777777" w:rsidR="009601AE" w:rsidRPr="00690428" w:rsidRDefault="009601AE" w:rsidP="009E3730">
            <w:pPr>
              <w:widowControl w:val="0"/>
              <w:suppressAutoHyphens/>
              <w:spacing w:before="40" w:after="40"/>
              <w:jc w:val="left"/>
              <w:rPr>
                <w:sz w:val="20"/>
                <w:szCs w:val="20"/>
              </w:rPr>
            </w:pPr>
            <w:r w:rsidRPr="00690428">
              <w:rPr>
                <w:sz w:val="20"/>
                <w:szCs w:val="20"/>
              </w:rPr>
              <w:t>R. 1.2.1 Action Plan for further development of Social Services Agency's Employment Support Services is prepared and approved by the responsible government entity(ies)</w:t>
            </w:r>
          </w:p>
        </w:tc>
        <w:tc>
          <w:tcPr>
            <w:tcW w:w="3173" w:type="dxa"/>
            <w:tcBorders>
              <w:top w:val="nil"/>
            </w:tcBorders>
          </w:tcPr>
          <w:p w14:paraId="1B8FC2AA" w14:textId="77777777" w:rsidR="009601AE" w:rsidRPr="00690428" w:rsidRDefault="009601AE" w:rsidP="009E3730">
            <w:pPr>
              <w:widowControl w:val="0"/>
              <w:suppressAutoHyphens/>
              <w:spacing w:before="40" w:after="40"/>
              <w:jc w:val="left"/>
              <w:rPr>
                <w:sz w:val="20"/>
                <w:szCs w:val="20"/>
              </w:rPr>
            </w:pPr>
            <w:r w:rsidRPr="00690428">
              <w:rPr>
                <w:sz w:val="20"/>
                <w:szCs w:val="20"/>
              </w:rPr>
              <w:t>Ministerial Decision approving Action Plan for ESS</w:t>
            </w:r>
          </w:p>
        </w:tc>
      </w:tr>
      <w:tr w:rsidR="009601AE" w:rsidRPr="00690428" w14:paraId="61344E77" w14:textId="77777777" w:rsidTr="00C90833">
        <w:trPr>
          <w:trHeight w:val="20"/>
          <w:jc w:val="center"/>
        </w:trPr>
        <w:tc>
          <w:tcPr>
            <w:tcW w:w="15144" w:type="dxa"/>
            <w:gridSpan w:val="6"/>
            <w:vAlign w:val="center"/>
          </w:tcPr>
          <w:p w14:paraId="2A7B8F47" w14:textId="77777777" w:rsidR="009601AE" w:rsidRPr="00690428" w:rsidRDefault="009601AE" w:rsidP="009E3730">
            <w:pPr>
              <w:widowControl w:val="0"/>
              <w:suppressAutoHyphens/>
              <w:spacing w:before="40" w:after="40"/>
              <w:jc w:val="left"/>
              <w:rPr>
                <w:sz w:val="20"/>
                <w:szCs w:val="20"/>
              </w:rPr>
            </w:pPr>
            <w:r w:rsidRPr="00690428">
              <w:rPr>
                <w:sz w:val="20"/>
                <w:szCs w:val="20"/>
              </w:rPr>
              <w:t>COMPONENT 2: ENHANCED QUALITY AND RELEVANCE OF VET SYSTEM</w:t>
            </w:r>
          </w:p>
        </w:tc>
      </w:tr>
      <w:tr w:rsidR="009601AE" w:rsidRPr="00690428" w14:paraId="111363C3" w14:textId="77777777" w:rsidTr="00C90833">
        <w:trPr>
          <w:cantSplit/>
          <w:trHeight w:val="20"/>
          <w:jc w:val="center"/>
        </w:trPr>
        <w:tc>
          <w:tcPr>
            <w:tcW w:w="1852" w:type="dxa"/>
            <w:vMerge w:val="restart"/>
          </w:tcPr>
          <w:p w14:paraId="2EB3037F" w14:textId="77777777" w:rsidR="009601AE" w:rsidRPr="00690428" w:rsidRDefault="009601AE" w:rsidP="009E3730">
            <w:pPr>
              <w:widowControl w:val="0"/>
              <w:suppressAutoHyphens/>
              <w:spacing w:before="40" w:after="40"/>
              <w:jc w:val="center"/>
              <w:rPr>
                <w:b/>
                <w:bCs/>
                <w:sz w:val="20"/>
                <w:szCs w:val="20"/>
              </w:rPr>
            </w:pPr>
          </w:p>
        </w:tc>
        <w:tc>
          <w:tcPr>
            <w:tcW w:w="1273" w:type="dxa"/>
            <w:vMerge w:val="restart"/>
          </w:tcPr>
          <w:p w14:paraId="2499F7EE" w14:textId="77777777" w:rsidR="009601AE" w:rsidRPr="00690428" w:rsidRDefault="009601AE" w:rsidP="009E3730">
            <w:pPr>
              <w:widowControl w:val="0"/>
              <w:suppressAutoHyphens/>
              <w:spacing w:before="40" w:after="40"/>
              <w:jc w:val="center"/>
              <w:rPr>
                <w:b/>
                <w:bCs/>
                <w:sz w:val="20"/>
                <w:szCs w:val="20"/>
              </w:rPr>
            </w:pPr>
          </w:p>
        </w:tc>
        <w:tc>
          <w:tcPr>
            <w:tcW w:w="1701" w:type="dxa"/>
            <w:vMerge w:val="restart"/>
          </w:tcPr>
          <w:p w14:paraId="41C9224E" w14:textId="77777777" w:rsidR="009601AE" w:rsidRPr="00690428" w:rsidRDefault="009601AE" w:rsidP="009E3730">
            <w:pPr>
              <w:widowControl w:val="0"/>
              <w:suppressAutoHyphens/>
              <w:spacing w:before="40" w:after="40"/>
              <w:jc w:val="center"/>
              <w:rPr>
                <w:b/>
                <w:bCs/>
                <w:sz w:val="20"/>
                <w:szCs w:val="20"/>
              </w:rPr>
            </w:pPr>
          </w:p>
        </w:tc>
        <w:tc>
          <w:tcPr>
            <w:tcW w:w="1559" w:type="dxa"/>
            <w:vMerge w:val="restart"/>
          </w:tcPr>
          <w:p w14:paraId="5C35D0B1" w14:textId="77777777" w:rsidR="009601AE" w:rsidRPr="00690428" w:rsidRDefault="009601AE" w:rsidP="009E3730">
            <w:pPr>
              <w:widowControl w:val="0"/>
              <w:suppressAutoHyphens/>
              <w:spacing w:before="40" w:after="40"/>
              <w:jc w:val="center"/>
              <w:rPr>
                <w:b/>
                <w:bCs/>
                <w:sz w:val="20"/>
                <w:szCs w:val="20"/>
              </w:rPr>
            </w:pPr>
          </w:p>
        </w:tc>
        <w:tc>
          <w:tcPr>
            <w:tcW w:w="5586" w:type="dxa"/>
            <w:tcBorders>
              <w:bottom w:val="nil"/>
            </w:tcBorders>
          </w:tcPr>
          <w:p w14:paraId="179405A6" w14:textId="77777777" w:rsidR="009601AE" w:rsidRPr="00690428" w:rsidRDefault="009601AE" w:rsidP="009E3730">
            <w:pPr>
              <w:widowControl w:val="0"/>
              <w:suppressAutoHyphens/>
              <w:spacing w:before="40" w:after="40"/>
              <w:jc w:val="left"/>
              <w:rPr>
                <w:sz w:val="20"/>
                <w:szCs w:val="20"/>
              </w:rPr>
            </w:pPr>
            <w:r w:rsidRPr="00690428">
              <w:rPr>
                <w:sz w:val="20"/>
                <w:szCs w:val="20"/>
              </w:rPr>
              <w:t>R2.1 Enhanced matching of skills provided by the VET system with the needs of the labour market</w:t>
            </w:r>
          </w:p>
        </w:tc>
        <w:tc>
          <w:tcPr>
            <w:tcW w:w="3173" w:type="dxa"/>
            <w:tcBorders>
              <w:bottom w:val="nil"/>
            </w:tcBorders>
          </w:tcPr>
          <w:p w14:paraId="24A961A3" w14:textId="77777777" w:rsidR="009601AE" w:rsidRPr="00690428" w:rsidRDefault="009601AE" w:rsidP="009E3730">
            <w:pPr>
              <w:widowControl w:val="0"/>
              <w:suppressAutoHyphens/>
              <w:spacing w:before="40" w:after="40"/>
              <w:jc w:val="left"/>
              <w:rPr>
                <w:sz w:val="20"/>
                <w:szCs w:val="20"/>
                <w:lang w:val="ru-RU"/>
              </w:rPr>
            </w:pPr>
          </w:p>
        </w:tc>
      </w:tr>
      <w:tr w:rsidR="009601AE" w:rsidRPr="00690428" w14:paraId="2BE632D9" w14:textId="77777777" w:rsidTr="00C90833">
        <w:trPr>
          <w:cantSplit/>
          <w:trHeight w:val="20"/>
          <w:jc w:val="center"/>
        </w:trPr>
        <w:tc>
          <w:tcPr>
            <w:tcW w:w="1852" w:type="dxa"/>
            <w:vMerge/>
          </w:tcPr>
          <w:p w14:paraId="2FE6F680"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4A8B4AFD"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5CC8B87B"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1B5A2818"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tcBorders>
          </w:tcPr>
          <w:p w14:paraId="6CC0D94A" w14:textId="77777777" w:rsidR="009601AE" w:rsidRPr="00690428" w:rsidRDefault="009601AE" w:rsidP="009E3730">
            <w:pPr>
              <w:widowControl w:val="0"/>
              <w:suppressAutoHyphens/>
              <w:spacing w:before="40" w:after="40"/>
              <w:jc w:val="left"/>
              <w:rPr>
                <w:sz w:val="20"/>
                <w:szCs w:val="20"/>
              </w:rPr>
            </w:pPr>
            <w:r w:rsidRPr="00690428">
              <w:rPr>
                <w:sz w:val="20"/>
                <w:szCs w:val="20"/>
              </w:rPr>
              <w:t>R 2.1.1 At least two new VET curricula developed according to the adopted approach (e.g. modular approach) and agreed with the responsible government entity(ies)</w:t>
            </w:r>
          </w:p>
        </w:tc>
        <w:tc>
          <w:tcPr>
            <w:tcW w:w="3173" w:type="dxa"/>
            <w:tcBorders>
              <w:top w:val="nil"/>
            </w:tcBorders>
          </w:tcPr>
          <w:p w14:paraId="3D5CCB0B" w14:textId="77777777" w:rsidR="009601AE" w:rsidRPr="00690428" w:rsidRDefault="009601AE" w:rsidP="009E3730">
            <w:pPr>
              <w:widowControl w:val="0"/>
              <w:suppressAutoHyphens/>
              <w:spacing w:before="40" w:after="40"/>
              <w:jc w:val="left"/>
              <w:rPr>
                <w:sz w:val="20"/>
                <w:szCs w:val="20"/>
              </w:rPr>
            </w:pPr>
            <w:r w:rsidRPr="00690428">
              <w:rPr>
                <w:sz w:val="20"/>
                <w:szCs w:val="20"/>
              </w:rPr>
              <w:t>Approval by National Centre for Educational Quality Enhancement or relevant body on newly developed VET curricula</w:t>
            </w:r>
          </w:p>
        </w:tc>
      </w:tr>
      <w:tr w:rsidR="009601AE" w:rsidRPr="00690428" w14:paraId="486B4B44" w14:textId="77777777" w:rsidTr="00C90833">
        <w:trPr>
          <w:cantSplit/>
          <w:trHeight w:val="20"/>
          <w:jc w:val="center"/>
        </w:trPr>
        <w:tc>
          <w:tcPr>
            <w:tcW w:w="1852" w:type="dxa"/>
            <w:vMerge w:val="restart"/>
          </w:tcPr>
          <w:p w14:paraId="39397E1B" w14:textId="77777777" w:rsidR="009601AE" w:rsidRPr="00690428" w:rsidRDefault="009601AE" w:rsidP="009E3730">
            <w:pPr>
              <w:widowControl w:val="0"/>
              <w:suppressAutoHyphens/>
              <w:spacing w:before="40" w:after="40"/>
              <w:jc w:val="center"/>
              <w:rPr>
                <w:b/>
                <w:bCs/>
                <w:sz w:val="20"/>
                <w:szCs w:val="20"/>
              </w:rPr>
            </w:pPr>
          </w:p>
        </w:tc>
        <w:tc>
          <w:tcPr>
            <w:tcW w:w="1273" w:type="dxa"/>
            <w:vMerge w:val="restart"/>
          </w:tcPr>
          <w:p w14:paraId="6DA7B264" w14:textId="77777777" w:rsidR="009601AE" w:rsidRPr="00690428" w:rsidRDefault="009601AE" w:rsidP="009E3730">
            <w:pPr>
              <w:widowControl w:val="0"/>
              <w:suppressAutoHyphens/>
              <w:spacing w:before="40" w:after="40"/>
              <w:jc w:val="center"/>
              <w:rPr>
                <w:b/>
                <w:bCs/>
                <w:sz w:val="20"/>
                <w:szCs w:val="20"/>
              </w:rPr>
            </w:pPr>
          </w:p>
        </w:tc>
        <w:tc>
          <w:tcPr>
            <w:tcW w:w="1701" w:type="dxa"/>
            <w:vMerge w:val="restart"/>
          </w:tcPr>
          <w:p w14:paraId="55738556" w14:textId="77777777" w:rsidR="009601AE" w:rsidRPr="00690428" w:rsidRDefault="009601AE" w:rsidP="009E3730">
            <w:pPr>
              <w:widowControl w:val="0"/>
              <w:suppressAutoHyphens/>
              <w:spacing w:before="40" w:after="40"/>
              <w:jc w:val="center"/>
              <w:rPr>
                <w:b/>
                <w:bCs/>
                <w:sz w:val="20"/>
                <w:szCs w:val="20"/>
              </w:rPr>
            </w:pPr>
          </w:p>
        </w:tc>
        <w:tc>
          <w:tcPr>
            <w:tcW w:w="1559" w:type="dxa"/>
            <w:vMerge w:val="restart"/>
          </w:tcPr>
          <w:p w14:paraId="4BCF1A5E" w14:textId="77777777" w:rsidR="009601AE" w:rsidRPr="00690428" w:rsidRDefault="009601AE" w:rsidP="009E3730">
            <w:pPr>
              <w:widowControl w:val="0"/>
              <w:suppressAutoHyphens/>
              <w:spacing w:before="40" w:after="40"/>
              <w:jc w:val="center"/>
              <w:rPr>
                <w:b/>
                <w:bCs/>
                <w:sz w:val="20"/>
                <w:szCs w:val="20"/>
              </w:rPr>
            </w:pPr>
          </w:p>
        </w:tc>
        <w:tc>
          <w:tcPr>
            <w:tcW w:w="5586" w:type="dxa"/>
            <w:tcBorders>
              <w:bottom w:val="nil"/>
            </w:tcBorders>
          </w:tcPr>
          <w:p w14:paraId="63337817" w14:textId="77777777" w:rsidR="009601AE" w:rsidRPr="00690428" w:rsidRDefault="009601AE" w:rsidP="009E3730">
            <w:pPr>
              <w:widowControl w:val="0"/>
              <w:suppressAutoHyphens/>
              <w:spacing w:before="40" w:after="40"/>
              <w:jc w:val="left"/>
              <w:rPr>
                <w:sz w:val="20"/>
                <w:szCs w:val="20"/>
              </w:rPr>
            </w:pPr>
            <w:r w:rsidRPr="00690428">
              <w:rPr>
                <w:sz w:val="20"/>
                <w:szCs w:val="20"/>
              </w:rPr>
              <w:t>R2.2 Improved quality of VET qualifications</w:t>
            </w:r>
          </w:p>
        </w:tc>
        <w:tc>
          <w:tcPr>
            <w:tcW w:w="3173" w:type="dxa"/>
            <w:tcBorders>
              <w:bottom w:val="nil"/>
            </w:tcBorders>
          </w:tcPr>
          <w:p w14:paraId="4892F26E" w14:textId="77777777" w:rsidR="009601AE" w:rsidRPr="00690428" w:rsidRDefault="009601AE" w:rsidP="009E3730">
            <w:pPr>
              <w:widowControl w:val="0"/>
              <w:suppressAutoHyphens/>
              <w:spacing w:before="40" w:after="40"/>
              <w:jc w:val="left"/>
              <w:rPr>
                <w:sz w:val="20"/>
                <w:szCs w:val="20"/>
                <w:lang w:val="ru-RU"/>
              </w:rPr>
            </w:pPr>
          </w:p>
        </w:tc>
      </w:tr>
      <w:tr w:rsidR="009601AE" w:rsidRPr="00690428" w14:paraId="7B4DE553" w14:textId="77777777" w:rsidTr="00C90833">
        <w:trPr>
          <w:cantSplit/>
          <w:trHeight w:val="324"/>
          <w:jc w:val="center"/>
        </w:trPr>
        <w:tc>
          <w:tcPr>
            <w:tcW w:w="1852" w:type="dxa"/>
            <w:vMerge/>
          </w:tcPr>
          <w:p w14:paraId="5733395B"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632C471A"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34B091A1"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74CF9784"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bottom w:val="nil"/>
            </w:tcBorders>
          </w:tcPr>
          <w:p w14:paraId="5AF48E79" w14:textId="77777777" w:rsidR="009601AE" w:rsidRPr="00690428" w:rsidRDefault="009601AE" w:rsidP="009E3730">
            <w:pPr>
              <w:widowControl w:val="0"/>
              <w:suppressAutoHyphens/>
              <w:spacing w:before="40" w:after="40"/>
              <w:jc w:val="left"/>
              <w:rPr>
                <w:sz w:val="20"/>
                <w:szCs w:val="20"/>
              </w:rPr>
            </w:pPr>
            <w:r w:rsidRPr="00690428">
              <w:rPr>
                <w:sz w:val="20"/>
                <w:szCs w:val="20"/>
              </w:rPr>
              <w:t>R2.2.1. Concept and Action Plan for improving VET system of teacher development, including provisions for recruitment, induction, career development / training defined and approved by the responsible government entity(ies)</w:t>
            </w:r>
          </w:p>
        </w:tc>
        <w:tc>
          <w:tcPr>
            <w:tcW w:w="3173" w:type="dxa"/>
            <w:tcBorders>
              <w:top w:val="nil"/>
              <w:bottom w:val="nil"/>
            </w:tcBorders>
          </w:tcPr>
          <w:p w14:paraId="730AAAF8" w14:textId="77777777" w:rsidR="009601AE" w:rsidRPr="00690428" w:rsidRDefault="009601AE" w:rsidP="009E3730">
            <w:pPr>
              <w:widowControl w:val="0"/>
              <w:suppressAutoHyphens/>
              <w:spacing w:before="40" w:after="40"/>
              <w:jc w:val="left"/>
              <w:rPr>
                <w:sz w:val="20"/>
                <w:szCs w:val="20"/>
              </w:rPr>
            </w:pPr>
            <w:r w:rsidRPr="00690428">
              <w:rPr>
                <w:sz w:val="20"/>
                <w:szCs w:val="20"/>
              </w:rPr>
              <w:t>Ministerial Decision adopting Concept and Action Plan</w:t>
            </w:r>
          </w:p>
        </w:tc>
      </w:tr>
      <w:tr w:rsidR="009601AE" w:rsidRPr="00690428" w14:paraId="55BED7D7" w14:textId="77777777" w:rsidTr="00C90833">
        <w:trPr>
          <w:cantSplit/>
          <w:trHeight w:val="20"/>
          <w:jc w:val="center"/>
        </w:trPr>
        <w:tc>
          <w:tcPr>
            <w:tcW w:w="1852" w:type="dxa"/>
            <w:vMerge/>
          </w:tcPr>
          <w:p w14:paraId="76639D75"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669C7887"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1BC8C9F5"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00F87999"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bottom w:val="nil"/>
            </w:tcBorders>
          </w:tcPr>
          <w:p w14:paraId="575DA1E5" w14:textId="77777777" w:rsidR="009601AE" w:rsidRPr="00690428" w:rsidRDefault="009601AE" w:rsidP="009E3730">
            <w:pPr>
              <w:widowControl w:val="0"/>
              <w:suppressAutoHyphens/>
              <w:spacing w:before="40" w:after="40"/>
              <w:jc w:val="left"/>
              <w:rPr>
                <w:b/>
                <w:bCs/>
                <w:sz w:val="20"/>
                <w:szCs w:val="20"/>
              </w:rPr>
            </w:pPr>
            <w:r w:rsidRPr="00690428">
              <w:rPr>
                <w:sz w:val="20"/>
                <w:szCs w:val="20"/>
              </w:rPr>
              <w:t>R2.2.2 Revised legal and regulatory framework governing teacher development in the VET Sector defined and approved by the responsible government entity(ies)</w:t>
            </w:r>
          </w:p>
        </w:tc>
        <w:tc>
          <w:tcPr>
            <w:tcW w:w="3173" w:type="dxa"/>
            <w:tcBorders>
              <w:top w:val="nil"/>
              <w:bottom w:val="nil"/>
            </w:tcBorders>
          </w:tcPr>
          <w:p w14:paraId="3E18BAB0" w14:textId="77777777" w:rsidR="009601AE" w:rsidRPr="00690428" w:rsidRDefault="009601AE" w:rsidP="009E3730">
            <w:pPr>
              <w:widowControl w:val="0"/>
              <w:suppressAutoHyphens/>
              <w:spacing w:before="40" w:after="40"/>
              <w:jc w:val="left"/>
              <w:rPr>
                <w:sz w:val="20"/>
                <w:szCs w:val="20"/>
              </w:rPr>
            </w:pPr>
            <w:r w:rsidRPr="00690428">
              <w:rPr>
                <w:sz w:val="20"/>
                <w:szCs w:val="20"/>
              </w:rPr>
              <w:t>Ministerial Decision adopting regulatory framework governing teacher development in the VET Sector</w:t>
            </w:r>
          </w:p>
        </w:tc>
      </w:tr>
      <w:tr w:rsidR="009601AE" w:rsidRPr="00690428" w14:paraId="1A9A19D9" w14:textId="77777777" w:rsidTr="00C90833">
        <w:trPr>
          <w:cantSplit/>
          <w:trHeight w:val="20"/>
          <w:jc w:val="center"/>
        </w:trPr>
        <w:tc>
          <w:tcPr>
            <w:tcW w:w="1852" w:type="dxa"/>
            <w:vMerge/>
          </w:tcPr>
          <w:p w14:paraId="156B2E25"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4BD60F84"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6E1E1F21"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149D2F93"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tcBorders>
          </w:tcPr>
          <w:p w14:paraId="6D36D42B" w14:textId="77777777" w:rsidR="009601AE" w:rsidRPr="00690428" w:rsidRDefault="009601AE" w:rsidP="009E3730">
            <w:pPr>
              <w:widowControl w:val="0"/>
              <w:suppressAutoHyphens/>
              <w:spacing w:before="40" w:after="40"/>
              <w:jc w:val="left"/>
              <w:rPr>
                <w:sz w:val="20"/>
                <w:szCs w:val="20"/>
              </w:rPr>
            </w:pPr>
            <w:r w:rsidRPr="00690428">
              <w:rPr>
                <w:sz w:val="20"/>
                <w:szCs w:val="20"/>
              </w:rPr>
              <w:t>R2.2.3 Independent NQF evaluation conducted and related report together with recommendations, including those referring to non-formal leaming, is published</w:t>
            </w:r>
          </w:p>
        </w:tc>
        <w:tc>
          <w:tcPr>
            <w:tcW w:w="3173" w:type="dxa"/>
            <w:tcBorders>
              <w:top w:val="nil"/>
            </w:tcBorders>
          </w:tcPr>
          <w:p w14:paraId="6B76778B" w14:textId="77777777" w:rsidR="009601AE" w:rsidRPr="00690428" w:rsidRDefault="009601AE" w:rsidP="009E3730">
            <w:pPr>
              <w:widowControl w:val="0"/>
              <w:suppressAutoHyphens/>
              <w:spacing w:before="40" w:after="40"/>
              <w:jc w:val="left"/>
              <w:rPr>
                <w:sz w:val="20"/>
                <w:szCs w:val="20"/>
              </w:rPr>
            </w:pPr>
            <w:r w:rsidRPr="00690428">
              <w:rPr>
                <w:sz w:val="20"/>
                <w:szCs w:val="20"/>
              </w:rPr>
              <w:t>Minutes of National VET Coordination Council recording discussion and endorsement of evaluation report</w:t>
            </w:r>
          </w:p>
          <w:p w14:paraId="3AD50E80" w14:textId="77777777" w:rsidR="009601AE" w:rsidRPr="00690428" w:rsidRDefault="009601AE" w:rsidP="009E3730">
            <w:pPr>
              <w:widowControl w:val="0"/>
              <w:suppressAutoHyphens/>
              <w:spacing w:before="40" w:after="40"/>
              <w:jc w:val="left"/>
              <w:rPr>
                <w:sz w:val="20"/>
                <w:szCs w:val="20"/>
              </w:rPr>
            </w:pPr>
            <w:r w:rsidRPr="00690428">
              <w:rPr>
                <w:sz w:val="20"/>
                <w:szCs w:val="20"/>
              </w:rPr>
              <w:t>Ministerial Decision approving evaluation report</w:t>
            </w:r>
          </w:p>
        </w:tc>
      </w:tr>
      <w:tr w:rsidR="009601AE" w:rsidRPr="00690428" w14:paraId="7EA4C8BD" w14:textId="77777777" w:rsidTr="00C90833">
        <w:trPr>
          <w:trHeight w:val="20"/>
          <w:jc w:val="center"/>
        </w:trPr>
        <w:tc>
          <w:tcPr>
            <w:tcW w:w="15144" w:type="dxa"/>
            <w:gridSpan w:val="6"/>
          </w:tcPr>
          <w:p w14:paraId="24DE490A" w14:textId="77777777" w:rsidR="009601AE" w:rsidRPr="00690428" w:rsidRDefault="009601AE" w:rsidP="009E3730">
            <w:pPr>
              <w:widowControl w:val="0"/>
              <w:suppressAutoHyphens/>
              <w:spacing w:before="40" w:after="40"/>
              <w:jc w:val="left"/>
              <w:rPr>
                <w:sz w:val="20"/>
                <w:szCs w:val="20"/>
              </w:rPr>
            </w:pPr>
            <w:r w:rsidRPr="00690428">
              <w:rPr>
                <w:sz w:val="20"/>
                <w:szCs w:val="20"/>
              </w:rPr>
              <w:t>COMPONENT 3: EFFICIENT TRANSITION FROM TRAINING INTO EMPLOYMENT</w:t>
            </w:r>
          </w:p>
        </w:tc>
      </w:tr>
      <w:tr w:rsidR="009601AE" w:rsidRPr="00690428" w14:paraId="3A74810A" w14:textId="77777777" w:rsidTr="00C90833">
        <w:trPr>
          <w:cantSplit/>
          <w:trHeight w:val="20"/>
          <w:jc w:val="center"/>
        </w:trPr>
        <w:tc>
          <w:tcPr>
            <w:tcW w:w="1852" w:type="dxa"/>
            <w:vMerge w:val="restart"/>
          </w:tcPr>
          <w:p w14:paraId="12B5FF23" w14:textId="77777777" w:rsidR="009601AE" w:rsidRPr="00690428" w:rsidRDefault="009601AE" w:rsidP="009E3730">
            <w:pPr>
              <w:widowControl w:val="0"/>
              <w:suppressAutoHyphens/>
              <w:spacing w:before="40" w:after="40"/>
              <w:jc w:val="center"/>
              <w:rPr>
                <w:b/>
                <w:bCs/>
                <w:sz w:val="20"/>
                <w:szCs w:val="20"/>
              </w:rPr>
            </w:pPr>
          </w:p>
        </w:tc>
        <w:tc>
          <w:tcPr>
            <w:tcW w:w="1273" w:type="dxa"/>
            <w:vMerge w:val="restart"/>
          </w:tcPr>
          <w:p w14:paraId="6B099A95" w14:textId="77777777" w:rsidR="009601AE" w:rsidRPr="00690428" w:rsidRDefault="009601AE" w:rsidP="009E3730">
            <w:pPr>
              <w:widowControl w:val="0"/>
              <w:suppressAutoHyphens/>
              <w:spacing w:before="40" w:after="40"/>
              <w:jc w:val="center"/>
              <w:rPr>
                <w:b/>
                <w:bCs/>
                <w:sz w:val="20"/>
                <w:szCs w:val="20"/>
              </w:rPr>
            </w:pPr>
          </w:p>
        </w:tc>
        <w:tc>
          <w:tcPr>
            <w:tcW w:w="1701" w:type="dxa"/>
            <w:vMerge w:val="restart"/>
          </w:tcPr>
          <w:p w14:paraId="6A7C4129" w14:textId="77777777" w:rsidR="009601AE" w:rsidRPr="00690428" w:rsidRDefault="009601AE" w:rsidP="009E3730">
            <w:pPr>
              <w:widowControl w:val="0"/>
              <w:suppressAutoHyphens/>
              <w:spacing w:before="40" w:after="40"/>
              <w:jc w:val="center"/>
              <w:rPr>
                <w:b/>
                <w:bCs/>
                <w:sz w:val="20"/>
                <w:szCs w:val="20"/>
              </w:rPr>
            </w:pPr>
          </w:p>
        </w:tc>
        <w:tc>
          <w:tcPr>
            <w:tcW w:w="1559" w:type="dxa"/>
            <w:vMerge w:val="restart"/>
          </w:tcPr>
          <w:p w14:paraId="3BDCA5A0" w14:textId="77777777" w:rsidR="009601AE" w:rsidRPr="00690428" w:rsidRDefault="009601AE" w:rsidP="009E3730">
            <w:pPr>
              <w:widowControl w:val="0"/>
              <w:suppressAutoHyphens/>
              <w:spacing w:before="40" w:after="40"/>
              <w:jc w:val="center"/>
              <w:rPr>
                <w:b/>
                <w:bCs/>
                <w:sz w:val="20"/>
                <w:szCs w:val="20"/>
              </w:rPr>
            </w:pPr>
          </w:p>
        </w:tc>
        <w:tc>
          <w:tcPr>
            <w:tcW w:w="5586" w:type="dxa"/>
            <w:tcBorders>
              <w:bottom w:val="nil"/>
            </w:tcBorders>
          </w:tcPr>
          <w:p w14:paraId="1ACABBE6" w14:textId="77777777" w:rsidR="009601AE" w:rsidRPr="00690428" w:rsidRDefault="009601AE" w:rsidP="009E3730">
            <w:pPr>
              <w:widowControl w:val="0"/>
              <w:suppressAutoHyphens/>
              <w:spacing w:before="40" w:after="40"/>
              <w:rPr>
                <w:sz w:val="20"/>
                <w:szCs w:val="20"/>
              </w:rPr>
            </w:pPr>
            <w:r w:rsidRPr="00690428">
              <w:rPr>
                <w:sz w:val="20"/>
                <w:szCs w:val="20"/>
              </w:rPr>
              <w:t>R3.1 Efficient transition from training to employment</w:t>
            </w:r>
          </w:p>
        </w:tc>
        <w:tc>
          <w:tcPr>
            <w:tcW w:w="3173" w:type="dxa"/>
            <w:tcBorders>
              <w:bottom w:val="nil"/>
            </w:tcBorders>
          </w:tcPr>
          <w:p w14:paraId="6E97390C" w14:textId="77777777" w:rsidR="009601AE" w:rsidRPr="00690428" w:rsidRDefault="009601AE" w:rsidP="009E3730">
            <w:pPr>
              <w:widowControl w:val="0"/>
              <w:suppressAutoHyphens/>
              <w:spacing w:before="40" w:after="40"/>
              <w:jc w:val="left"/>
              <w:rPr>
                <w:sz w:val="20"/>
                <w:szCs w:val="20"/>
              </w:rPr>
            </w:pPr>
          </w:p>
        </w:tc>
      </w:tr>
      <w:tr w:rsidR="009601AE" w:rsidRPr="00690428" w14:paraId="640C83C1" w14:textId="77777777" w:rsidTr="00C90833">
        <w:trPr>
          <w:cantSplit/>
          <w:trHeight w:val="705"/>
          <w:jc w:val="center"/>
        </w:trPr>
        <w:tc>
          <w:tcPr>
            <w:tcW w:w="1852" w:type="dxa"/>
            <w:vMerge/>
          </w:tcPr>
          <w:p w14:paraId="228723E4"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3578B1B4"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724611FE"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052D21AE"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bottom w:val="nil"/>
            </w:tcBorders>
          </w:tcPr>
          <w:p w14:paraId="2F71D2F9" w14:textId="77777777" w:rsidR="009601AE" w:rsidRPr="00690428" w:rsidRDefault="009601AE" w:rsidP="009E3730">
            <w:pPr>
              <w:widowControl w:val="0"/>
              <w:suppressAutoHyphens/>
              <w:spacing w:before="40" w:after="40"/>
              <w:jc w:val="left"/>
              <w:rPr>
                <w:b/>
                <w:bCs/>
                <w:sz w:val="20"/>
                <w:szCs w:val="20"/>
              </w:rPr>
            </w:pPr>
            <w:r w:rsidRPr="00690428">
              <w:rPr>
                <w:sz w:val="20"/>
                <w:szCs w:val="20"/>
              </w:rPr>
              <w:t>R3.1.1 Lifelong career guidance and counselling concept and methods adopted (including as minimum objectives, target audiences, institutional arrangements, career guidance tools; links with LMIS; articulation with employment Support services and education and training system) defined and approved by the responsible government entity(ies)</w:t>
            </w:r>
          </w:p>
        </w:tc>
        <w:tc>
          <w:tcPr>
            <w:tcW w:w="3173" w:type="dxa"/>
            <w:tcBorders>
              <w:top w:val="nil"/>
              <w:bottom w:val="nil"/>
            </w:tcBorders>
          </w:tcPr>
          <w:p w14:paraId="3CB76E3A" w14:textId="77777777" w:rsidR="009601AE" w:rsidRPr="00690428" w:rsidRDefault="009601AE" w:rsidP="009E3730">
            <w:pPr>
              <w:widowControl w:val="0"/>
              <w:suppressAutoHyphens/>
              <w:spacing w:before="40" w:after="40"/>
              <w:jc w:val="left"/>
              <w:rPr>
                <w:sz w:val="20"/>
                <w:szCs w:val="20"/>
              </w:rPr>
            </w:pPr>
            <w:r w:rsidRPr="00690428">
              <w:rPr>
                <w:sz w:val="20"/>
                <w:szCs w:val="20"/>
              </w:rPr>
              <w:t xml:space="preserve">Ministerial Decision adopting career guidance concept and methods </w:t>
            </w:r>
          </w:p>
        </w:tc>
      </w:tr>
      <w:tr w:rsidR="009601AE" w:rsidRPr="00690428" w14:paraId="54925299" w14:textId="77777777" w:rsidTr="00C90833">
        <w:trPr>
          <w:cantSplit/>
          <w:trHeight w:val="70"/>
          <w:jc w:val="center"/>
        </w:trPr>
        <w:tc>
          <w:tcPr>
            <w:tcW w:w="1852" w:type="dxa"/>
            <w:vMerge/>
          </w:tcPr>
          <w:p w14:paraId="4F277767"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381C80A9"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3880AFDB"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3BE743F1"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tcBorders>
          </w:tcPr>
          <w:p w14:paraId="32265728" w14:textId="77777777" w:rsidR="009601AE" w:rsidRPr="00690428" w:rsidRDefault="009601AE" w:rsidP="009E3730">
            <w:pPr>
              <w:widowControl w:val="0"/>
              <w:suppressAutoHyphens/>
              <w:spacing w:before="40" w:after="40"/>
              <w:jc w:val="left"/>
              <w:rPr>
                <w:sz w:val="20"/>
                <w:szCs w:val="20"/>
              </w:rPr>
            </w:pPr>
            <w:r w:rsidRPr="00690428">
              <w:rPr>
                <w:sz w:val="20"/>
                <w:szCs w:val="20"/>
              </w:rPr>
              <w:t>R3.1.2 A Tracer Study, covering the public VET institutions Graduates from academic year 2012/2013 is established and produced annually for the following years</w:t>
            </w:r>
          </w:p>
        </w:tc>
        <w:tc>
          <w:tcPr>
            <w:tcW w:w="3173" w:type="dxa"/>
            <w:tcBorders>
              <w:top w:val="nil"/>
            </w:tcBorders>
          </w:tcPr>
          <w:p w14:paraId="03EA74DF" w14:textId="77777777" w:rsidR="009601AE" w:rsidRPr="00690428" w:rsidRDefault="009601AE" w:rsidP="009E3730">
            <w:pPr>
              <w:widowControl w:val="0"/>
              <w:suppressAutoHyphens/>
              <w:spacing w:before="40" w:after="40"/>
              <w:jc w:val="left"/>
              <w:rPr>
                <w:sz w:val="20"/>
                <w:szCs w:val="20"/>
              </w:rPr>
            </w:pPr>
            <w:r w:rsidRPr="00690428">
              <w:rPr>
                <w:sz w:val="20"/>
                <w:szCs w:val="20"/>
              </w:rPr>
              <w:t>Annual Tracer Study published</w:t>
            </w:r>
          </w:p>
        </w:tc>
      </w:tr>
      <w:tr w:rsidR="009601AE" w:rsidRPr="00690428" w14:paraId="3A1E6F21" w14:textId="77777777" w:rsidTr="00C90833">
        <w:trPr>
          <w:cantSplit/>
          <w:trHeight w:val="20"/>
          <w:jc w:val="center"/>
        </w:trPr>
        <w:tc>
          <w:tcPr>
            <w:tcW w:w="1852" w:type="dxa"/>
            <w:vMerge w:val="restart"/>
          </w:tcPr>
          <w:p w14:paraId="0C778B48" w14:textId="77777777" w:rsidR="009601AE" w:rsidRPr="00690428" w:rsidRDefault="009601AE" w:rsidP="009E3730">
            <w:pPr>
              <w:widowControl w:val="0"/>
              <w:suppressAutoHyphens/>
              <w:spacing w:before="40" w:after="40"/>
              <w:jc w:val="center"/>
              <w:rPr>
                <w:b/>
                <w:bCs/>
                <w:sz w:val="20"/>
                <w:szCs w:val="20"/>
              </w:rPr>
            </w:pPr>
          </w:p>
        </w:tc>
        <w:tc>
          <w:tcPr>
            <w:tcW w:w="1273" w:type="dxa"/>
            <w:vMerge w:val="restart"/>
          </w:tcPr>
          <w:p w14:paraId="6126F882" w14:textId="77777777" w:rsidR="009601AE" w:rsidRPr="00690428" w:rsidRDefault="009601AE" w:rsidP="009E3730">
            <w:pPr>
              <w:widowControl w:val="0"/>
              <w:suppressAutoHyphens/>
              <w:spacing w:before="40" w:after="40"/>
              <w:jc w:val="center"/>
              <w:rPr>
                <w:b/>
                <w:bCs/>
                <w:sz w:val="20"/>
                <w:szCs w:val="20"/>
              </w:rPr>
            </w:pPr>
          </w:p>
        </w:tc>
        <w:tc>
          <w:tcPr>
            <w:tcW w:w="1701" w:type="dxa"/>
            <w:vMerge w:val="restart"/>
          </w:tcPr>
          <w:p w14:paraId="2F188BA3" w14:textId="77777777" w:rsidR="009601AE" w:rsidRPr="00690428" w:rsidRDefault="009601AE" w:rsidP="009E3730">
            <w:pPr>
              <w:widowControl w:val="0"/>
              <w:suppressAutoHyphens/>
              <w:spacing w:before="40" w:after="40"/>
              <w:jc w:val="center"/>
              <w:rPr>
                <w:b/>
                <w:bCs/>
                <w:sz w:val="20"/>
                <w:szCs w:val="20"/>
              </w:rPr>
            </w:pPr>
          </w:p>
        </w:tc>
        <w:tc>
          <w:tcPr>
            <w:tcW w:w="1559" w:type="dxa"/>
            <w:vMerge w:val="restart"/>
          </w:tcPr>
          <w:p w14:paraId="5BB1C215" w14:textId="77777777" w:rsidR="009601AE" w:rsidRPr="00690428" w:rsidRDefault="009601AE" w:rsidP="009E3730">
            <w:pPr>
              <w:widowControl w:val="0"/>
              <w:suppressAutoHyphens/>
              <w:spacing w:before="40" w:after="40"/>
              <w:jc w:val="center"/>
              <w:rPr>
                <w:b/>
                <w:bCs/>
                <w:sz w:val="20"/>
                <w:szCs w:val="20"/>
              </w:rPr>
            </w:pPr>
          </w:p>
        </w:tc>
        <w:tc>
          <w:tcPr>
            <w:tcW w:w="5586" w:type="dxa"/>
            <w:tcBorders>
              <w:bottom w:val="nil"/>
            </w:tcBorders>
          </w:tcPr>
          <w:p w14:paraId="4D6F7F9D" w14:textId="77777777" w:rsidR="009601AE" w:rsidRPr="00690428" w:rsidRDefault="009601AE" w:rsidP="009E3730">
            <w:pPr>
              <w:widowControl w:val="0"/>
              <w:suppressAutoHyphens/>
              <w:spacing w:before="40" w:after="40"/>
              <w:rPr>
                <w:b/>
                <w:bCs/>
                <w:sz w:val="20"/>
                <w:szCs w:val="20"/>
              </w:rPr>
            </w:pPr>
            <w:r w:rsidRPr="00690428">
              <w:rPr>
                <w:sz w:val="20"/>
                <w:szCs w:val="20"/>
              </w:rPr>
              <w:t>R3.2. Increased awareness of VET amongst potential students and employers</w:t>
            </w:r>
          </w:p>
        </w:tc>
        <w:tc>
          <w:tcPr>
            <w:tcW w:w="3173" w:type="dxa"/>
            <w:tcBorders>
              <w:bottom w:val="nil"/>
            </w:tcBorders>
          </w:tcPr>
          <w:p w14:paraId="497F77A9" w14:textId="77777777" w:rsidR="009601AE" w:rsidRPr="00690428" w:rsidRDefault="009601AE" w:rsidP="009E3730">
            <w:pPr>
              <w:widowControl w:val="0"/>
              <w:suppressAutoHyphens/>
              <w:spacing w:before="40" w:after="40"/>
              <w:jc w:val="left"/>
              <w:rPr>
                <w:sz w:val="20"/>
                <w:szCs w:val="20"/>
                <w:lang w:val="ru-RU"/>
              </w:rPr>
            </w:pPr>
          </w:p>
        </w:tc>
      </w:tr>
      <w:tr w:rsidR="009601AE" w:rsidRPr="00690428" w14:paraId="344122FF" w14:textId="77777777" w:rsidTr="00C90833">
        <w:trPr>
          <w:cantSplit/>
          <w:trHeight w:val="95"/>
          <w:jc w:val="center"/>
        </w:trPr>
        <w:tc>
          <w:tcPr>
            <w:tcW w:w="1852" w:type="dxa"/>
            <w:vMerge/>
          </w:tcPr>
          <w:p w14:paraId="3C9A0B92"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7CBABDEC"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2314F76E"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7664F1A0"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bottom w:val="nil"/>
            </w:tcBorders>
          </w:tcPr>
          <w:p w14:paraId="19968FF2" w14:textId="77777777" w:rsidR="009601AE" w:rsidRPr="00690428" w:rsidRDefault="009601AE" w:rsidP="009E3730">
            <w:pPr>
              <w:widowControl w:val="0"/>
              <w:suppressAutoHyphens/>
              <w:spacing w:before="40" w:after="40"/>
              <w:rPr>
                <w:sz w:val="20"/>
                <w:szCs w:val="20"/>
              </w:rPr>
            </w:pPr>
            <w:r w:rsidRPr="00690428">
              <w:rPr>
                <w:sz w:val="20"/>
                <w:szCs w:val="20"/>
              </w:rPr>
              <w:t>R3.2.1 Independent and representative satisfaction survey for VET students conducted and results available</w:t>
            </w:r>
          </w:p>
        </w:tc>
        <w:tc>
          <w:tcPr>
            <w:tcW w:w="3173" w:type="dxa"/>
            <w:tcBorders>
              <w:top w:val="nil"/>
              <w:bottom w:val="nil"/>
            </w:tcBorders>
          </w:tcPr>
          <w:p w14:paraId="401D0477" w14:textId="77777777" w:rsidR="009601AE" w:rsidRPr="00690428" w:rsidRDefault="009601AE" w:rsidP="009E3730">
            <w:pPr>
              <w:widowControl w:val="0"/>
              <w:suppressAutoHyphens/>
              <w:spacing w:before="40" w:after="40"/>
              <w:jc w:val="left"/>
              <w:rPr>
                <w:sz w:val="20"/>
                <w:szCs w:val="20"/>
              </w:rPr>
            </w:pPr>
            <w:r w:rsidRPr="00690428">
              <w:rPr>
                <w:sz w:val="20"/>
                <w:szCs w:val="20"/>
              </w:rPr>
              <w:t>Report of Satisfaction survey for VET Students including an explanation of the methodology used</w:t>
            </w:r>
          </w:p>
        </w:tc>
      </w:tr>
      <w:tr w:rsidR="009601AE" w:rsidRPr="00690428" w14:paraId="3997C2BE" w14:textId="77777777" w:rsidTr="00C90833">
        <w:trPr>
          <w:cantSplit/>
          <w:trHeight w:val="20"/>
          <w:jc w:val="center"/>
        </w:trPr>
        <w:tc>
          <w:tcPr>
            <w:tcW w:w="1852" w:type="dxa"/>
            <w:vMerge/>
          </w:tcPr>
          <w:p w14:paraId="41E85B57"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0A04F61F"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7B62AABF"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133D5707"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tcBorders>
          </w:tcPr>
          <w:p w14:paraId="334061EA" w14:textId="77777777" w:rsidR="009601AE" w:rsidRPr="00690428" w:rsidRDefault="009601AE" w:rsidP="009E3730">
            <w:pPr>
              <w:widowControl w:val="0"/>
              <w:suppressAutoHyphens/>
              <w:spacing w:before="40" w:after="40"/>
              <w:rPr>
                <w:sz w:val="20"/>
                <w:szCs w:val="20"/>
              </w:rPr>
            </w:pPr>
            <w:r w:rsidRPr="00690428">
              <w:rPr>
                <w:sz w:val="20"/>
                <w:szCs w:val="20"/>
              </w:rPr>
              <w:t>R 3.2.2. Independent and representative baseline study on status and credibility of VET qualifications amongst employers conducted and results available</w:t>
            </w:r>
          </w:p>
        </w:tc>
        <w:tc>
          <w:tcPr>
            <w:tcW w:w="3173" w:type="dxa"/>
            <w:tcBorders>
              <w:top w:val="nil"/>
            </w:tcBorders>
          </w:tcPr>
          <w:p w14:paraId="47F91497" w14:textId="77777777" w:rsidR="009601AE" w:rsidRPr="00690428" w:rsidRDefault="009601AE" w:rsidP="009E3730">
            <w:pPr>
              <w:widowControl w:val="0"/>
              <w:suppressAutoHyphens/>
              <w:spacing w:before="40" w:after="40"/>
              <w:jc w:val="left"/>
              <w:rPr>
                <w:sz w:val="20"/>
                <w:szCs w:val="20"/>
              </w:rPr>
            </w:pPr>
            <w:r w:rsidRPr="00690428">
              <w:rPr>
                <w:sz w:val="20"/>
                <w:szCs w:val="20"/>
              </w:rPr>
              <w:t>Report of baseline including an explanation of the methodology used</w:t>
            </w:r>
          </w:p>
        </w:tc>
      </w:tr>
      <w:tr w:rsidR="009601AE" w:rsidRPr="00690428" w14:paraId="178A39DC" w14:textId="77777777" w:rsidTr="00C90833">
        <w:trPr>
          <w:cantSplit/>
          <w:trHeight w:val="20"/>
          <w:jc w:val="center"/>
        </w:trPr>
        <w:tc>
          <w:tcPr>
            <w:tcW w:w="1852" w:type="dxa"/>
            <w:vMerge w:val="restart"/>
          </w:tcPr>
          <w:p w14:paraId="0E16BD5B" w14:textId="77777777" w:rsidR="009601AE" w:rsidRPr="00690428" w:rsidRDefault="009601AE" w:rsidP="009E3730">
            <w:pPr>
              <w:widowControl w:val="0"/>
              <w:suppressAutoHyphens/>
              <w:spacing w:before="40" w:after="40"/>
              <w:jc w:val="center"/>
              <w:rPr>
                <w:b/>
                <w:bCs/>
                <w:sz w:val="20"/>
                <w:szCs w:val="20"/>
              </w:rPr>
            </w:pPr>
          </w:p>
        </w:tc>
        <w:tc>
          <w:tcPr>
            <w:tcW w:w="1273" w:type="dxa"/>
            <w:vMerge w:val="restart"/>
          </w:tcPr>
          <w:p w14:paraId="196B06BB" w14:textId="77777777" w:rsidR="009601AE" w:rsidRPr="00690428" w:rsidRDefault="009601AE" w:rsidP="009E3730">
            <w:pPr>
              <w:widowControl w:val="0"/>
              <w:suppressAutoHyphens/>
              <w:spacing w:before="40" w:after="40"/>
              <w:jc w:val="center"/>
              <w:rPr>
                <w:b/>
                <w:bCs/>
                <w:sz w:val="20"/>
                <w:szCs w:val="20"/>
              </w:rPr>
            </w:pPr>
          </w:p>
        </w:tc>
        <w:tc>
          <w:tcPr>
            <w:tcW w:w="1701" w:type="dxa"/>
            <w:vMerge w:val="restart"/>
          </w:tcPr>
          <w:p w14:paraId="39EDF007" w14:textId="77777777" w:rsidR="009601AE" w:rsidRPr="00690428" w:rsidRDefault="009601AE" w:rsidP="009E3730">
            <w:pPr>
              <w:widowControl w:val="0"/>
              <w:suppressAutoHyphens/>
              <w:spacing w:before="40" w:after="40"/>
              <w:jc w:val="center"/>
              <w:rPr>
                <w:b/>
                <w:bCs/>
                <w:sz w:val="20"/>
                <w:szCs w:val="20"/>
              </w:rPr>
            </w:pPr>
          </w:p>
        </w:tc>
        <w:tc>
          <w:tcPr>
            <w:tcW w:w="1559" w:type="dxa"/>
            <w:vMerge w:val="restart"/>
          </w:tcPr>
          <w:p w14:paraId="781E09F1" w14:textId="77777777" w:rsidR="009601AE" w:rsidRPr="00690428" w:rsidRDefault="009601AE" w:rsidP="009E3730">
            <w:pPr>
              <w:widowControl w:val="0"/>
              <w:suppressAutoHyphens/>
              <w:spacing w:before="40" w:after="40"/>
              <w:jc w:val="center"/>
              <w:rPr>
                <w:b/>
                <w:bCs/>
                <w:sz w:val="20"/>
                <w:szCs w:val="20"/>
              </w:rPr>
            </w:pPr>
          </w:p>
        </w:tc>
        <w:tc>
          <w:tcPr>
            <w:tcW w:w="5586" w:type="dxa"/>
            <w:tcBorders>
              <w:bottom w:val="nil"/>
            </w:tcBorders>
          </w:tcPr>
          <w:p w14:paraId="337054BE" w14:textId="77777777" w:rsidR="009601AE" w:rsidRPr="00690428" w:rsidRDefault="009601AE" w:rsidP="009E3730">
            <w:pPr>
              <w:widowControl w:val="0"/>
              <w:suppressAutoHyphens/>
              <w:spacing w:before="40" w:after="40"/>
              <w:rPr>
                <w:sz w:val="20"/>
                <w:szCs w:val="20"/>
              </w:rPr>
            </w:pPr>
            <w:r w:rsidRPr="00690428">
              <w:rPr>
                <w:sz w:val="20"/>
                <w:szCs w:val="20"/>
              </w:rPr>
              <w:t>R3.3. Enhanced social partnership</w:t>
            </w:r>
          </w:p>
        </w:tc>
        <w:tc>
          <w:tcPr>
            <w:tcW w:w="3173" w:type="dxa"/>
            <w:tcBorders>
              <w:bottom w:val="nil"/>
            </w:tcBorders>
          </w:tcPr>
          <w:p w14:paraId="776FCFF7" w14:textId="77777777" w:rsidR="009601AE" w:rsidRPr="00690428" w:rsidRDefault="009601AE" w:rsidP="009E3730">
            <w:pPr>
              <w:widowControl w:val="0"/>
              <w:suppressAutoHyphens/>
              <w:spacing w:before="40" w:after="40"/>
              <w:jc w:val="left"/>
              <w:rPr>
                <w:sz w:val="20"/>
                <w:szCs w:val="20"/>
              </w:rPr>
            </w:pPr>
          </w:p>
        </w:tc>
      </w:tr>
      <w:tr w:rsidR="009601AE" w:rsidRPr="00690428" w14:paraId="13474853" w14:textId="77777777" w:rsidTr="00C90833">
        <w:trPr>
          <w:cantSplit/>
          <w:trHeight w:val="20"/>
          <w:jc w:val="center"/>
        </w:trPr>
        <w:tc>
          <w:tcPr>
            <w:tcW w:w="1852" w:type="dxa"/>
            <w:vMerge/>
          </w:tcPr>
          <w:p w14:paraId="2CDA5B9B"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4FF90301"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1EF511F6"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3ABEC09E"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bottom w:val="nil"/>
            </w:tcBorders>
          </w:tcPr>
          <w:p w14:paraId="42F0345B" w14:textId="77777777" w:rsidR="009601AE" w:rsidRPr="00690428" w:rsidRDefault="009601AE" w:rsidP="009E3730">
            <w:pPr>
              <w:widowControl w:val="0"/>
              <w:suppressAutoHyphens/>
              <w:spacing w:before="40" w:after="40"/>
              <w:rPr>
                <w:sz w:val="20"/>
                <w:szCs w:val="20"/>
              </w:rPr>
            </w:pPr>
            <w:r w:rsidRPr="00690428">
              <w:rPr>
                <w:sz w:val="20"/>
                <w:szCs w:val="20"/>
              </w:rPr>
              <w:t>R3.3.1 Revised framework for enhanced social partnership in VET, including reference to work- based learning, and systemic and regular participation in VET policy cycle is elaborated and adopted</w:t>
            </w:r>
          </w:p>
        </w:tc>
        <w:tc>
          <w:tcPr>
            <w:tcW w:w="3173" w:type="dxa"/>
            <w:tcBorders>
              <w:top w:val="nil"/>
              <w:bottom w:val="nil"/>
            </w:tcBorders>
          </w:tcPr>
          <w:p w14:paraId="1415616D" w14:textId="77777777" w:rsidR="009601AE" w:rsidRPr="00690428" w:rsidRDefault="009601AE" w:rsidP="009E3730">
            <w:pPr>
              <w:widowControl w:val="0"/>
              <w:suppressAutoHyphens/>
              <w:spacing w:before="40" w:after="40"/>
              <w:jc w:val="left"/>
              <w:rPr>
                <w:sz w:val="20"/>
                <w:szCs w:val="20"/>
              </w:rPr>
            </w:pPr>
            <w:r w:rsidRPr="00690428">
              <w:rPr>
                <w:sz w:val="20"/>
                <w:szCs w:val="20"/>
              </w:rPr>
              <w:t>Ministerial Decision approving social partnership framework</w:t>
            </w:r>
          </w:p>
        </w:tc>
      </w:tr>
      <w:tr w:rsidR="009601AE" w:rsidRPr="00690428" w14:paraId="6FFD8174" w14:textId="77777777" w:rsidTr="00C90833">
        <w:trPr>
          <w:cantSplit/>
          <w:trHeight w:val="1390"/>
          <w:jc w:val="center"/>
        </w:trPr>
        <w:tc>
          <w:tcPr>
            <w:tcW w:w="1852" w:type="dxa"/>
            <w:vMerge/>
          </w:tcPr>
          <w:p w14:paraId="30AE54B2"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2AF40183"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6DEAD80D"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656F6647"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tcBorders>
          </w:tcPr>
          <w:p w14:paraId="7DB39FDC" w14:textId="77777777" w:rsidR="009601AE" w:rsidRPr="00690428" w:rsidRDefault="009601AE" w:rsidP="009E3730">
            <w:pPr>
              <w:widowControl w:val="0"/>
              <w:suppressAutoHyphens/>
              <w:spacing w:before="40" w:after="40"/>
              <w:rPr>
                <w:sz w:val="20"/>
                <w:szCs w:val="20"/>
              </w:rPr>
            </w:pPr>
            <w:r w:rsidRPr="00690428">
              <w:rPr>
                <w:sz w:val="20"/>
                <w:szCs w:val="20"/>
              </w:rPr>
              <w:t>R3.3.2 Action Plan for enhanced industry engagement drafted with social partners and approved</w:t>
            </w:r>
          </w:p>
          <w:p w14:paraId="6F08B49A" w14:textId="77777777" w:rsidR="009601AE" w:rsidRPr="00690428" w:rsidRDefault="009601AE" w:rsidP="009E3730">
            <w:pPr>
              <w:widowControl w:val="0"/>
              <w:suppressAutoHyphens/>
              <w:spacing w:before="40" w:after="40"/>
              <w:rPr>
                <w:sz w:val="20"/>
                <w:szCs w:val="20"/>
              </w:rPr>
            </w:pPr>
          </w:p>
        </w:tc>
        <w:tc>
          <w:tcPr>
            <w:tcW w:w="3173" w:type="dxa"/>
            <w:tcBorders>
              <w:top w:val="nil"/>
            </w:tcBorders>
          </w:tcPr>
          <w:p w14:paraId="3C05778C" w14:textId="77777777" w:rsidR="009601AE" w:rsidRPr="00690428" w:rsidRDefault="009601AE" w:rsidP="009E3730">
            <w:pPr>
              <w:widowControl w:val="0"/>
              <w:suppressAutoHyphens/>
              <w:spacing w:before="40" w:after="40"/>
              <w:jc w:val="left"/>
              <w:rPr>
                <w:sz w:val="20"/>
                <w:szCs w:val="20"/>
              </w:rPr>
            </w:pPr>
            <w:r w:rsidRPr="00690428">
              <w:rPr>
                <w:sz w:val="20"/>
                <w:szCs w:val="20"/>
              </w:rPr>
              <w:t>Minutes of the NVETC indicating approval of the framework by employers’ organisations and trade unions.</w:t>
            </w:r>
          </w:p>
          <w:p w14:paraId="38C81C96" w14:textId="77777777" w:rsidR="009601AE" w:rsidRPr="00690428" w:rsidRDefault="009601AE" w:rsidP="009E3730">
            <w:pPr>
              <w:widowControl w:val="0"/>
              <w:suppressAutoHyphens/>
              <w:spacing w:before="40" w:after="40"/>
              <w:jc w:val="left"/>
              <w:rPr>
                <w:sz w:val="20"/>
                <w:szCs w:val="20"/>
              </w:rPr>
            </w:pPr>
            <w:r w:rsidRPr="00690428">
              <w:rPr>
                <w:sz w:val="20"/>
                <w:szCs w:val="20"/>
              </w:rPr>
              <w:t>Memorandum of Understanding between Ministry and social partners approving the Action Plan</w:t>
            </w:r>
          </w:p>
        </w:tc>
      </w:tr>
      <w:tr w:rsidR="009601AE" w:rsidRPr="00690428" w14:paraId="40C82B80" w14:textId="77777777" w:rsidTr="00C90833">
        <w:trPr>
          <w:trHeight w:val="20"/>
          <w:jc w:val="center"/>
        </w:trPr>
        <w:tc>
          <w:tcPr>
            <w:tcW w:w="1852" w:type="dxa"/>
            <w:shd w:val="clear" w:color="auto" w:fill="D9D9D9"/>
          </w:tcPr>
          <w:p w14:paraId="6B5C2C9C" w14:textId="3C65A6C3" w:rsidR="009601AE" w:rsidRPr="00690428" w:rsidRDefault="009601AE" w:rsidP="00320807">
            <w:pPr>
              <w:widowControl w:val="0"/>
              <w:suppressAutoHyphens/>
              <w:spacing w:before="40" w:after="40"/>
              <w:jc w:val="left"/>
              <w:rPr>
                <w:sz w:val="20"/>
                <w:szCs w:val="20"/>
              </w:rPr>
            </w:pPr>
            <w:r w:rsidRPr="00690428">
              <w:rPr>
                <w:sz w:val="20"/>
                <w:szCs w:val="20"/>
                <w:lang w:val="ru-RU"/>
              </w:rPr>
              <w:t>Third</w:t>
            </w:r>
            <w:r w:rsidRPr="00690428">
              <w:rPr>
                <w:sz w:val="20"/>
                <w:szCs w:val="20"/>
              </w:rPr>
              <w:t xml:space="preserve"> </w:t>
            </w:r>
            <w:r w:rsidR="00320807">
              <w:rPr>
                <w:sz w:val="20"/>
                <w:szCs w:val="20"/>
              </w:rPr>
              <w:t>F</w:t>
            </w:r>
            <w:r w:rsidRPr="00690428">
              <w:rPr>
                <w:sz w:val="20"/>
                <w:szCs w:val="20"/>
              </w:rPr>
              <w:t>ix</w:t>
            </w:r>
            <w:r w:rsidRPr="00690428">
              <w:rPr>
                <w:sz w:val="20"/>
                <w:szCs w:val="20"/>
                <w:lang w:val="ru-RU"/>
              </w:rPr>
              <w:t>e</w:t>
            </w:r>
            <w:r w:rsidRPr="00690428">
              <w:rPr>
                <w:sz w:val="20"/>
                <w:szCs w:val="20"/>
              </w:rPr>
              <w:t>d Tranch</w:t>
            </w:r>
            <w:r w:rsidRPr="00690428">
              <w:rPr>
                <w:sz w:val="20"/>
                <w:szCs w:val="20"/>
                <w:lang w:val="ru-RU"/>
              </w:rPr>
              <w:t>e</w:t>
            </w:r>
          </w:p>
        </w:tc>
        <w:tc>
          <w:tcPr>
            <w:tcW w:w="1273" w:type="dxa"/>
            <w:shd w:val="clear" w:color="auto" w:fill="D9D9D9"/>
          </w:tcPr>
          <w:p w14:paraId="4A28450C" w14:textId="46DA105A" w:rsidR="009601AE" w:rsidRPr="00690428" w:rsidRDefault="009601AE" w:rsidP="009E3730">
            <w:pPr>
              <w:widowControl w:val="0"/>
              <w:suppressAutoHyphens/>
              <w:spacing w:before="40" w:after="40"/>
              <w:jc w:val="left"/>
              <w:rPr>
                <w:sz w:val="20"/>
                <w:szCs w:val="20"/>
              </w:rPr>
            </w:pPr>
            <w:r w:rsidRPr="00690428">
              <w:rPr>
                <w:sz w:val="20"/>
                <w:szCs w:val="20"/>
                <w:lang w:val="ru-RU"/>
              </w:rPr>
              <w:t>EUR</w:t>
            </w:r>
            <w:r w:rsidRPr="00690428">
              <w:rPr>
                <w:sz w:val="20"/>
                <w:szCs w:val="20"/>
              </w:rPr>
              <w:t xml:space="preserve"> 1</w:t>
            </w:r>
            <w:r w:rsidRPr="00690428">
              <w:rPr>
                <w:sz w:val="20"/>
                <w:szCs w:val="20"/>
                <w:lang w:val="ru-RU"/>
              </w:rPr>
              <w:t xml:space="preserve"> </w:t>
            </w:r>
            <w:r w:rsidR="00320807">
              <w:rPr>
                <w:sz w:val="20"/>
                <w:szCs w:val="20"/>
              </w:rPr>
              <w:t>million</w:t>
            </w:r>
          </w:p>
        </w:tc>
        <w:tc>
          <w:tcPr>
            <w:tcW w:w="1701" w:type="dxa"/>
            <w:shd w:val="clear" w:color="auto" w:fill="D9D9D9"/>
          </w:tcPr>
          <w:p w14:paraId="05EDB840" w14:textId="77777777" w:rsidR="009601AE" w:rsidRPr="00690428" w:rsidRDefault="009601AE" w:rsidP="009E3730">
            <w:pPr>
              <w:widowControl w:val="0"/>
              <w:suppressAutoHyphens/>
              <w:spacing w:before="40" w:after="40"/>
              <w:jc w:val="right"/>
              <w:rPr>
                <w:sz w:val="20"/>
                <w:szCs w:val="20"/>
                <w:lang w:val="ru-RU"/>
              </w:rPr>
            </w:pPr>
            <w:r w:rsidRPr="00690428">
              <w:rPr>
                <w:sz w:val="20"/>
                <w:szCs w:val="20"/>
              </w:rPr>
              <w:t>Q1/201</w:t>
            </w:r>
            <w:r w:rsidRPr="00690428">
              <w:rPr>
                <w:sz w:val="20"/>
                <w:szCs w:val="20"/>
                <w:lang w:val="ru-RU"/>
              </w:rPr>
              <w:t>6</w:t>
            </w:r>
          </w:p>
        </w:tc>
        <w:tc>
          <w:tcPr>
            <w:tcW w:w="1559" w:type="dxa"/>
            <w:shd w:val="clear" w:color="auto" w:fill="D9D9D9"/>
          </w:tcPr>
          <w:p w14:paraId="0BC22F64" w14:textId="77777777" w:rsidR="009601AE" w:rsidRPr="00690428" w:rsidRDefault="009601AE" w:rsidP="009E3730">
            <w:pPr>
              <w:widowControl w:val="0"/>
              <w:suppressAutoHyphens/>
              <w:spacing w:before="40" w:after="40"/>
              <w:jc w:val="center"/>
              <w:rPr>
                <w:sz w:val="20"/>
                <w:szCs w:val="20"/>
                <w:lang w:val="ru-RU"/>
              </w:rPr>
            </w:pPr>
            <w:r w:rsidRPr="00690428">
              <w:rPr>
                <w:sz w:val="20"/>
                <w:szCs w:val="20"/>
              </w:rPr>
              <w:t>02/201</w:t>
            </w:r>
            <w:r w:rsidRPr="00690428">
              <w:rPr>
                <w:sz w:val="20"/>
                <w:szCs w:val="20"/>
                <w:lang w:val="ru-RU"/>
              </w:rPr>
              <w:t>6</w:t>
            </w:r>
          </w:p>
        </w:tc>
        <w:tc>
          <w:tcPr>
            <w:tcW w:w="5586" w:type="dxa"/>
            <w:shd w:val="clear" w:color="auto" w:fill="D9D9D9"/>
          </w:tcPr>
          <w:p w14:paraId="33A0D563" w14:textId="77777777" w:rsidR="009601AE" w:rsidRPr="00690428" w:rsidRDefault="009601AE" w:rsidP="009E3730">
            <w:pPr>
              <w:widowControl w:val="0"/>
              <w:suppressAutoHyphens/>
              <w:spacing w:before="40" w:after="40"/>
              <w:jc w:val="left"/>
              <w:rPr>
                <w:sz w:val="20"/>
                <w:szCs w:val="20"/>
              </w:rPr>
            </w:pPr>
            <w:r w:rsidRPr="00690428">
              <w:rPr>
                <w:sz w:val="20"/>
                <w:szCs w:val="20"/>
              </w:rPr>
              <w:t>General Conditions set out in TABLE 2 above</w:t>
            </w:r>
          </w:p>
        </w:tc>
        <w:tc>
          <w:tcPr>
            <w:tcW w:w="3173" w:type="dxa"/>
            <w:shd w:val="clear" w:color="auto" w:fill="D9D9D9"/>
          </w:tcPr>
          <w:p w14:paraId="3C270A6F" w14:textId="77777777" w:rsidR="009601AE" w:rsidRPr="00690428" w:rsidRDefault="009601AE" w:rsidP="009E3730">
            <w:pPr>
              <w:widowControl w:val="0"/>
              <w:suppressAutoHyphens/>
              <w:spacing w:before="40" w:after="40"/>
              <w:jc w:val="center"/>
              <w:rPr>
                <w:b/>
                <w:bCs/>
                <w:sz w:val="20"/>
                <w:szCs w:val="20"/>
              </w:rPr>
            </w:pPr>
          </w:p>
        </w:tc>
      </w:tr>
      <w:tr w:rsidR="009601AE" w:rsidRPr="00690428" w14:paraId="722E394F" w14:textId="77777777" w:rsidTr="00C90833">
        <w:trPr>
          <w:trHeight w:val="20"/>
          <w:jc w:val="center"/>
        </w:trPr>
        <w:tc>
          <w:tcPr>
            <w:tcW w:w="1852" w:type="dxa"/>
            <w:shd w:val="clear" w:color="auto" w:fill="D9D9D9"/>
          </w:tcPr>
          <w:p w14:paraId="5A39ABE9" w14:textId="77777777" w:rsidR="009601AE" w:rsidRPr="00690428" w:rsidRDefault="009601AE" w:rsidP="009E3730">
            <w:pPr>
              <w:widowControl w:val="0"/>
              <w:suppressAutoHyphens/>
              <w:spacing w:before="40" w:after="40"/>
              <w:jc w:val="left"/>
              <w:rPr>
                <w:sz w:val="20"/>
                <w:szCs w:val="20"/>
              </w:rPr>
            </w:pPr>
            <w:r w:rsidRPr="00690428">
              <w:rPr>
                <w:sz w:val="20"/>
                <w:szCs w:val="20"/>
                <w:lang w:val="ru-RU"/>
              </w:rPr>
              <w:t>Second</w:t>
            </w:r>
            <w:r w:rsidRPr="00690428">
              <w:rPr>
                <w:sz w:val="20"/>
                <w:szCs w:val="20"/>
              </w:rPr>
              <w:t xml:space="preserve"> Variable Tranche</w:t>
            </w:r>
          </w:p>
        </w:tc>
        <w:tc>
          <w:tcPr>
            <w:tcW w:w="1273" w:type="dxa"/>
            <w:shd w:val="clear" w:color="auto" w:fill="D9D9D9"/>
          </w:tcPr>
          <w:p w14:paraId="7184DE63" w14:textId="690D6381" w:rsidR="009601AE" w:rsidRPr="00690428" w:rsidRDefault="009601AE" w:rsidP="009E3730">
            <w:pPr>
              <w:widowControl w:val="0"/>
              <w:suppressAutoHyphens/>
              <w:spacing w:before="40" w:after="40"/>
              <w:jc w:val="left"/>
              <w:rPr>
                <w:sz w:val="20"/>
                <w:szCs w:val="20"/>
              </w:rPr>
            </w:pPr>
            <w:r w:rsidRPr="00690428">
              <w:rPr>
                <w:sz w:val="20"/>
                <w:szCs w:val="20"/>
                <w:lang w:val="ru-RU"/>
              </w:rPr>
              <w:t>EU</w:t>
            </w:r>
            <w:r w:rsidRPr="00690428">
              <w:rPr>
                <w:sz w:val="20"/>
                <w:szCs w:val="20"/>
              </w:rPr>
              <w:t xml:space="preserve">R </w:t>
            </w:r>
            <w:r w:rsidRPr="00690428">
              <w:rPr>
                <w:sz w:val="20"/>
                <w:szCs w:val="20"/>
                <w:lang w:val="ru-RU"/>
              </w:rPr>
              <w:t xml:space="preserve">4.5 </w:t>
            </w:r>
            <w:r w:rsidR="00320807">
              <w:rPr>
                <w:sz w:val="20"/>
                <w:szCs w:val="20"/>
              </w:rPr>
              <w:t>million</w:t>
            </w:r>
          </w:p>
        </w:tc>
        <w:tc>
          <w:tcPr>
            <w:tcW w:w="1701" w:type="dxa"/>
            <w:shd w:val="clear" w:color="auto" w:fill="D9D9D9"/>
          </w:tcPr>
          <w:p w14:paraId="11546684" w14:textId="77777777" w:rsidR="009601AE" w:rsidRPr="00690428" w:rsidRDefault="009601AE" w:rsidP="009E3730">
            <w:pPr>
              <w:widowControl w:val="0"/>
              <w:suppressAutoHyphens/>
              <w:spacing w:before="40" w:after="40"/>
              <w:jc w:val="right"/>
              <w:rPr>
                <w:sz w:val="20"/>
                <w:szCs w:val="20"/>
                <w:lang w:val="ru-RU"/>
              </w:rPr>
            </w:pPr>
            <w:r w:rsidRPr="00690428">
              <w:rPr>
                <w:sz w:val="20"/>
                <w:szCs w:val="20"/>
              </w:rPr>
              <w:t>Q1/201</w:t>
            </w:r>
            <w:r w:rsidRPr="00690428">
              <w:rPr>
                <w:sz w:val="20"/>
                <w:szCs w:val="20"/>
                <w:lang w:val="ru-RU"/>
              </w:rPr>
              <w:t>6</w:t>
            </w:r>
          </w:p>
        </w:tc>
        <w:tc>
          <w:tcPr>
            <w:tcW w:w="1559" w:type="dxa"/>
            <w:shd w:val="clear" w:color="auto" w:fill="D9D9D9"/>
          </w:tcPr>
          <w:p w14:paraId="6DED94D1" w14:textId="77777777" w:rsidR="009601AE" w:rsidRPr="00690428" w:rsidRDefault="009601AE" w:rsidP="009E3730">
            <w:pPr>
              <w:widowControl w:val="0"/>
              <w:suppressAutoHyphens/>
              <w:spacing w:before="40" w:after="40"/>
              <w:jc w:val="center"/>
              <w:rPr>
                <w:sz w:val="20"/>
                <w:szCs w:val="20"/>
                <w:lang w:val="ru-RU"/>
              </w:rPr>
            </w:pPr>
            <w:r w:rsidRPr="00690428">
              <w:rPr>
                <w:sz w:val="20"/>
                <w:szCs w:val="20"/>
              </w:rPr>
              <w:t>Q2/201</w:t>
            </w:r>
            <w:r w:rsidRPr="00690428">
              <w:rPr>
                <w:sz w:val="20"/>
                <w:szCs w:val="20"/>
                <w:lang w:val="ru-RU"/>
              </w:rPr>
              <w:t>6</w:t>
            </w:r>
          </w:p>
        </w:tc>
        <w:tc>
          <w:tcPr>
            <w:tcW w:w="5586" w:type="dxa"/>
            <w:shd w:val="clear" w:color="auto" w:fill="D9D9D9"/>
          </w:tcPr>
          <w:p w14:paraId="4E72FEFA" w14:textId="77777777" w:rsidR="009601AE" w:rsidRPr="00690428" w:rsidRDefault="009601AE" w:rsidP="009E3730">
            <w:pPr>
              <w:widowControl w:val="0"/>
              <w:suppressAutoHyphens/>
              <w:spacing w:before="40" w:after="40"/>
              <w:jc w:val="left"/>
              <w:rPr>
                <w:sz w:val="20"/>
                <w:szCs w:val="20"/>
              </w:rPr>
            </w:pPr>
            <w:r w:rsidRPr="00690428">
              <w:rPr>
                <w:sz w:val="20"/>
                <w:szCs w:val="20"/>
              </w:rPr>
              <w:t>General Conditions set out in TABLE 2 above</w:t>
            </w:r>
          </w:p>
        </w:tc>
        <w:tc>
          <w:tcPr>
            <w:tcW w:w="3173" w:type="dxa"/>
            <w:shd w:val="clear" w:color="auto" w:fill="D9D9D9"/>
          </w:tcPr>
          <w:p w14:paraId="2CAC89C6" w14:textId="77777777" w:rsidR="009601AE" w:rsidRPr="00690428" w:rsidRDefault="009601AE" w:rsidP="009E3730">
            <w:pPr>
              <w:widowControl w:val="0"/>
              <w:suppressAutoHyphens/>
              <w:spacing w:before="40" w:after="40"/>
              <w:jc w:val="center"/>
              <w:rPr>
                <w:b/>
                <w:bCs/>
                <w:sz w:val="20"/>
                <w:szCs w:val="20"/>
              </w:rPr>
            </w:pPr>
          </w:p>
        </w:tc>
      </w:tr>
      <w:tr w:rsidR="009601AE" w:rsidRPr="00690428" w14:paraId="6D455219" w14:textId="77777777" w:rsidTr="00C90833">
        <w:trPr>
          <w:trHeight w:val="20"/>
          <w:jc w:val="center"/>
        </w:trPr>
        <w:tc>
          <w:tcPr>
            <w:tcW w:w="15144" w:type="dxa"/>
            <w:gridSpan w:val="6"/>
            <w:vAlign w:val="center"/>
          </w:tcPr>
          <w:p w14:paraId="7259775E" w14:textId="77777777" w:rsidR="009601AE" w:rsidRPr="00690428" w:rsidRDefault="009601AE" w:rsidP="009E3730">
            <w:pPr>
              <w:widowControl w:val="0"/>
              <w:suppressAutoHyphens/>
              <w:spacing w:before="40" w:after="40"/>
              <w:jc w:val="left"/>
              <w:rPr>
                <w:b/>
                <w:bCs/>
                <w:sz w:val="20"/>
                <w:szCs w:val="20"/>
                <w:lang w:val="ru-RU"/>
              </w:rPr>
            </w:pPr>
            <w:r w:rsidRPr="00690428">
              <w:rPr>
                <w:sz w:val="20"/>
                <w:szCs w:val="20"/>
              </w:rPr>
              <w:t>COMPONENT 1: EFFECTIVE LABOUR MARKET MANAGEMENT</w:t>
            </w:r>
          </w:p>
        </w:tc>
      </w:tr>
      <w:tr w:rsidR="009601AE" w:rsidRPr="00690428" w14:paraId="6C18CE1E" w14:textId="77777777" w:rsidTr="00C90833">
        <w:trPr>
          <w:cantSplit/>
          <w:trHeight w:val="20"/>
          <w:jc w:val="center"/>
        </w:trPr>
        <w:tc>
          <w:tcPr>
            <w:tcW w:w="1852" w:type="dxa"/>
            <w:vMerge w:val="restart"/>
          </w:tcPr>
          <w:p w14:paraId="176B7A27" w14:textId="77777777" w:rsidR="009601AE" w:rsidRPr="00690428" w:rsidRDefault="009601AE" w:rsidP="009E3730">
            <w:pPr>
              <w:widowControl w:val="0"/>
              <w:suppressAutoHyphens/>
              <w:spacing w:before="40" w:after="40"/>
              <w:jc w:val="center"/>
              <w:rPr>
                <w:b/>
                <w:bCs/>
                <w:sz w:val="20"/>
                <w:szCs w:val="20"/>
              </w:rPr>
            </w:pPr>
          </w:p>
        </w:tc>
        <w:tc>
          <w:tcPr>
            <w:tcW w:w="1273" w:type="dxa"/>
            <w:vMerge w:val="restart"/>
          </w:tcPr>
          <w:p w14:paraId="1139E165" w14:textId="77777777" w:rsidR="009601AE" w:rsidRPr="00690428" w:rsidRDefault="009601AE" w:rsidP="009E3730">
            <w:pPr>
              <w:widowControl w:val="0"/>
              <w:suppressAutoHyphens/>
              <w:spacing w:before="40" w:after="40"/>
              <w:jc w:val="center"/>
              <w:rPr>
                <w:b/>
                <w:bCs/>
                <w:sz w:val="20"/>
                <w:szCs w:val="20"/>
              </w:rPr>
            </w:pPr>
          </w:p>
        </w:tc>
        <w:tc>
          <w:tcPr>
            <w:tcW w:w="1701" w:type="dxa"/>
            <w:vMerge w:val="restart"/>
          </w:tcPr>
          <w:p w14:paraId="74888E25" w14:textId="77777777" w:rsidR="009601AE" w:rsidRPr="00690428" w:rsidRDefault="009601AE" w:rsidP="009E3730">
            <w:pPr>
              <w:widowControl w:val="0"/>
              <w:suppressAutoHyphens/>
              <w:spacing w:before="40" w:after="40"/>
              <w:jc w:val="center"/>
              <w:rPr>
                <w:b/>
                <w:bCs/>
                <w:sz w:val="20"/>
                <w:szCs w:val="20"/>
              </w:rPr>
            </w:pPr>
          </w:p>
        </w:tc>
        <w:tc>
          <w:tcPr>
            <w:tcW w:w="1559" w:type="dxa"/>
            <w:vMerge w:val="restart"/>
          </w:tcPr>
          <w:p w14:paraId="35C212F5" w14:textId="77777777" w:rsidR="009601AE" w:rsidRPr="00690428" w:rsidRDefault="009601AE" w:rsidP="009E3730">
            <w:pPr>
              <w:widowControl w:val="0"/>
              <w:suppressAutoHyphens/>
              <w:spacing w:before="40" w:after="40"/>
              <w:jc w:val="center"/>
              <w:rPr>
                <w:b/>
                <w:bCs/>
                <w:sz w:val="20"/>
                <w:szCs w:val="20"/>
              </w:rPr>
            </w:pPr>
          </w:p>
        </w:tc>
        <w:tc>
          <w:tcPr>
            <w:tcW w:w="5586" w:type="dxa"/>
            <w:tcBorders>
              <w:bottom w:val="nil"/>
            </w:tcBorders>
          </w:tcPr>
          <w:p w14:paraId="715E2209" w14:textId="77777777" w:rsidR="009601AE" w:rsidRPr="00690428" w:rsidRDefault="009601AE" w:rsidP="009E3730">
            <w:pPr>
              <w:widowControl w:val="0"/>
              <w:suppressAutoHyphens/>
              <w:spacing w:before="40" w:after="40"/>
              <w:jc w:val="left"/>
              <w:rPr>
                <w:sz w:val="20"/>
                <w:szCs w:val="20"/>
                <w:lang w:val="ru-RU"/>
              </w:rPr>
            </w:pPr>
            <w:r w:rsidRPr="00690428">
              <w:rPr>
                <w:sz w:val="20"/>
                <w:szCs w:val="20"/>
              </w:rPr>
              <w:t>Rl.l. Reliable and sustainable labour market information and forecasting</w:t>
            </w:r>
          </w:p>
        </w:tc>
        <w:tc>
          <w:tcPr>
            <w:tcW w:w="3173" w:type="dxa"/>
            <w:tcBorders>
              <w:bottom w:val="nil"/>
            </w:tcBorders>
          </w:tcPr>
          <w:p w14:paraId="434C95BA" w14:textId="77777777" w:rsidR="009601AE" w:rsidRPr="00690428" w:rsidRDefault="009601AE" w:rsidP="009E3730">
            <w:pPr>
              <w:widowControl w:val="0"/>
              <w:suppressAutoHyphens/>
              <w:spacing w:before="40" w:after="40"/>
              <w:jc w:val="left"/>
              <w:rPr>
                <w:sz w:val="20"/>
                <w:szCs w:val="20"/>
              </w:rPr>
            </w:pPr>
          </w:p>
        </w:tc>
      </w:tr>
      <w:tr w:rsidR="009601AE" w:rsidRPr="00690428" w14:paraId="66959D87" w14:textId="77777777" w:rsidTr="00C90833">
        <w:trPr>
          <w:cantSplit/>
          <w:trHeight w:val="20"/>
          <w:jc w:val="center"/>
        </w:trPr>
        <w:tc>
          <w:tcPr>
            <w:tcW w:w="1852" w:type="dxa"/>
            <w:vMerge/>
          </w:tcPr>
          <w:p w14:paraId="0EA85507"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6AD2B865"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30F8E624"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57A1B8D6"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bottom w:val="nil"/>
            </w:tcBorders>
          </w:tcPr>
          <w:p w14:paraId="723CC7B3" w14:textId="77777777" w:rsidR="009601AE" w:rsidRPr="00690428" w:rsidRDefault="009601AE" w:rsidP="009E3730">
            <w:pPr>
              <w:widowControl w:val="0"/>
              <w:suppressAutoHyphens/>
              <w:spacing w:before="40" w:after="40"/>
              <w:jc w:val="left"/>
              <w:rPr>
                <w:sz w:val="20"/>
                <w:szCs w:val="20"/>
              </w:rPr>
            </w:pPr>
            <w:r w:rsidRPr="00690428">
              <w:rPr>
                <w:sz w:val="20"/>
                <w:szCs w:val="20"/>
              </w:rPr>
              <w:t>RI. 1.1 Minimum of two pilot labour market studies</w:t>
            </w:r>
          </w:p>
          <w:p w14:paraId="20C615B1" w14:textId="77777777" w:rsidR="009601AE" w:rsidRPr="00690428" w:rsidRDefault="009601AE" w:rsidP="009E3730">
            <w:pPr>
              <w:widowControl w:val="0"/>
              <w:suppressAutoHyphens/>
              <w:spacing w:before="40" w:after="40"/>
              <w:jc w:val="left"/>
              <w:rPr>
                <w:sz w:val="20"/>
                <w:szCs w:val="20"/>
              </w:rPr>
            </w:pPr>
            <w:r w:rsidRPr="00690428">
              <w:rPr>
                <w:sz w:val="20"/>
                <w:szCs w:val="20"/>
              </w:rPr>
              <w:t>(e.g. 1 employers’ survey and 1 qualitative sector study) completed and published.</w:t>
            </w:r>
          </w:p>
        </w:tc>
        <w:tc>
          <w:tcPr>
            <w:tcW w:w="3173" w:type="dxa"/>
            <w:tcBorders>
              <w:top w:val="nil"/>
              <w:bottom w:val="nil"/>
            </w:tcBorders>
          </w:tcPr>
          <w:p w14:paraId="6A3ADDEC" w14:textId="77777777" w:rsidR="009601AE" w:rsidRPr="00690428" w:rsidRDefault="009601AE" w:rsidP="009E3730">
            <w:pPr>
              <w:widowControl w:val="0"/>
              <w:suppressAutoHyphens/>
              <w:spacing w:before="40" w:after="40"/>
              <w:jc w:val="left"/>
              <w:rPr>
                <w:sz w:val="20"/>
                <w:szCs w:val="20"/>
              </w:rPr>
            </w:pPr>
            <w:r w:rsidRPr="00690428">
              <w:rPr>
                <w:sz w:val="20"/>
                <w:szCs w:val="20"/>
              </w:rPr>
              <w:t>Studies</w:t>
            </w:r>
          </w:p>
          <w:p w14:paraId="6F609088" w14:textId="77777777" w:rsidR="009601AE" w:rsidRPr="00690428" w:rsidRDefault="009601AE" w:rsidP="009E3730">
            <w:pPr>
              <w:widowControl w:val="0"/>
              <w:suppressAutoHyphens/>
              <w:spacing w:before="40" w:after="40"/>
              <w:jc w:val="left"/>
              <w:rPr>
                <w:sz w:val="20"/>
                <w:szCs w:val="20"/>
              </w:rPr>
            </w:pPr>
            <w:r w:rsidRPr="00690428">
              <w:rPr>
                <w:sz w:val="20"/>
                <w:szCs w:val="20"/>
              </w:rPr>
              <w:t>Annual VET statistical publication</w:t>
            </w:r>
          </w:p>
        </w:tc>
      </w:tr>
      <w:tr w:rsidR="009601AE" w:rsidRPr="00690428" w14:paraId="536A024A" w14:textId="77777777" w:rsidTr="00C90833">
        <w:trPr>
          <w:cantSplit/>
          <w:trHeight w:val="20"/>
          <w:jc w:val="center"/>
        </w:trPr>
        <w:tc>
          <w:tcPr>
            <w:tcW w:w="1852" w:type="dxa"/>
            <w:vMerge/>
          </w:tcPr>
          <w:p w14:paraId="14C92215"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032D3189"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77D20731"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4F6AEC5F"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tcBorders>
          </w:tcPr>
          <w:p w14:paraId="53FAD5F2" w14:textId="77777777" w:rsidR="009601AE" w:rsidRPr="00690428" w:rsidRDefault="009601AE" w:rsidP="009E3730">
            <w:pPr>
              <w:widowControl w:val="0"/>
              <w:suppressAutoHyphens/>
              <w:spacing w:before="40" w:after="40"/>
              <w:jc w:val="left"/>
              <w:rPr>
                <w:sz w:val="20"/>
                <w:szCs w:val="20"/>
              </w:rPr>
            </w:pPr>
            <w:r w:rsidRPr="00690428">
              <w:rPr>
                <w:sz w:val="20"/>
                <w:szCs w:val="20"/>
              </w:rPr>
              <w:t>RI. 1.2 VET statistics published annually by responsible government entity disaggregated at least by: gender, occupation (or equivalent in the Georgian classification), level of NQF, region, VET provider.</w:t>
            </w:r>
          </w:p>
        </w:tc>
        <w:tc>
          <w:tcPr>
            <w:tcW w:w="3173" w:type="dxa"/>
            <w:tcBorders>
              <w:top w:val="nil"/>
            </w:tcBorders>
          </w:tcPr>
          <w:p w14:paraId="58EE9229" w14:textId="77777777" w:rsidR="009601AE" w:rsidRPr="00690428" w:rsidRDefault="009601AE" w:rsidP="009E3730">
            <w:pPr>
              <w:widowControl w:val="0"/>
              <w:suppressAutoHyphens/>
              <w:spacing w:before="40" w:after="40"/>
              <w:jc w:val="left"/>
              <w:rPr>
                <w:sz w:val="20"/>
                <w:szCs w:val="20"/>
              </w:rPr>
            </w:pPr>
            <w:r w:rsidRPr="00690428">
              <w:rPr>
                <w:sz w:val="20"/>
                <w:szCs w:val="20"/>
              </w:rPr>
              <w:t>VET enrolment and completion rates</w:t>
            </w:r>
          </w:p>
        </w:tc>
      </w:tr>
      <w:tr w:rsidR="009601AE" w:rsidRPr="00690428" w14:paraId="2D10D171" w14:textId="77777777" w:rsidTr="00C90833">
        <w:trPr>
          <w:cantSplit/>
          <w:trHeight w:val="70"/>
          <w:jc w:val="center"/>
        </w:trPr>
        <w:tc>
          <w:tcPr>
            <w:tcW w:w="1852" w:type="dxa"/>
            <w:vMerge w:val="restart"/>
          </w:tcPr>
          <w:p w14:paraId="24E6B118" w14:textId="77777777" w:rsidR="009601AE" w:rsidRPr="00690428" w:rsidRDefault="009601AE" w:rsidP="009E3730">
            <w:pPr>
              <w:widowControl w:val="0"/>
              <w:suppressAutoHyphens/>
              <w:spacing w:before="40" w:after="40"/>
              <w:jc w:val="center"/>
              <w:rPr>
                <w:b/>
                <w:bCs/>
                <w:sz w:val="20"/>
                <w:szCs w:val="20"/>
              </w:rPr>
            </w:pPr>
          </w:p>
        </w:tc>
        <w:tc>
          <w:tcPr>
            <w:tcW w:w="1273" w:type="dxa"/>
            <w:vMerge w:val="restart"/>
          </w:tcPr>
          <w:p w14:paraId="4124A1E3" w14:textId="77777777" w:rsidR="009601AE" w:rsidRPr="00690428" w:rsidRDefault="009601AE" w:rsidP="009E3730">
            <w:pPr>
              <w:widowControl w:val="0"/>
              <w:suppressAutoHyphens/>
              <w:spacing w:before="40" w:after="40"/>
              <w:jc w:val="center"/>
              <w:rPr>
                <w:b/>
                <w:bCs/>
                <w:sz w:val="20"/>
                <w:szCs w:val="20"/>
              </w:rPr>
            </w:pPr>
          </w:p>
        </w:tc>
        <w:tc>
          <w:tcPr>
            <w:tcW w:w="1701" w:type="dxa"/>
            <w:vMerge w:val="restart"/>
          </w:tcPr>
          <w:p w14:paraId="356355D6" w14:textId="77777777" w:rsidR="009601AE" w:rsidRPr="00690428" w:rsidRDefault="009601AE" w:rsidP="009E3730">
            <w:pPr>
              <w:widowControl w:val="0"/>
              <w:suppressAutoHyphens/>
              <w:spacing w:before="40" w:after="40"/>
              <w:jc w:val="center"/>
              <w:rPr>
                <w:b/>
                <w:bCs/>
                <w:sz w:val="20"/>
                <w:szCs w:val="20"/>
              </w:rPr>
            </w:pPr>
          </w:p>
        </w:tc>
        <w:tc>
          <w:tcPr>
            <w:tcW w:w="1559" w:type="dxa"/>
            <w:vMerge w:val="restart"/>
          </w:tcPr>
          <w:p w14:paraId="3EE0BA73" w14:textId="77777777" w:rsidR="009601AE" w:rsidRPr="00690428" w:rsidRDefault="009601AE" w:rsidP="009E3730">
            <w:pPr>
              <w:widowControl w:val="0"/>
              <w:suppressAutoHyphens/>
              <w:spacing w:before="40" w:after="40"/>
              <w:jc w:val="center"/>
              <w:rPr>
                <w:b/>
                <w:bCs/>
                <w:sz w:val="20"/>
                <w:szCs w:val="20"/>
              </w:rPr>
            </w:pPr>
          </w:p>
        </w:tc>
        <w:tc>
          <w:tcPr>
            <w:tcW w:w="5586" w:type="dxa"/>
            <w:tcBorders>
              <w:bottom w:val="nil"/>
            </w:tcBorders>
          </w:tcPr>
          <w:p w14:paraId="4E5DA119" w14:textId="77777777" w:rsidR="009601AE" w:rsidRPr="00690428" w:rsidRDefault="009601AE" w:rsidP="009E3730">
            <w:pPr>
              <w:widowControl w:val="0"/>
              <w:suppressAutoHyphens/>
              <w:rPr>
                <w:sz w:val="20"/>
                <w:szCs w:val="20"/>
              </w:rPr>
            </w:pPr>
            <w:bookmarkStart w:id="85" w:name="bookmark13"/>
            <w:r w:rsidRPr="00690428">
              <w:rPr>
                <w:sz w:val="20"/>
                <w:szCs w:val="20"/>
              </w:rPr>
              <w:t>RI.2. Improved Quality of Employment Support Services</w:t>
            </w:r>
            <w:bookmarkEnd w:id="85"/>
          </w:p>
        </w:tc>
        <w:tc>
          <w:tcPr>
            <w:tcW w:w="3173" w:type="dxa"/>
            <w:tcBorders>
              <w:bottom w:val="nil"/>
            </w:tcBorders>
          </w:tcPr>
          <w:p w14:paraId="78FA1552" w14:textId="77777777" w:rsidR="009601AE" w:rsidRPr="00690428" w:rsidRDefault="009601AE" w:rsidP="009E3730">
            <w:pPr>
              <w:widowControl w:val="0"/>
              <w:suppressAutoHyphens/>
              <w:spacing w:before="40" w:after="40"/>
              <w:jc w:val="left"/>
              <w:rPr>
                <w:sz w:val="20"/>
                <w:szCs w:val="20"/>
              </w:rPr>
            </w:pPr>
          </w:p>
        </w:tc>
      </w:tr>
      <w:tr w:rsidR="009601AE" w:rsidRPr="00690428" w14:paraId="55EE824A" w14:textId="77777777" w:rsidTr="00C90833">
        <w:trPr>
          <w:cantSplit/>
          <w:trHeight w:val="20"/>
          <w:jc w:val="center"/>
        </w:trPr>
        <w:tc>
          <w:tcPr>
            <w:tcW w:w="1852" w:type="dxa"/>
            <w:vMerge/>
          </w:tcPr>
          <w:p w14:paraId="793FB031"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1B574755"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7E584158"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1ACFD963"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bottom w:val="nil"/>
            </w:tcBorders>
          </w:tcPr>
          <w:p w14:paraId="32D36DBA" w14:textId="77777777" w:rsidR="009601AE" w:rsidRPr="00690428" w:rsidRDefault="009601AE" w:rsidP="009E3730">
            <w:pPr>
              <w:widowControl w:val="0"/>
              <w:suppressAutoHyphens/>
              <w:spacing w:before="40" w:after="40"/>
              <w:jc w:val="left"/>
              <w:rPr>
                <w:sz w:val="20"/>
                <w:szCs w:val="20"/>
              </w:rPr>
            </w:pPr>
            <w:r w:rsidRPr="00690428">
              <w:rPr>
                <w:sz w:val="20"/>
                <w:szCs w:val="20"/>
              </w:rPr>
              <w:t>RI.2.1. Concept of active labour market policy, taking into consideration relevant EU practice / policy, defined and approved by the responsible government entity(ies). The concept should include at least: a) objectives and main target groups; b) measures to increase the efficiency of the matching process and measures to raise the productivity and skills of participants, e.g. job seekers, in particular flexible and tailored training for employment; c) approach to monitor effectiveness of the policy).</w:t>
            </w:r>
          </w:p>
        </w:tc>
        <w:tc>
          <w:tcPr>
            <w:tcW w:w="3173" w:type="dxa"/>
            <w:tcBorders>
              <w:top w:val="nil"/>
              <w:bottom w:val="nil"/>
            </w:tcBorders>
          </w:tcPr>
          <w:p w14:paraId="74254C56" w14:textId="77777777" w:rsidR="009601AE" w:rsidRPr="00690428" w:rsidRDefault="009601AE" w:rsidP="009E3730">
            <w:pPr>
              <w:widowControl w:val="0"/>
              <w:suppressAutoHyphens/>
              <w:spacing w:before="40" w:after="40"/>
              <w:jc w:val="left"/>
              <w:rPr>
                <w:sz w:val="20"/>
                <w:szCs w:val="20"/>
              </w:rPr>
            </w:pPr>
            <w:r w:rsidRPr="00690428">
              <w:rPr>
                <w:sz w:val="20"/>
                <w:szCs w:val="20"/>
              </w:rPr>
              <w:t>Ministerial Decision approving active labour market policy concept</w:t>
            </w:r>
          </w:p>
        </w:tc>
      </w:tr>
      <w:tr w:rsidR="009601AE" w:rsidRPr="00690428" w14:paraId="2AF45B29" w14:textId="77777777" w:rsidTr="00C90833">
        <w:trPr>
          <w:cantSplit/>
          <w:trHeight w:val="307"/>
          <w:jc w:val="center"/>
        </w:trPr>
        <w:tc>
          <w:tcPr>
            <w:tcW w:w="1852" w:type="dxa"/>
            <w:vMerge/>
          </w:tcPr>
          <w:p w14:paraId="3A09453F"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10B25F1A"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25F71A6D"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13BD80FF"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tcBorders>
          </w:tcPr>
          <w:p w14:paraId="680A6F5B" w14:textId="77777777" w:rsidR="009601AE" w:rsidRPr="00690428" w:rsidRDefault="009601AE" w:rsidP="009E3730">
            <w:pPr>
              <w:widowControl w:val="0"/>
              <w:suppressAutoHyphens/>
              <w:spacing w:before="40" w:after="40"/>
              <w:jc w:val="left"/>
              <w:rPr>
                <w:sz w:val="20"/>
                <w:szCs w:val="20"/>
              </w:rPr>
            </w:pPr>
            <w:r w:rsidRPr="00690428">
              <w:rPr>
                <w:sz w:val="20"/>
                <w:szCs w:val="20"/>
              </w:rPr>
              <w:t>RI.2.2 Central ESS fully operational as measured by following components of ESS:</w:t>
            </w:r>
          </w:p>
          <w:p w14:paraId="735EE327" w14:textId="77777777" w:rsidR="009601AE" w:rsidRPr="00690428" w:rsidRDefault="009601AE" w:rsidP="007C295F">
            <w:pPr>
              <w:widowControl w:val="0"/>
              <w:numPr>
                <w:ilvl w:val="0"/>
                <w:numId w:val="9"/>
              </w:numPr>
              <w:suppressAutoHyphens/>
              <w:autoSpaceDE w:val="0"/>
              <w:autoSpaceDN w:val="0"/>
              <w:spacing w:before="40" w:after="40"/>
              <w:ind w:left="375" w:hanging="284"/>
              <w:jc w:val="left"/>
              <w:rPr>
                <w:sz w:val="20"/>
                <w:szCs w:val="20"/>
              </w:rPr>
            </w:pPr>
            <w:r w:rsidRPr="00690428">
              <w:rPr>
                <w:sz w:val="20"/>
                <w:szCs w:val="20"/>
              </w:rPr>
              <w:t>Feedback module is operational,</w:t>
            </w:r>
          </w:p>
          <w:p w14:paraId="1A3D3AFE" w14:textId="77777777" w:rsidR="009601AE" w:rsidRPr="00690428" w:rsidRDefault="009601AE" w:rsidP="007C295F">
            <w:pPr>
              <w:widowControl w:val="0"/>
              <w:numPr>
                <w:ilvl w:val="0"/>
                <w:numId w:val="9"/>
              </w:numPr>
              <w:suppressAutoHyphens/>
              <w:autoSpaceDE w:val="0"/>
              <w:autoSpaceDN w:val="0"/>
              <w:spacing w:before="40" w:after="40"/>
              <w:ind w:left="375" w:hanging="284"/>
              <w:jc w:val="left"/>
              <w:rPr>
                <w:sz w:val="20"/>
                <w:szCs w:val="20"/>
              </w:rPr>
            </w:pPr>
            <w:r w:rsidRPr="00690428">
              <w:rPr>
                <w:sz w:val="20"/>
                <w:szCs w:val="20"/>
              </w:rPr>
              <w:t>data collection and preservation module, is operational;</w:t>
            </w:r>
          </w:p>
          <w:p w14:paraId="3A0CE470" w14:textId="77777777" w:rsidR="009601AE" w:rsidRPr="00690428" w:rsidRDefault="009601AE" w:rsidP="007C295F">
            <w:pPr>
              <w:widowControl w:val="0"/>
              <w:numPr>
                <w:ilvl w:val="0"/>
                <w:numId w:val="9"/>
              </w:numPr>
              <w:suppressAutoHyphens/>
              <w:autoSpaceDE w:val="0"/>
              <w:autoSpaceDN w:val="0"/>
              <w:spacing w:before="40" w:after="40"/>
              <w:ind w:left="375" w:hanging="284"/>
              <w:jc w:val="left"/>
              <w:rPr>
                <w:sz w:val="20"/>
                <w:szCs w:val="20"/>
              </w:rPr>
            </w:pPr>
            <w:r w:rsidRPr="00690428">
              <w:rPr>
                <w:sz w:val="20"/>
                <w:szCs w:val="20"/>
              </w:rPr>
              <w:t>statistical data processing is operational;</w:t>
            </w:r>
          </w:p>
          <w:p w14:paraId="1BA45F14" w14:textId="77777777" w:rsidR="009601AE" w:rsidRPr="00690428" w:rsidRDefault="009601AE" w:rsidP="007C295F">
            <w:pPr>
              <w:widowControl w:val="0"/>
              <w:numPr>
                <w:ilvl w:val="0"/>
                <w:numId w:val="9"/>
              </w:numPr>
              <w:suppressAutoHyphens/>
              <w:autoSpaceDE w:val="0"/>
              <w:autoSpaceDN w:val="0"/>
              <w:spacing w:before="40" w:after="40"/>
              <w:ind w:left="375" w:hanging="284"/>
              <w:jc w:val="left"/>
              <w:rPr>
                <w:sz w:val="20"/>
                <w:szCs w:val="20"/>
              </w:rPr>
            </w:pPr>
            <w:r w:rsidRPr="00690428">
              <w:rPr>
                <w:sz w:val="20"/>
                <w:szCs w:val="20"/>
              </w:rPr>
              <w:t>analysis and current tendencies module is operational;</w:t>
            </w:r>
          </w:p>
          <w:p w14:paraId="0BE03333" w14:textId="77777777" w:rsidR="009601AE" w:rsidRPr="00690428" w:rsidRDefault="009601AE" w:rsidP="009E3730">
            <w:pPr>
              <w:widowControl w:val="0"/>
              <w:suppressAutoHyphens/>
              <w:spacing w:before="40" w:after="40"/>
              <w:rPr>
                <w:sz w:val="20"/>
                <w:szCs w:val="20"/>
              </w:rPr>
            </w:pPr>
          </w:p>
        </w:tc>
        <w:tc>
          <w:tcPr>
            <w:tcW w:w="3173" w:type="dxa"/>
            <w:tcBorders>
              <w:top w:val="nil"/>
            </w:tcBorders>
          </w:tcPr>
          <w:p w14:paraId="3318D018" w14:textId="77777777" w:rsidR="009601AE" w:rsidRPr="00690428" w:rsidRDefault="009601AE" w:rsidP="009E3730">
            <w:pPr>
              <w:widowControl w:val="0"/>
              <w:suppressAutoHyphens/>
              <w:spacing w:before="40" w:after="40"/>
              <w:jc w:val="left"/>
              <w:rPr>
                <w:sz w:val="20"/>
                <w:szCs w:val="20"/>
              </w:rPr>
            </w:pPr>
            <w:r w:rsidRPr="00690428">
              <w:rPr>
                <w:sz w:val="20"/>
                <w:szCs w:val="20"/>
              </w:rPr>
              <w:t xml:space="preserve">Site visit </w:t>
            </w:r>
          </w:p>
          <w:p w14:paraId="59F3F4C5" w14:textId="77777777" w:rsidR="009601AE" w:rsidRPr="00690428" w:rsidRDefault="009601AE" w:rsidP="009E3730">
            <w:pPr>
              <w:widowControl w:val="0"/>
              <w:suppressAutoHyphens/>
              <w:spacing w:before="40" w:after="40"/>
              <w:jc w:val="left"/>
              <w:rPr>
                <w:sz w:val="20"/>
                <w:szCs w:val="20"/>
              </w:rPr>
            </w:pPr>
            <w:r w:rsidRPr="00690428">
              <w:rPr>
                <w:sz w:val="20"/>
                <w:szCs w:val="20"/>
              </w:rPr>
              <w:t>Statistical data</w:t>
            </w:r>
          </w:p>
          <w:p w14:paraId="7F02116A" w14:textId="77777777" w:rsidR="009601AE" w:rsidRPr="00690428" w:rsidRDefault="009601AE" w:rsidP="009E3730">
            <w:pPr>
              <w:widowControl w:val="0"/>
              <w:suppressAutoHyphens/>
              <w:spacing w:before="40" w:after="40"/>
              <w:jc w:val="left"/>
              <w:rPr>
                <w:sz w:val="20"/>
                <w:szCs w:val="20"/>
              </w:rPr>
            </w:pPr>
            <w:r w:rsidRPr="00690428">
              <w:rPr>
                <w:sz w:val="20"/>
                <w:szCs w:val="20"/>
              </w:rPr>
              <w:t>Ministerial order/ Order of the Head of the responsible governmental agency</w:t>
            </w:r>
          </w:p>
          <w:p w14:paraId="0D630646" w14:textId="77777777" w:rsidR="009601AE" w:rsidRPr="00690428" w:rsidRDefault="009601AE" w:rsidP="009E3730">
            <w:pPr>
              <w:widowControl w:val="0"/>
              <w:suppressAutoHyphens/>
              <w:spacing w:before="40" w:after="40"/>
              <w:jc w:val="left"/>
              <w:rPr>
                <w:sz w:val="20"/>
                <w:szCs w:val="20"/>
              </w:rPr>
            </w:pPr>
            <w:r w:rsidRPr="00690428">
              <w:rPr>
                <w:sz w:val="20"/>
                <w:szCs w:val="20"/>
              </w:rPr>
              <w:t>Feedback, Data collection and preservation, statistical data processing, analysis and current tendencies Modules</w:t>
            </w:r>
          </w:p>
        </w:tc>
      </w:tr>
      <w:tr w:rsidR="009601AE" w:rsidRPr="00690428" w14:paraId="471BAA7F" w14:textId="77777777" w:rsidTr="00C90833">
        <w:trPr>
          <w:trHeight w:val="20"/>
          <w:jc w:val="center"/>
        </w:trPr>
        <w:tc>
          <w:tcPr>
            <w:tcW w:w="15144" w:type="dxa"/>
            <w:gridSpan w:val="6"/>
          </w:tcPr>
          <w:p w14:paraId="7B5A026B" w14:textId="77777777" w:rsidR="009601AE" w:rsidRPr="00690428" w:rsidRDefault="009601AE" w:rsidP="009E3730">
            <w:pPr>
              <w:widowControl w:val="0"/>
              <w:suppressAutoHyphens/>
              <w:spacing w:before="40" w:after="40"/>
              <w:jc w:val="left"/>
              <w:rPr>
                <w:sz w:val="20"/>
                <w:szCs w:val="20"/>
              </w:rPr>
            </w:pPr>
            <w:r w:rsidRPr="00690428">
              <w:rPr>
                <w:sz w:val="20"/>
                <w:szCs w:val="20"/>
              </w:rPr>
              <w:t>COMPONENT 2: ENHANCED QUALITY AND RELEVANCE OF VET SYSTEM</w:t>
            </w:r>
          </w:p>
        </w:tc>
      </w:tr>
      <w:tr w:rsidR="009601AE" w:rsidRPr="00690428" w14:paraId="23E93C58" w14:textId="77777777" w:rsidTr="00C90833">
        <w:trPr>
          <w:cantSplit/>
          <w:trHeight w:val="20"/>
          <w:jc w:val="center"/>
        </w:trPr>
        <w:tc>
          <w:tcPr>
            <w:tcW w:w="1852" w:type="dxa"/>
            <w:vMerge w:val="restart"/>
          </w:tcPr>
          <w:p w14:paraId="0B68AC12" w14:textId="77777777" w:rsidR="009601AE" w:rsidRPr="00690428" w:rsidRDefault="009601AE" w:rsidP="009E3730">
            <w:pPr>
              <w:widowControl w:val="0"/>
              <w:suppressAutoHyphens/>
              <w:spacing w:before="40" w:after="40"/>
              <w:jc w:val="center"/>
              <w:rPr>
                <w:b/>
                <w:bCs/>
                <w:sz w:val="20"/>
                <w:szCs w:val="20"/>
              </w:rPr>
            </w:pPr>
          </w:p>
        </w:tc>
        <w:tc>
          <w:tcPr>
            <w:tcW w:w="1273" w:type="dxa"/>
            <w:vMerge w:val="restart"/>
          </w:tcPr>
          <w:p w14:paraId="499DF186" w14:textId="77777777" w:rsidR="009601AE" w:rsidRPr="00690428" w:rsidRDefault="009601AE" w:rsidP="009E3730">
            <w:pPr>
              <w:widowControl w:val="0"/>
              <w:suppressAutoHyphens/>
              <w:spacing w:before="40" w:after="40"/>
              <w:jc w:val="center"/>
              <w:rPr>
                <w:b/>
                <w:bCs/>
                <w:sz w:val="20"/>
                <w:szCs w:val="20"/>
              </w:rPr>
            </w:pPr>
          </w:p>
        </w:tc>
        <w:tc>
          <w:tcPr>
            <w:tcW w:w="1701" w:type="dxa"/>
            <w:vMerge w:val="restart"/>
          </w:tcPr>
          <w:p w14:paraId="4B478A5B" w14:textId="77777777" w:rsidR="009601AE" w:rsidRPr="00690428" w:rsidRDefault="009601AE" w:rsidP="009E3730">
            <w:pPr>
              <w:widowControl w:val="0"/>
              <w:suppressAutoHyphens/>
              <w:spacing w:before="40" w:after="40"/>
              <w:jc w:val="center"/>
              <w:rPr>
                <w:b/>
                <w:bCs/>
                <w:sz w:val="20"/>
                <w:szCs w:val="20"/>
              </w:rPr>
            </w:pPr>
          </w:p>
        </w:tc>
        <w:tc>
          <w:tcPr>
            <w:tcW w:w="1559" w:type="dxa"/>
            <w:vMerge w:val="restart"/>
          </w:tcPr>
          <w:p w14:paraId="12939563" w14:textId="77777777" w:rsidR="009601AE" w:rsidRPr="00690428" w:rsidRDefault="009601AE" w:rsidP="009E3730">
            <w:pPr>
              <w:widowControl w:val="0"/>
              <w:suppressAutoHyphens/>
              <w:spacing w:before="40" w:after="40"/>
              <w:jc w:val="center"/>
              <w:rPr>
                <w:b/>
                <w:bCs/>
                <w:sz w:val="20"/>
                <w:szCs w:val="20"/>
              </w:rPr>
            </w:pPr>
          </w:p>
        </w:tc>
        <w:tc>
          <w:tcPr>
            <w:tcW w:w="5586" w:type="dxa"/>
            <w:tcBorders>
              <w:bottom w:val="nil"/>
            </w:tcBorders>
          </w:tcPr>
          <w:p w14:paraId="42D69FA7" w14:textId="77777777" w:rsidR="009601AE" w:rsidRPr="00690428" w:rsidRDefault="009601AE" w:rsidP="009E3730">
            <w:pPr>
              <w:widowControl w:val="0"/>
              <w:suppressAutoHyphens/>
              <w:spacing w:before="40" w:after="40"/>
              <w:rPr>
                <w:sz w:val="20"/>
                <w:szCs w:val="20"/>
              </w:rPr>
            </w:pPr>
            <w:r w:rsidRPr="00690428">
              <w:rPr>
                <w:sz w:val="20"/>
                <w:szCs w:val="20"/>
              </w:rPr>
              <w:t>R2.1 Enhanced matching of skills provided by the VET system with the needs of labour market</w:t>
            </w:r>
          </w:p>
        </w:tc>
        <w:tc>
          <w:tcPr>
            <w:tcW w:w="3173" w:type="dxa"/>
            <w:tcBorders>
              <w:bottom w:val="nil"/>
            </w:tcBorders>
          </w:tcPr>
          <w:p w14:paraId="3EB79559" w14:textId="77777777" w:rsidR="009601AE" w:rsidRPr="00690428" w:rsidRDefault="009601AE" w:rsidP="009E3730">
            <w:pPr>
              <w:widowControl w:val="0"/>
              <w:suppressAutoHyphens/>
              <w:spacing w:before="40" w:after="40"/>
              <w:jc w:val="center"/>
              <w:rPr>
                <w:sz w:val="20"/>
                <w:szCs w:val="20"/>
              </w:rPr>
            </w:pPr>
          </w:p>
        </w:tc>
      </w:tr>
      <w:tr w:rsidR="009601AE" w:rsidRPr="00690428" w14:paraId="71B90189" w14:textId="77777777" w:rsidTr="00C90833">
        <w:trPr>
          <w:cantSplit/>
          <w:trHeight w:val="20"/>
          <w:jc w:val="center"/>
        </w:trPr>
        <w:tc>
          <w:tcPr>
            <w:tcW w:w="1852" w:type="dxa"/>
            <w:vMerge/>
          </w:tcPr>
          <w:p w14:paraId="45BCBA9C"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744FC6D0"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338B1917"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7A4E672F"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tcBorders>
          </w:tcPr>
          <w:p w14:paraId="2CD9827E" w14:textId="77777777" w:rsidR="009601AE" w:rsidRPr="00690428" w:rsidRDefault="009601AE" w:rsidP="009E3730">
            <w:pPr>
              <w:widowControl w:val="0"/>
              <w:suppressAutoHyphens/>
              <w:spacing w:before="40" w:after="40"/>
              <w:jc w:val="left"/>
              <w:rPr>
                <w:sz w:val="20"/>
                <w:szCs w:val="20"/>
              </w:rPr>
            </w:pPr>
            <w:r w:rsidRPr="00690428">
              <w:rPr>
                <w:sz w:val="20"/>
                <w:szCs w:val="20"/>
              </w:rPr>
              <w:t>R2.1.1 At least two new VET curricula designed according to adopted approach (e.g. modular approach) and in line with the NQF and approved by the responsible government entity (ies)</w:t>
            </w:r>
          </w:p>
        </w:tc>
        <w:tc>
          <w:tcPr>
            <w:tcW w:w="3173" w:type="dxa"/>
            <w:tcBorders>
              <w:top w:val="nil"/>
            </w:tcBorders>
          </w:tcPr>
          <w:p w14:paraId="2F6FDE89" w14:textId="77777777" w:rsidR="009601AE" w:rsidRPr="00690428" w:rsidRDefault="009601AE" w:rsidP="009E3730">
            <w:pPr>
              <w:widowControl w:val="0"/>
              <w:suppressAutoHyphens/>
              <w:spacing w:before="40" w:after="40"/>
              <w:jc w:val="center"/>
              <w:rPr>
                <w:sz w:val="20"/>
                <w:szCs w:val="20"/>
              </w:rPr>
            </w:pPr>
            <w:r w:rsidRPr="00690428">
              <w:rPr>
                <w:sz w:val="20"/>
                <w:szCs w:val="20"/>
              </w:rPr>
              <w:t>Approval by National Centre for Educational Quality Enhancement or relevant body on VET curricula</w:t>
            </w:r>
          </w:p>
        </w:tc>
      </w:tr>
      <w:tr w:rsidR="009601AE" w:rsidRPr="00690428" w14:paraId="19E77D57" w14:textId="77777777" w:rsidTr="00C90833">
        <w:trPr>
          <w:cantSplit/>
          <w:trHeight w:val="379"/>
          <w:jc w:val="center"/>
        </w:trPr>
        <w:tc>
          <w:tcPr>
            <w:tcW w:w="1852" w:type="dxa"/>
            <w:vMerge w:val="restart"/>
          </w:tcPr>
          <w:p w14:paraId="617CE7D1" w14:textId="77777777" w:rsidR="009601AE" w:rsidRPr="00690428" w:rsidRDefault="009601AE" w:rsidP="009E3730">
            <w:pPr>
              <w:widowControl w:val="0"/>
              <w:suppressAutoHyphens/>
              <w:spacing w:before="40" w:after="40"/>
              <w:jc w:val="center"/>
              <w:rPr>
                <w:b/>
                <w:bCs/>
                <w:sz w:val="20"/>
                <w:szCs w:val="20"/>
              </w:rPr>
            </w:pPr>
          </w:p>
        </w:tc>
        <w:tc>
          <w:tcPr>
            <w:tcW w:w="1273" w:type="dxa"/>
            <w:vMerge w:val="restart"/>
          </w:tcPr>
          <w:p w14:paraId="0FD6314B" w14:textId="77777777" w:rsidR="009601AE" w:rsidRPr="00690428" w:rsidRDefault="009601AE" w:rsidP="009E3730">
            <w:pPr>
              <w:widowControl w:val="0"/>
              <w:suppressAutoHyphens/>
              <w:spacing w:before="40" w:after="40"/>
              <w:jc w:val="center"/>
              <w:rPr>
                <w:b/>
                <w:bCs/>
                <w:sz w:val="20"/>
                <w:szCs w:val="20"/>
              </w:rPr>
            </w:pPr>
          </w:p>
        </w:tc>
        <w:tc>
          <w:tcPr>
            <w:tcW w:w="1701" w:type="dxa"/>
            <w:vMerge w:val="restart"/>
          </w:tcPr>
          <w:p w14:paraId="272DC118" w14:textId="77777777" w:rsidR="009601AE" w:rsidRPr="00690428" w:rsidRDefault="009601AE" w:rsidP="009E3730">
            <w:pPr>
              <w:widowControl w:val="0"/>
              <w:suppressAutoHyphens/>
              <w:spacing w:before="40" w:after="40"/>
              <w:jc w:val="center"/>
              <w:rPr>
                <w:b/>
                <w:bCs/>
                <w:sz w:val="20"/>
                <w:szCs w:val="20"/>
              </w:rPr>
            </w:pPr>
          </w:p>
        </w:tc>
        <w:tc>
          <w:tcPr>
            <w:tcW w:w="1559" w:type="dxa"/>
            <w:vMerge w:val="restart"/>
          </w:tcPr>
          <w:p w14:paraId="21558E10" w14:textId="77777777" w:rsidR="009601AE" w:rsidRPr="00690428" w:rsidRDefault="009601AE" w:rsidP="009E3730">
            <w:pPr>
              <w:widowControl w:val="0"/>
              <w:suppressAutoHyphens/>
              <w:spacing w:before="40" w:after="40"/>
              <w:jc w:val="center"/>
              <w:rPr>
                <w:b/>
                <w:bCs/>
                <w:sz w:val="20"/>
                <w:szCs w:val="20"/>
              </w:rPr>
            </w:pPr>
          </w:p>
        </w:tc>
        <w:tc>
          <w:tcPr>
            <w:tcW w:w="5586" w:type="dxa"/>
            <w:tcBorders>
              <w:bottom w:val="nil"/>
            </w:tcBorders>
          </w:tcPr>
          <w:p w14:paraId="6A37B535" w14:textId="77777777" w:rsidR="009601AE" w:rsidRPr="00690428" w:rsidRDefault="009601AE" w:rsidP="009E3730">
            <w:pPr>
              <w:widowControl w:val="0"/>
              <w:suppressAutoHyphens/>
              <w:spacing w:before="40" w:after="40"/>
              <w:jc w:val="left"/>
              <w:rPr>
                <w:sz w:val="20"/>
                <w:szCs w:val="20"/>
              </w:rPr>
            </w:pPr>
            <w:r w:rsidRPr="00690428">
              <w:rPr>
                <w:sz w:val="20"/>
                <w:szCs w:val="20"/>
              </w:rPr>
              <w:t>R2.2 Improved quality of VET qualifications</w:t>
            </w:r>
          </w:p>
        </w:tc>
        <w:tc>
          <w:tcPr>
            <w:tcW w:w="3173" w:type="dxa"/>
            <w:tcBorders>
              <w:bottom w:val="nil"/>
            </w:tcBorders>
          </w:tcPr>
          <w:p w14:paraId="762F9156" w14:textId="77777777" w:rsidR="009601AE" w:rsidRPr="00690428" w:rsidRDefault="009601AE" w:rsidP="009E3730">
            <w:pPr>
              <w:widowControl w:val="0"/>
              <w:suppressAutoHyphens/>
              <w:spacing w:before="40" w:after="40"/>
              <w:jc w:val="left"/>
              <w:rPr>
                <w:sz w:val="20"/>
                <w:szCs w:val="20"/>
              </w:rPr>
            </w:pPr>
          </w:p>
        </w:tc>
      </w:tr>
      <w:tr w:rsidR="009601AE" w:rsidRPr="00690428" w14:paraId="0668DF1D" w14:textId="77777777" w:rsidTr="00C90833">
        <w:trPr>
          <w:cantSplit/>
          <w:trHeight w:val="70"/>
          <w:jc w:val="center"/>
        </w:trPr>
        <w:tc>
          <w:tcPr>
            <w:tcW w:w="1852" w:type="dxa"/>
            <w:vMerge/>
          </w:tcPr>
          <w:p w14:paraId="60C03810"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4933A643"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5D7E3A1F"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4E8892AC"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bottom w:val="nil"/>
            </w:tcBorders>
          </w:tcPr>
          <w:p w14:paraId="686FC166" w14:textId="77777777" w:rsidR="009601AE" w:rsidRPr="00690428" w:rsidRDefault="009601AE" w:rsidP="009E3730">
            <w:pPr>
              <w:widowControl w:val="0"/>
              <w:suppressAutoHyphens/>
              <w:spacing w:before="40" w:after="40"/>
              <w:jc w:val="left"/>
              <w:rPr>
                <w:sz w:val="20"/>
                <w:szCs w:val="20"/>
              </w:rPr>
            </w:pPr>
            <w:r w:rsidRPr="00690428">
              <w:rPr>
                <w:sz w:val="20"/>
                <w:szCs w:val="20"/>
              </w:rPr>
              <w:t>R2.2.1 At least 30% of VET teachers participate in planned teacher professional development programmes / actions</w:t>
            </w:r>
          </w:p>
        </w:tc>
        <w:tc>
          <w:tcPr>
            <w:tcW w:w="3173" w:type="dxa"/>
            <w:tcBorders>
              <w:top w:val="nil"/>
              <w:bottom w:val="nil"/>
            </w:tcBorders>
          </w:tcPr>
          <w:p w14:paraId="225B5BFE" w14:textId="77777777" w:rsidR="009601AE" w:rsidRPr="00690428" w:rsidRDefault="009601AE" w:rsidP="009E3730">
            <w:pPr>
              <w:widowControl w:val="0"/>
              <w:suppressAutoHyphens/>
              <w:spacing w:before="40" w:after="40"/>
              <w:jc w:val="left"/>
              <w:rPr>
                <w:sz w:val="20"/>
                <w:szCs w:val="20"/>
              </w:rPr>
            </w:pPr>
            <w:r w:rsidRPr="00690428">
              <w:rPr>
                <w:sz w:val="20"/>
                <w:szCs w:val="20"/>
              </w:rPr>
              <w:t>Report from VET Teachers' Professional Development Centre (TPDC)</w:t>
            </w:r>
          </w:p>
          <w:p w14:paraId="25E4F55E" w14:textId="77777777" w:rsidR="009601AE" w:rsidRPr="00690428" w:rsidRDefault="009601AE" w:rsidP="009E3730">
            <w:pPr>
              <w:widowControl w:val="0"/>
              <w:suppressAutoHyphens/>
              <w:spacing w:before="40" w:after="40"/>
              <w:jc w:val="left"/>
              <w:rPr>
                <w:sz w:val="20"/>
                <w:szCs w:val="20"/>
              </w:rPr>
            </w:pPr>
            <w:r w:rsidRPr="00690428">
              <w:rPr>
                <w:sz w:val="20"/>
                <w:szCs w:val="20"/>
              </w:rPr>
              <w:t>Post-training questionnaires Ministerial Decision</w:t>
            </w:r>
          </w:p>
          <w:p w14:paraId="5BA5E5AC" w14:textId="77777777" w:rsidR="009601AE" w:rsidRPr="00690428" w:rsidRDefault="009601AE" w:rsidP="009E3730">
            <w:pPr>
              <w:widowControl w:val="0"/>
              <w:suppressAutoHyphens/>
              <w:spacing w:before="40" w:after="40"/>
              <w:jc w:val="left"/>
              <w:rPr>
                <w:sz w:val="20"/>
                <w:szCs w:val="20"/>
                <w:lang w:val="ru-RU"/>
              </w:rPr>
            </w:pPr>
            <w:r w:rsidRPr="00690428">
              <w:rPr>
                <w:sz w:val="20"/>
                <w:szCs w:val="20"/>
              </w:rPr>
              <w:t>Online catalogue of occupational Standards</w:t>
            </w:r>
          </w:p>
        </w:tc>
      </w:tr>
      <w:tr w:rsidR="009601AE" w:rsidRPr="00690428" w14:paraId="1A226700" w14:textId="77777777" w:rsidTr="00C90833">
        <w:trPr>
          <w:cantSplit/>
          <w:trHeight w:val="20"/>
          <w:jc w:val="center"/>
        </w:trPr>
        <w:tc>
          <w:tcPr>
            <w:tcW w:w="1852" w:type="dxa"/>
            <w:vMerge/>
          </w:tcPr>
          <w:p w14:paraId="00441708"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4F3449EC"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2404CF89"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679A72BD"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tcBorders>
          </w:tcPr>
          <w:p w14:paraId="2B30B0CD" w14:textId="77777777" w:rsidR="009601AE" w:rsidRPr="00690428" w:rsidRDefault="009601AE" w:rsidP="009E3730">
            <w:pPr>
              <w:widowControl w:val="0"/>
              <w:suppressAutoHyphens/>
              <w:spacing w:before="40" w:after="40"/>
              <w:jc w:val="left"/>
              <w:rPr>
                <w:sz w:val="20"/>
                <w:szCs w:val="20"/>
              </w:rPr>
            </w:pPr>
            <w:r w:rsidRPr="00690428">
              <w:rPr>
                <w:sz w:val="20"/>
                <w:szCs w:val="20"/>
              </w:rPr>
              <w:t>R2.2.2 Revised NQF takes into consideration formal and non-formal learning, and includes updated list of vocational qualifications. An improved online catalogue of occupational Standards is approved and published, and disseminated for users</w:t>
            </w:r>
          </w:p>
        </w:tc>
        <w:tc>
          <w:tcPr>
            <w:tcW w:w="3173" w:type="dxa"/>
            <w:tcBorders>
              <w:top w:val="nil"/>
            </w:tcBorders>
          </w:tcPr>
          <w:p w14:paraId="05FB70C8" w14:textId="77777777" w:rsidR="009601AE" w:rsidRPr="00690428" w:rsidRDefault="009601AE" w:rsidP="009E3730">
            <w:pPr>
              <w:widowControl w:val="0"/>
              <w:suppressAutoHyphens/>
              <w:spacing w:before="40" w:after="40"/>
              <w:jc w:val="left"/>
              <w:rPr>
                <w:sz w:val="20"/>
                <w:szCs w:val="20"/>
              </w:rPr>
            </w:pPr>
            <w:r w:rsidRPr="00690428">
              <w:rPr>
                <w:sz w:val="20"/>
                <w:szCs w:val="20"/>
              </w:rPr>
              <w:t>Information on NQF developments for users (Media, minutes of meetings and others)</w:t>
            </w:r>
          </w:p>
        </w:tc>
      </w:tr>
      <w:tr w:rsidR="009601AE" w:rsidRPr="00690428" w14:paraId="1613F7B8" w14:textId="77777777" w:rsidTr="00C90833">
        <w:trPr>
          <w:trHeight w:val="20"/>
          <w:jc w:val="center"/>
        </w:trPr>
        <w:tc>
          <w:tcPr>
            <w:tcW w:w="15144" w:type="dxa"/>
            <w:gridSpan w:val="6"/>
          </w:tcPr>
          <w:p w14:paraId="34D62346" w14:textId="77777777" w:rsidR="009601AE" w:rsidRPr="00690428" w:rsidRDefault="009601AE" w:rsidP="009E3730">
            <w:pPr>
              <w:widowControl w:val="0"/>
              <w:suppressAutoHyphens/>
              <w:spacing w:before="40" w:after="40"/>
              <w:rPr>
                <w:sz w:val="20"/>
                <w:szCs w:val="20"/>
              </w:rPr>
            </w:pPr>
            <w:r w:rsidRPr="00690428">
              <w:rPr>
                <w:sz w:val="20"/>
                <w:szCs w:val="20"/>
              </w:rPr>
              <w:t>COMPONENT 3: EFFICIENT TRANSITION FROM TRAINING INTO EMPLOYMENT</w:t>
            </w:r>
          </w:p>
        </w:tc>
      </w:tr>
      <w:tr w:rsidR="009601AE" w:rsidRPr="00690428" w14:paraId="480E5236" w14:textId="77777777" w:rsidTr="00C90833">
        <w:trPr>
          <w:cantSplit/>
          <w:trHeight w:val="20"/>
          <w:jc w:val="center"/>
        </w:trPr>
        <w:tc>
          <w:tcPr>
            <w:tcW w:w="1852" w:type="dxa"/>
            <w:vMerge w:val="restart"/>
          </w:tcPr>
          <w:p w14:paraId="171305AB" w14:textId="77777777" w:rsidR="009601AE" w:rsidRPr="00690428" w:rsidRDefault="009601AE" w:rsidP="009E3730">
            <w:pPr>
              <w:widowControl w:val="0"/>
              <w:suppressAutoHyphens/>
              <w:spacing w:before="40" w:after="40"/>
              <w:jc w:val="center"/>
              <w:rPr>
                <w:b/>
                <w:bCs/>
                <w:sz w:val="20"/>
                <w:szCs w:val="20"/>
              </w:rPr>
            </w:pPr>
          </w:p>
        </w:tc>
        <w:tc>
          <w:tcPr>
            <w:tcW w:w="1273" w:type="dxa"/>
            <w:vMerge w:val="restart"/>
          </w:tcPr>
          <w:p w14:paraId="4FCD30F6" w14:textId="77777777" w:rsidR="009601AE" w:rsidRPr="00690428" w:rsidRDefault="009601AE" w:rsidP="009E3730">
            <w:pPr>
              <w:widowControl w:val="0"/>
              <w:suppressAutoHyphens/>
              <w:spacing w:before="40" w:after="40"/>
              <w:jc w:val="center"/>
              <w:rPr>
                <w:b/>
                <w:bCs/>
                <w:sz w:val="20"/>
                <w:szCs w:val="20"/>
              </w:rPr>
            </w:pPr>
          </w:p>
        </w:tc>
        <w:tc>
          <w:tcPr>
            <w:tcW w:w="1701" w:type="dxa"/>
            <w:vMerge w:val="restart"/>
          </w:tcPr>
          <w:p w14:paraId="0DDC1DEB" w14:textId="77777777" w:rsidR="009601AE" w:rsidRPr="00690428" w:rsidRDefault="009601AE" w:rsidP="009E3730">
            <w:pPr>
              <w:widowControl w:val="0"/>
              <w:suppressAutoHyphens/>
              <w:spacing w:before="40" w:after="40"/>
              <w:jc w:val="center"/>
              <w:rPr>
                <w:b/>
                <w:bCs/>
                <w:sz w:val="20"/>
                <w:szCs w:val="20"/>
              </w:rPr>
            </w:pPr>
          </w:p>
        </w:tc>
        <w:tc>
          <w:tcPr>
            <w:tcW w:w="1559" w:type="dxa"/>
            <w:vMerge w:val="restart"/>
          </w:tcPr>
          <w:p w14:paraId="50747DF6" w14:textId="77777777" w:rsidR="009601AE" w:rsidRPr="00690428" w:rsidRDefault="009601AE" w:rsidP="009E3730">
            <w:pPr>
              <w:widowControl w:val="0"/>
              <w:suppressAutoHyphens/>
              <w:spacing w:before="40" w:after="40"/>
              <w:jc w:val="center"/>
              <w:rPr>
                <w:b/>
                <w:bCs/>
                <w:sz w:val="20"/>
                <w:szCs w:val="20"/>
              </w:rPr>
            </w:pPr>
          </w:p>
        </w:tc>
        <w:tc>
          <w:tcPr>
            <w:tcW w:w="5586" w:type="dxa"/>
            <w:tcBorders>
              <w:bottom w:val="nil"/>
            </w:tcBorders>
          </w:tcPr>
          <w:p w14:paraId="20112C0C" w14:textId="77777777" w:rsidR="009601AE" w:rsidRPr="00690428" w:rsidRDefault="009601AE" w:rsidP="009E3730">
            <w:pPr>
              <w:widowControl w:val="0"/>
              <w:suppressAutoHyphens/>
              <w:spacing w:before="40" w:after="40"/>
              <w:jc w:val="left"/>
              <w:rPr>
                <w:sz w:val="20"/>
                <w:szCs w:val="20"/>
              </w:rPr>
            </w:pPr>
            <w:r w:rsidRPr="00690428">
              <w:rPr>
                <w:sz w:val="20"/>
                <w:szCs w:val="20"/>
              </w:rPr>
              <w:t>R3.1. Efficient transition from training to employment</w:t>
            </w:r>
          </w:p>
        </w:tc>
        <w:tc>
          <w:tcPr>
            <w:tcW w:w="3173" w:type="dxa"/>
            <w:tcBorders>
              <w:bottom w:val="nil"/>
            </w:tcBorders>
          </w:tcPr>
          <w:p w14:paraId="4DD38E7E" w14:textId="77777777" w:rsidR="009601AE" w:rsidRPr="00690428" w:rsidRDefault="009601AE" w:rsidP="009E3730">
            <w:pPr>
              <w:widowControl w:val="0"/>
              <w:suppressAutoHyphens/>
              <w:spacing w:before="40" w:after="40"/>
              <w:jc w:val="center"/>
              <w:rPr>
                <w:sz w:val="20"/>
                <w:szCs w:val="20"/>
              </w:rPr>
            </w:pPr>
          </w:p>
        </w:tc>
      </w:tr>
      <w:tr w:rsidR="009601AE" w:rsidRPr="00690428" w14:paraId="7A49B9AB" w14:textId="77777777" w:rsidTr="00C90833">
        <w:trPr>
          <w:cantSplit/>
          <w:trHeight w:val="20"/>
          <w:jc w:val="center"/>
        </w:trPr>
        <w:tc>
          <w:tcPr>
            <w:tcW w:w="1852" w:type="dxa"/>
            <w:vMerge/>
          </w:tcPr>
          <w:p w14:paraId="6874C4AC"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62A9D944"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2900FD4A"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2601D5D4"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bottom w:val="nil"/>
            </w:tcBorders>
          </w:tcPr>
          <w:p w14:paraId="2F74E69B" w14:textId="77777777" w:rsidR="009601AE" w:rsidRPr="00690428" w:rsidRDefault="009601AE" w:rsidP="009E3730">
            <w:pPr>
              <w:widowControl w:val="0"/>
              <w:suppressAutoHyphens/>
              <w:spacing w:before="40" w:after="40"/>
              <w:jc w:val="left"/>
              <w:rPr>
                <w:sz w:val="20"/>
                <w:szCs w:val="20"/>
              </w:rPr>
            </w:pPr>
            <w:r w:rsidRPr="00690428">
              <w:rPr>
                <w:sz w:val="20"/>
                <w:szCs w:val="20"/>
              </w:rPr>
              <w:t>R3.1.1 Career Guidance and counselling manual available through dedicated web portal</w:t>
            </w:r>
          </w:p>
        </w:tc>
        <w:tc>
          <w:tcPr>
            <w:tcW w:w="3173" w:type="dxa"/>
            <w:tcBorders>
              <w:top w:val="nil"/>
              <w:bottom w:val="nil"/>
            </w:tcBorders>
          </w:tcPr>
          <w:p w14:paraId="32BF91D0" w14:textId="77777777" w:rsidR="009601AE" w:rsidRPr="00690428" w:rsidRDefault="009601AE" w:rsidP="009E3730">
            <w:pPr>
              <w:widowControl w:val="0"/>
              <w:suppressAutoHyphens/>
              <w:spacing w:before="40" w:after="40"/>
              <w:jc w:val="center"/>
              <w:rPr>
                <w:sz w:val="20"/>
                <w:szCs w:val="20"/>
              </w:rPr>
            </w:pPr>
            <w:r w:rsidRPr="00690428">
              <w:rPr>
                <w:sz w:val="20"/>
                <w:szCs w:val="20"/>
              </w:rPr>
              <w:t>Web portal Reports from pilot institutions</w:t>
            </w:r>
          </w:p>
        </w:tc>
      </w:tr>
      <w:tr w:rsidR="009601AE" w:rsidRPr="00690428" w14:paraId="6F0E0C9A" w14:textId="77777777" w:rsidTr="00C90833">
        <w:trPr>
          <w:cantSplit/>
          <w:trHeight w:val="20"/>
          <w:jc w:val="center"/>
        </w:trPr>
        <w:tc>
          <w:tcPr>
            <w:tcW w:w="1852" w:type="dxa"/>
            <w:vMerge/>
          </w:tcPr>
          <w:p w14:paraId="7964BE8B"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28EECA37"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6BD07339"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36E14A58"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tcBorders>
          </w:tcPr>
          <w:p w14:paraId="7BEDD686" w14:textId="77777777" w:rsidR="009601AE" w:rsidRPr="00690428" w:rsidRDefault="009601AE" w:rsidP="009E3730">
            <w:pPr>
              <w:widowControl w:val="0"/>
              <w:suppressAutoHyphens/>
              <w:spacing w:before="40" w:after="40"/>
              <w:jc w:val="left"/>
              <w:rPr>
                <w:sz w:val="20"/>
                <w:szCs w:val="20"/>
              </w:rPr>
            </w:pPr>
            <w:r w:rsidRPr="00690428">
              <w:rPr>
                <w:sz w:val="20"/>
                <w:szCs w:val="20"/>
              </w:rPr>
              <w:t>R3.1. 2 New career guidance and counselling scheme piloted in at least 18 public VET institutions and 5 centres of ESS</w:t>
            </w:r>
          </w:p>
        </w:tc>
        <w:tc>
          <w:tcPr>
            <w:tcW w:w="3173" w:type="dxa"/>
            <w:tcBorders>
              <w:top w:val="nil"/>
            </w:tcBorders>
          </w:tcPr>
          <w:p w14:paraId="6E4BDA99" w14:textId="77777777" w:rsidR="009601AE" w:rsidRPr="00690428" w:rsidRDefault="009601AE" w:rsidP="009E3730">
            <w:pPr>
              <w:widowControl w:val="0"/>
              <w:suppressAutoHyphens/>
              <w:spacing w:before="40" w:after="40"/>
              <w:jc w:val="center"/>
              <w:rPr>
                <w:sz w:val="20"/>
                <w:szCs w:val="20"/>
              </w:rPr>
            </w:pPr>
            <w:r w:rsidRPr="00690428">
              <w:rPr>
                <w:sz w:val="20"/>
                <w:szCs w:val="20"/>
              </w:rPr>
              <w:t>MoLHSA and MoES Annual Reports</w:t>
            </w:r>
          </w:p>
        </w:tc>
      </w:tr>
      <w:tr w:rsidR="009601AE" w:rsidRPr="00690428" w14:paraId="1B35F481" w14:textId="77777777" w:rsidTr="00C90833">
        <w:trPr>
          <w:cantSplit/>
          <w:trHeight w:val="20"/>
          <w:jc w:val="center"/>
        </w:trPr>
        <w:tc>
          <w:tcPr>
            <w:tcW w:w="1852" w:type="dxa"/>
            <w:vMerge w:val="restart"/>
          </w:tcPr>
          <w:p w14:paraId="090654E1" w14:textId="77777777" w:rsidR="009601AE" w:rsidRPr="00690428" w:rsidRDefault="009601AE" w:rsidP="009E3730">
            <w:pPr>
              <w:widowControl w:val="0"/>
              <w:suppressAutoHyphens/>
              <w:spacing w:before="40" w:after="40"/>
              <w:jc w:val="center"/>
              <w:rPr>
                <w:b/>
                <w:bCs/>
                <w:sz w:val="20"/>
                <w:szCs w:val="20"/>
              </w:rPr>
            </w:pPr>
          </w:p>
        </w:tc>
        <w:tc>
          <w:tcPr>
            <w:tcW w:w="1273" w:type="dxa"/>
            <w:vMerge w:val="restart"/>
          </w:tcPr>
          <w:p w14:paraId="52F2E2A0" w14:textId="77777777" w:rsidR="009601AE" w:rsidRPr="00690428" w:rsidRDefault="009601AE" w:rsidP="009E3730">
            <w:pPr>
              <w:widowControl w:val="0"/>
              <w:suppressAutoHyphens/>
              <w:spacing w:before="40" w:after="40"/>
              <w:jc w:val="center"/>
              <w:rPr>
                <w:b/>
                <w:bCs/>
                <w:sz w:val="20"/>
                <w:szCs w:val="20"/>
              </w:rPr>
            </w:pPr>
          </w:p>
        </w:tc>
        <w:tc>
          <w:tcPr>
            <w:tcW w:w="1701" w:type="dxa"/>
            <w:vMerge w:val="restart"/>
          </w:tcPr>
          <w:p w14:paraId="4AECF861" w14:textId="77777777" w:rsidR="009601AE" w:rsidRPr="00690428" w:rsidRDefault="009601AE" w:rsidP="009E3730">
            <w:pPr>
              <w:widowControl w:val="0"/>
              <w:suppressAutoHyphens/>
              <w:spacing w:before="40" w:after="40"/>
              <w:jc w:val="center"/>
              <w:rPr>
                <w:b/>
                <w:bCs/>
                <w:sz w:val="20"/>
                <w:szCs w:val="20"/>
              </w:rPr>
            </w:pPr>
          </w:p>
        </w:tc>
        <w:tc>
          <w:tcPr>
            <w:tcW w:w="1559" w:type="dxa"/>
            <w:vMerge w:val="restart"/>
          </w:tcPr>
          <w:p w14:paraId="00017C6E" w14:textId="77777777" w:rsidR="009601AE" w:rsidRPr="00690428" w:rsidRDefault="009601AE" w:rsidP="009E3730">
            <w:pPr>
              <w:widowControl w:val="0"/>
              <w:suppressAutoHyphens/>
              <w:spacing w:before="40" w:after="40"/>
              <w:jc w:val="center"/>
              <w:rPr>
                <w:b/>
                <w:bCs/>
                <w:sz w:val="20"/>
                <w:szCs w:val="20"/>
              </w:rPr>
            </w:pPr>
          </w:p>
        </w:tc>
        <w:tc>
          <w:tcPr>
            <w:tcW w:w="5586" w:type="dxa"/>
            <w:tcBorders>
              <w:bottom w:val="nil"/>
            </w:tcBorders>
          </w:tcPr>
          <w:p w14:paraId="540F3D9C" w14:textId="77777777" w:rsidR="009601AE" w:rsidRPr="00690428" w:rsidRDefault="009601AE" w:rsidP="009E3730">
            <w:pPr>
              <w:widowControl w:val="0"/>
              <w:suppressAutoHyphens/>
              <w:spacing w:before="40" w:after="40"/>
              <w:jc w:val="left"/>
              <w:rPr>
                <w:sz w:val="20"/>
                <w:szCs w:val="20"/>
              </w:rPr>
            </w:pPr>
            <w:r w:rsidRPr="00690428">
              <w:rPr>
                <w:sz w:val="20"/>
                <w:szCs w:val="20"/>
              </w:rPr>
              <w:t>R3.2 Increased awareness of VET amongst potential students and employers</w:t>
            </w:r>
          </w:p>
        </w:tc>
        <w:tc>
          <w:tcPr>
            <w:tcW w:w="3173" w:type="dxa"/>
            <w:tcBorders>
              <w:bottom w:val="nil"/>
            </w:tcBorders>
          </w:tcPr>
          <w:p w14:paraId="67BB659C" w14:textId="77777777" w:rsidR="009601AE" w:rsidRPr="00690428" w:rsidRDefault="009601AE" w:rsidP="009E3730">
            <w:pPr>
              <w:widowControl w:val="0"/>
              <w:suppressAutoHyphens/>
              <w:spacing w:before="40" w:after="40"/>
              <w:jc w:val="left"/>
              <w:rPr>
                <w:sz w:val="20"/>
                <w:szCs w:val="20"/>
              </w:rPr>
            </w:pPr>
          </w:p>
        </w:tc>
      </w:tr>
      <w:tr w:rsidR="009601AE" w:rsidRPr="00690428" w14:paraId="2ED0227F" w14:textId="77777777" w:rsidTr="00C90833">
        <w:trPr>
          <w:cantSplit/>
          <w:trHeight w:val="20"/>
          <w:jc w:val="center"/>
        </w:trPr>
        <w:tc>
          <w:tcPr>
            <w:tcW w:w="1852" w:type="dxa"/>
            <w:vMerge/>
          </w:tcPr>
          <w:p w14:paraId="7FF1C2BD"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78C8D09B"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4AF7C591"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1E631DE0"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bottom w:val="nil"/>
            </w:tcBorders>
          </w:tcPr>
          <w:p w14:paraId="5B7DD7D1" w14:textId="77777777" w:rsidR="009601AE" w:rsidRPr="00690428" w:rsidRDefault="009601AE" w:rsidP="009E3730">
            <w:pPr>
              <w:widowControl w:val="0"/>
              <w:suppressAutoHyphens/>
              <w:spacing w:before="40" w:after="40"/>
              <w:jc w:val="left"/>
              <w:rPr>
                <w:sz w:val="20"/>
                <w:szCs w:val="20"/>
              </w:rPr>
            </w:pPr>
            <w:r w:rsidRPr="00690428">
              <w:rPr>
                <w:sz w:val="20"/>
                <w:szCs w:val="20"/>
              </w:rPr>
              <w:t>R3.2.1. Increased number of VET applicants over the period by 5% comparing to baseline data of 31.12.2013</w:t>
            </w:r>
          </w:p>
        </w:tc>
        <w:tc>
          <w:tcPr>
            <w:tcW w:w="3173" w:type="dxa"/>
            <w:tcBorders>
              <w:top w:val="nil"/>
              <w:bottom w:val="nil"/>
            </w:tcBorders>
          </w:tcPr>
          <w:p w14:paraId="05CD44AC" w14:textId="77777777" w:rsidR="009601AE" w:rsidRPr="00690428" w:rsidRDefault="009601AE" w:rsidP="009E3730">
            <w:pPr>
              <w:widowControl w:val="0"/>
              <w:suppressAutoHyphens/>
              <w:spacing w:before="40" w:after="40"/>
              <w:jc w:val="left"/>
              <w:rPr>
                <w:sz w:val="20"/>
                <w:szCs w:val="20"/>
              </w:rPr>
            </w:pPr>
            <w:r w:rsidRPr="00690428">
              <w:rPr>
                <w:sz w:val="20"/>
                <w:szCs w:val="20"/>
              </w:rPr>
              <w:t>Data on VET applicants</w:t>
            </w:r>
          </w:p>
        </w:tc>
      </w:tr>
      <w:tr w:rsidR="009601AE" w:rsidRPr="00690428" w14:paraId="6858B199" w14:textId="77777777" w:rsidTr="00C90833">
        <w:trPr>
          <w:cantSplit/>
          <w:trHeight w:val="20"/>
          <w:jc w:val="center"/>
        </w:trPr>
        <w:tc>
          <w:tcPr>
            <w:tcW w:w="1852" w:type="dxa"/>
            <w:vMerge/>
          </w:tcPr>
          <w:p w14:paraId="01C83BD4"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79ABF7BF"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554C6262"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6E672E14"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tcBorders>
          </w:tcPr>
          <w:p w14:paraId="075FA55D" w14:textId="77777777" w:rsidR="009601AE" w:rsidRPr="00690428" w:rsidRDefault="009601AE" w:rsidP="009E3730">
            <w:pPr>
              <w:widowControl w:val="0"/>
              <w:suppressAutoHyphens/>
              <w:spacing w:before="40" w:after="40"/>
              <w:jc w:val="left"/>
              <w:rPr>
                <w:sz w:val="20"/>
                <w:szCs w:val="20"/>
              </w:rPr>
            </w:pPr>
            <w:r w:rsidRPr="00690428">
              <w:rPr>
                <w:sz w:val="20"/>
                <w:szCs w:val="20"/>
              </w:rPr>
              <w:t>R3.2.2 Positive feedback on VET qualifications amongst mployers</w:t>
            </w:r>
          </w:p>
        </w:tc>
        <w:tc>
          <w:tcPr>
            <w:tcW w:w="3173" w:type="dxa"/>
            <w:tcBorders>
              <w:top w:val="nil"/>
            </w:tcBorders>
          </w:tcPr>
          <w:p w14:paraId="7B578A11" w14:textId="77777777" w:rsidR="009601AE" w:rsidRPr="00690428" w:rsidRDefault="009601AE" w:rsidP="009E3730">
            <w:pPr>
              <w:widowControl w:val="0"/>
              <w:suppressAutoHyphens/>
              <w:spacing w:before="40" w:after="40"/>
              <w:jc w:val="left"/>
              <w:rPr>
                <w:sz w:val="20"/>
                <w:szCs w:val="20"/>
              </w:rPr>
            </w:pPr>
            <w:r w:rsidRPr="00690428">
              <w:rPr>
                <w:sz w:val="20"/>
                <w:szCs w:val="20"/>
              </w:rPr>
              <w:t>Feedback from social Partners, VET providers</w:t>
            </w:r>
          </w:p>
        </w:tc>
      </w:tr>
      <w:tr w:rsidR="009601AE" w:rsidRPr="00690428" w14:paraId="1251F685" w14:textId="77777777" w:rsidTr="00C90833">
        <w:trPr>
          <w:cantSplit/>
          <w:trHeight w:val="20"/>
          <w:jc w:val="center"/>
        </w:trPr>
        <w:tc>
          <w:tcPr>
            <w:tcW w:w="1852" w:type="dxa"/>
            <w:vMerge w:val="restart"/>
          </w:tcPr>
          <w:p w14:paraId="2DA22B80" w14:textId="77777777" w:rsidR="009601AE" w:rsidRPr="00690428" w:rsidRDefault="009601AE" w:rsidP="009E3730">
            <w:pPr>
              <w:widowControl w:val="0"/>
              <w:suppressAutoHyphens/>
              <w:spacing w:before="40" w:after="40"/>
              <w:jc w:val="center"/>
              <w:rPr>
                <w:b/>
                <w:bCs/>
                <w:sz w:val="20"/>
                <w:szCs w:val="20"/>
              </w:rPr>
            </w:pPr>
          </w:p>
        </w:tc>
        <w:tc>
          <w:tcPr>
            <w:tcW w:w="1273" w:type="dxa"/>
            <w:vMerge w:val="restart"/>
          </w:tcPr>
          <w:p w14:paraId="416B9D13" w14:textId="77777777" w:rsidR="009601AE" w:rsidRPr="00690428" w:rsidRDefault="009601AE" w:rsidP="009E3730">
            <w:pPr>
              <w:widowControl w:val="0"/>
              <w:suppressAutoHyphens/>
              <w:spacing w:before="40" w:after="40"/>
              <w:jc w:val="center"/>
              <w:rPr>
                <w:b/>
                <w:bCs/>
                <w:sz w:val="20"/>
                <w:szCs w:val="20"/>
              </w:rPr>
            </w:pPr>
          </w:p>
        </w:tc>
        <w:tc>
          <w:tcPr>
            <w:tcW w:w="1701" w:type="dxa"/>
            <w:vMerge w:val="restart"/>
          </w:tcPr>
          <w:p w14:paraId="5875B7FE" w14:textId="77777777" w:rsidR="009601AE" w:rsidRPr="00690428" w:rsidRDefault="009601AE" w:rsidP="009E3730">
            <w:pPr>
              <w:widowControl w:val="0"/>
              <w:suppressAutoHyphens/>
              <w:spacing w:before="40" w:after="40"/>
              <w:jc w:val="center"/>
              <w:rPr>
                <w:b/>
                <w:bCs/>
                <w:sz w:val="20"/>
                <w:szCs w:val="20"/>
              </w:rPr>
            </w:pPr>
          </w:p>
        </w:tc>
        <w:tc>
          <w:tcPr>
            <w:tcW w:w="1559" w:type="dxa"/>
            <w:vMerge w:val="restart"/>
          </w:tcPr>
          <w:p w14:paraId="3720802A" w14:textId="77777777" w:rsidR="009601AE" w:rsidRPr="00690428" w:rsidRDefault="009601AE" w:rsidP="009E3730">
            <w:pPr>
              <w:widowControl w:val="0"/>
              <w:suppressAutoHyphens/>
              <w:spacing w:before="40" w:after="40"/>
              <w:jc w:val="center"/>
              <w:rPr>
                <w:b/>
                <w:bCs/>
                <w:sz w:val="20"/>
                <w:szCs w:val="20"/>
              </w:rPr>
            </w:pPr>
          </w:p>
        </w:tc>
        <w:tc>
          <w:tcPr>
            <w:tcW w:w="5586" w:type="dxa"/>
            <w:tcBorders>
              <w:bottom w:val="nil"/>
            </w:tcBorders>
          </w:tcPr>
          <w:p w14:paraId="74E18C84" w14:textId="77777777" w:rsidR="009601AE" w:rsidRPr="00690428" w:rsidRDefault="009601AE" w:rsidP="009E3730">
            <w:pPr>
              <w:widowControl w:val="0"/>
              <w:suppressAutoHyphens/>
              <w:spacing w:before="40" w:after="40"/>
              <w:jc w:val="left"/>
              <w:rPr>
                <w:sz w:val="20"/>
                <w:szCs w:val="20"/>
              </w:rPr>
            </w:pPr>
            <w:r w:rsidRPr="00690428">
              <w:rPr>
                <w:sz w:val="20"/>
                <w:szCs w:val="20"/>
              </w:rPr>
              <w:t>R3.3 Enhanced social partnership</w:t>
            </w:r>
          </w:p>
        </w:tc>
        <w:tc>
          <w:tcPr>
            <w:tcW w:w="3173" w:type="dxa"/>
            <w:tcBorders>
              <w:bottom w:val="nil"/>
            </w:tcBorders>
          </w:tcPr>
          <w:p w14:paraId="0BD8AC2D" w14:textId="77777777" w:rsidR="009601AE" w:rsidRPr="00690428" w:rsidRDefault="009601AE" w:rsidP="009E3730">
            <w:pPr>
              <w:widowControl w:val="0"/>
              <w:suppressAutoHyphens/>
              <w:spacing w:before="40" w:after="40"/>
              <w:jc w:val="left"/>
              <w:rPr>
                <w:sz w:val="20"/>
                <w:szCs w:val="20"/>
              </w:rPr>
            </w:pPr>
          </w:p>
        </w:tc>
      </w:tr>
      <w:tr w:rsidR="009601AE" w:rsidRPr="00690428" w14:paraId="105E0B58" w14:textId="77777777" w:rsidTr="00C90833">
        <w:trPr>
          <w:cantSplit/>
          <w:trHeight w:val="20"/>
          <w:jc w:val="center"/>
        </w:trPr>
        <w:tc>
          <w:tcPr>
            <w:tcW w:w="1852" w:type="dxa"/>
            <w:vMerge/>
          </w:tcPr>
          <w:p w14:paraId="6D6AFA52"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3C1209DC"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1B111052"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78ABD3A1"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bottom w:val="nil"/>
            </w:tcBorders>
          </w:tcPr>
          <w:p w14:paraId="72E2D061" w14:textId="77777777" w:rsidR="009601AE" w:rsidRPr="00690428" w:rsidRDefault="009601AE" w:rsidP="009E3730">
            <w:pPr>
              <w:widowControl w:val="0"/>
              <w:suppressAutoHyphens/>
              <w:spacing w:before="40" w:after="40"/>
              <w:jc w:val="left"/>
              <w:rPr>
                <w:sz w:val="20"/>
                <w:szCs w:val="20"/>
              </w:rPr>
            </w:pPr>
            <w:r w:rsidRPr="00690428">
              <w:rPr>
                <w:sz w:val="20"/>
                <w:szCs w:val="20"/>
              </w:rPr>
              <w:t>R3.3.1 Concept for the development of elements of work-based learning (WBL) in the national context is elaborated, published and discussed with stakeholders (including at least: objectives, forms of WBL, online access to list of WBL opportunities for learners and businesses, mentoring in-companies, learners’ assessment, link with employment, monitoring)</w:t>
            </w:r>
          </w:p>
        </w:tc>
        <w:tc>
          <w:tcPr>
            <w:tcW w:w="3173" w:type="dxa"/>
            <w:tcBorders>
              <w:top w:val="nil"/>
              <w:bottom w:val="nil"/>
            </w:tcBorders>
          </w:tcPr>
          <w:p w14:paraId="0261140D" w14:textId="77777777" w:rsidR="009601AE" w:rsidRPr="00690428" w:rsidRDefault="009601AE" w:rsidP="009E3730">
            <w:pPr>
              <w:widowControl w:val="0"/>
              <w:suppressAutoHyphens/>
              <w:spacing w:before="40" w:after="40"/>
              <w:jc w:val="left"/>
              <w:rPr>
                <w:sz w:val="20"/>
                <w:szCs w:val="20"/>
              </w:rPr>
            </w:pPr>
            <w:r w:rsidRPr="00690428">
              <w:rPr>
                <w:sz w:val="20"/>
                <w:szCs w:val="20"/>
              </w:rPr>
              <w:t>Ministerial Decision approving Concept for elements of work- based learning</w:t>
            </w:r>
          </w:p>
          <w:p w14:paraId="614ADF1B" w14:textId="77777777" w:rsidR="009601AE" w:rsidRPr="00690428" w:rsidRDefault="009601AE" w:rsidP="009E3730">
            <w:pPr>
              <w:widowControl w:val="0"/>
              <w:suppressAutoHyphens/>
              <w:spacing w:before="40" w:after="40"/>
              <w:jc w:val="left"/>
              <w:rPr>
                <w:sz w:val="20"/>
                <w:szCs w:val="20"/>
              </w:rPr>
            </w:pPr>
            <w:r w:rsidRPr="00690428">
              <w:rPr>
                <w:sz w:val="20"/>
                <w:szCs w:val="20"/>
              </w:rPr>
              <w:t>Concept approved by Ministry and social Partners</w:t>
            </w:r>
          </w:p>
        </w:tc>
      </w:tr>
      <w:tr w:rsidR="009601AE" w:rsidRPr="00690428" w14:paraId="652FDA16" w14:textId="77777777" w:rsidTr="00C90833">
        <w:trPr>
          <w:cantSplit/>
          <w:trHeight w:val="1230"/>
          <w:jc w:val="center"/>
        </w:trPr>
        <w:tc>
          <w:tcPr>
            <w:tcW w:w="1852" w:type="dxa"/>
            <w:vMerge/>
          </w:tcPr>
          <w:p w14:paraId="02E5F51B"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4AF8C0E2"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440C8129"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2EC3D152"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bottom w:val="nil"/>
            </w:tcBorders>
          </w:tcPr>
          <w:p w14:paraId="2941FEF2" w14:textId="77777777" w:rsidR="009601AE" w:rsidRPr="00690428" w:rsidRDefault="009601AE" w:rsidP="009E3730">
            <w:pPr>
              <w:widowControl w:val="0"/>
              <w:suppressAutoHyphens/>
              <w:spacing w:before="40" w:after="40"/>
              <w:jc w:val="left"/>
              <w:rPr>
                <w:sz w:val="20"/>
                <w:szCs w:val="20"/>
              </w:rPr>
            </w:pPr>
            <w:r w:rsidRPr="00690428">
              <w:rPr>
                <w:sz w:val="20"/>
                <w:szCs w:val="20"/>
              </w:rPr>
              <w:t>R3.3.2 Information on practical training places / opportunities in Companies and organisations accessible for users (e.g learners, VET institutions) is publicly available</w:t>
            </w:r>
          </w:p>
        </w:tc>
        <w:tc>
          <w:tcPr>
            <w:tcW w:w="3173" w:type="dxa"/>
            <w:tcBorders>
              <w:top w:val="nil"/>
              <w:bottom w:val="nil"/>
            </w:tcBorders>
          </w:tcPr>
          <w:p w14:paraId="63DE60AE" w14:textId="77777777" w:rsidR="009601AE" w:rsidRPr="00690428" w:rsidRDefault="009601AE" w:rsidP="009E3730">
            <w:pPr>
              <w:widowControl w:val="0"/>
              <w:suppressAutoHyphens/>
              <w:spacing w:before="40" w:after="40"/>
              <w:rPr>
                <w:sz w:val="20"/>
                <w:szCs w:val="20"/>
              </w:rPr>
            </w:pPr>
            <w:r w:rsidRPr="00690428">
              <w:rPr>
                <w:sz w:val="20"/>
                <w:szCs w:val="20"/>
              </w:rPr>
              <w:t>Information base on practical training in Companies (online or other formats)</w:t>
            </w:r>
          </w:p>
        </w:tc>
      </w:tr>
      <w:tr w:rsidR="009601AE" w:rsidRPr="00690428" w14:paraId="5100C6C5" w14:textId="77777777" w:rsidTr="00C90833">
        <w:trPr>
          <w:cantSplit/>
          <w:trHeight w:val="70"/>
          <w:jc w:val="center"/>
        </w:trPr>
        <w:tc>
          <w:tcPr>
            <w:tcW w:w="1852" w:type="dxa"/>
            <w:vMerge/>
          </w:tcPr>
          <w:p w14:paraId="77CE66E4" w14:textId="77777777" w:rsidR="009601AE" w:rsidRPr="00690428" w:rsidRDefault="009601AE" w:rsidP="009E3730">
            <w:pPr>
              <w:widowControl w:val="0"/>
              <w:suppressAutoHyphens/>
              <w:spacing w:before="40" w:after="40"/>
              <w:jc w:val="center"/>
              <w:rPr>
                <w:b/>
                <w:bCs/>
                <w:sz w:val="20"/>
                <w:szCs w:val="20"/>
              </w:rPr>
            </w:pPr>
          </w:p>
        </w:tc>
        <w:tc>
          <w:tcPr>
            <w:tcW w:w="1273" w:type="dxa"/>
            <w:vMerge/>
          </w:tcPr>
          <w:p w14:paraId="444E1E0E" w14:textId="77777777" w:rsidR="009601AE" w:rsidRPr="00690428" w:rsidRDefault="009601AE" w:rsidP="009E3730">
            <w:pPr>
              <w:widowControl w:val="0"/>
              <w:suppressAutoHyphens/>
              <w:spacing w:before="40" w:after="40"/>
              <w:jc w:val="center"/>
              <w:rPr>
                <w:b/>
                <w:bCs/>
                <w:sz w:val="20"/>
                <w:szCs w:val="20"/>
              </w:rPr>
            </w:pPr>
          </w:p>
        </w:tc>
        <w:tc>
          <w:tcPr>
            <w:tcW w:w="1701" w:type="dxa"/>
            <w:vMerge/>
          </w:tcPr>
          <w:p w14:paraId="03E3E837" w14:textId="77777777" w:rsidR="009601AE" w:rsidRPr="00690428" w:rsidRDefault="009601AE" w:rsidP="009E3730">
            <w:pPr>
              <w:widowControl w:val="0"/>
              <w:suppressAutoHyphens/>
              <w:spacing w:before="40" w:after="40"/>
              <w:jc w:val="center"/>
              <w:rPr>
                <w:b/>
                <w:bCs/>
                <w:sz w:val="20"/>
                <w:szCs w:val="20"/>
              </w:rPr>
            </w:pPr>
          </w:p>
        </w:tc>
        <w:tc>
          <w:tcPr>
            <w:tcW w:w="1559" w:type="dxa"/>
            <w:vMerge/>
          </w:tcPr>
          <w:p w14:paraId="59503363" w14:textId="77777777" w:rsidR="009601AE" w:rsidRPr="00690428" w:rsidRDefault="009601AE" w:rsidP="009E3730">
            <w:pPr>
              <w:widowControl w:val="0"/>
              <w:suppressAutoHyphens/>
              <w:spacing w:before="40" w:after="40"/>
              <w:jc w:val="center"/>
              <w:rPr>
                <w:b/>
                <w:bCs/>
                <w:sz w:val="20"/>
                <w:szCs w:val="20"/>
              </w:rPr>
            </w:pPr>
          </w:p>
        </w:tc>
        <w:tc>
          <w:tcPr>
            <w:tcW w:w="5586" w:type="dxa"/>
            <w:tcBorders>
              <w:top w:val="nil"/>
            </w:tcBorders>
          </w:tcPr>
          <w:p w14:paraId="74D039A6" w14:textId="77777777" w:rsidR="009601AE" w:rsidRPr="00690428" w:rsidRDefault="009601AE" w:rsidP="009E3730">
            <w:pPr>
              <w:widowControl w:val="0"/>
              <w:suppressAutoHyphens/>
              <w:spacing w:before="40" w:after="40"/>
              <w:jc w:val="left"/>
              <w:rPr>
                <w:sz w:val="20"/>
                <w:szCs w:val="20"/>
              </w:rPr>
            </w:pPr>
            <w:r w:rsidRPr="00690428">
              <w:rPr>
                <w:sz w:val="20"/>
                <w:szCs w:val="20"/>
              </w:rPr>
              <w:t>R3.3.4 Increased opportunities of trainings in businesses / Companies ( at least in 2 qualifications) for VET teachers from public VET institutions are available</w:t>
            </w:r>
          </w:p>
        </w:tc>
        <w:tc>
          <w:tcPr>
            <w:tcW w:w="3173" w:type="dxa"/>
            <w:tcBorders>
              <w:top w:val="nil"/>
            </w:tcBorders>
          </w:tcPr>
          <w:p w14:paraId="73408997" w14:textId="77777777" w:rsidR="009601AE" w:rsidRPr="00690428" w:rsidRDefault="009601AE" w:rsidP="009E3730">
            <w:pPr>
              <w:widowControl w:val="0"/>
              <w:suppressAutoHyphens/>
              <w:spacing w:before="40" w:after="40"/>
              <w:rPr>
                <w:sz w:val="20"/>
                <w:szCs w:val="20"/>
              </w:rPr>
            </w:pPr>
            <w:r w:rsidRPr="00690428">
              <w:rPr>
                <w:sz w:val="20"/>
                <w:szCs w:val="20"/>
              </w:rPr>
              <w:t>Progress reports/evaluation reports of pilot work- based approach initiatives</w:t>
            </w:r>
          </w:p>
          <w:p w14:paraId="0DEB6277" w14:textId="77777777" w:rsidR="009601AE" w:rsidRPr="00690428" w:rsidRDefault="009601AE" w:rsidP="009E3730">
            <w:pPr>
              <w:widowControl w:val="0"/>
              <w:suppressAutoHyphens/>
              <w:spacing w:before="40" w:after="40"/>
              <w:rPr>
                <w:sz w:val="20"/>
                <w:szCs w:val="20"/>
              </w:rPr>
            </w:pPr>
            <w:r w:rsidRPr="00690428">
              <w:rPr>
                <w:sz w:val="20"/>
                <w:szCs w:val="20"/>
              </w:rPr>
              <w:t>Learn’ files defining training objectives, content, performance</w:t>
            </w:r>
          </w:p>
          <w:p w14:paraId="1A2D2568" w14:textId="77777777" w:rsidR="009601AE" w:rsidRPr="00690428" w:rsidRDefault="009601AE" w:rsidP="009E3730">
            <w:pPr>
              <w:widowControl w:val="0"/>
              <w:suppressAutoHyphens/>
              <w:spacing w:before="40" w:after="40"/>
              <w:rPr>
                <w:sz w:val="20"/>
                <w:szCs w:val="20"/>
              </w:rPr>
            </w:pPr>
            <w:r w:rsidRPr="00690428">
              <w:rPr>
                <w:sz w:val="20"/>
                <w:szCs w:val="20"/>
              </w:rPr>
              <w:t>Post-training reports</w:t>
            </w:r>
          </w:p>
        </w:tc>
      </w:tr>
      <w:tr w:rsidR="009601AE" w:rsidRPr="00690428" w14:paraId="62B680EC" w14:textId="77777777" w:rsidTr="00C90833">
        <w:trPr>
          <w:trHeight w:val="20"/>
          <w:jc w:val="center"/>
        </w:trPr>
        <w:tc>
          <w:tcPr>
            <w:tcW w:w="1852" w:type="dxa"/>
            <w:shd w:val="clear" w:color="auto" w:fill="D9D9D9"/>
          </w:tcPr>
          <w:p w14:paraId="25D6520E" w14:textId="23E40012" w:rsidR="009601AE" w:rsidRPr="00690428" w:rsidRDefault="009601AE" w:rsidP="00320807">
            <w:pPr>
              <w:widowControl w:val="0"/>
              <w:suppressAutoHyphens/>
              <w:spacing w:before="40" w:after="40"/>
              <w:jc w:val="left"/>
              <w:rPr>
                <w:sz w:val="20"/>
                <w:szCs w:val="20"/>
              </w:rPr>
            </w:pPr>
            <w:r w:rsidRPr="00690428">
              <w:rPr>
                <w:sz w:val="20"/>
                <w:szCs w:val="20"/>
                <w:lang w:val="ru-RU"/>
              </w:rPr>
              <w:t>Fo</w:t>
            </w:r>
            <w:r w:rsidR="00320807">
              <w:rPr>
                <w:sz w:val="20"/>
                <w:szCs w:val="20"/>
              </w:rPr>
              <w:t>u</w:t>
            </w:r>
            <w:r w:rsidRPr="00690428">
              <w:rPr>
                <w:sz w:val="20"/>
                <w:szCs w:val="20"/>
                <w:lang w:val="ru-RU"/>
              </w:rPr>
              <w:t>rth</w:t>
            </w:r>
            <w:r w:rsidRPr="00690428">
              <w:rPr>
                <w:sz w:val="20"/>
                <w:szCs w:val="20"/>
              </w:rPr>
              <w:t xml:space="preserve"> </w:t>
            </w:r>
            <w:r w:rsidR="00320807">
              <w:rPr>
                <w:sz w:val="20"/>
                <w:szCs w:val="20"/>
              </w:rPr>
              <w:t>F</w:t>
            </w:r>
            <w:r w:rsidRPr="00690428">
              <w:rPr>
                <w:sz w:val="20"/>
                <w:szCs w:val="20"/>
              </w:rPr>
              <w:t>ix</w:t>
            </w:r>
            <w:r w:rsidRPr="00690428">
              <w:rPr>
                <w:sz w:val="20"/>
                <w:szCs w:val="20"/>
                <w:lang w:val="ru-RU"/>
              </w:rPr>
              <w:t>e</w:t>
            </w:r>
            <w:r w:rsidRPr="00690428">
              <w:rPr>
                <w:sz w:val="20"/>
                <w:szCs w:val="20"/>
              </w:rPr>
              <w:t>d Tranch</w:t>
            </w:r>
            <w:r w:rsidRPr="00690428">
              <w:rPr>
                <w:sz w:val="20"/>
                <w:szCs w:val="20"/>
                <w:lang w:val="ru-RU"/>
              </w:rPr>
              <w:t>e</w:t>
            </w:r>
          </w:p>
        </w:tc>
        <w:tc>
          <w:tcPr>
            <w:tcW w:w="1273" w:type="dxa"/>
            <w:shd w:val="clear" w:color="auto" w:fill="D9D9D9"/>
          </w:tcPr>
          <w:p w14:paraId="2A169870" w14:textId="78FE0846" w:rsidR="009601AE" w:rsidRPr="00690428" w:rsidRDefault="009601AE" w:rsidP="009E3730">
            <w:pPr>
              <w:widowControl w:val="0"/>
              <w:suppressAutoHyphens/>
              <w:spacing w:before="40" w:after="40"/>
              <w:jc w:val="left"/>
              <w:rPr>
                <w:sz w:val="20"/>
                <w:szCs w:val="20"/>
              </w:rPr>
            </w:pPr>
            <w:r w:rsidRPr="00690428">
              <w:rPr>
                <w:sz w:val="20"/>
                <w:szCs w:val="20"/>
                <w:lang w:val="ru-RU"/>
              </w:rPr>
              <w:t>EUR</w:t>
            </w:r>
            <w:r w:rsidRPr="00690428">
              <w:rPr>
                <w:sz w:val="20"/>
                <w:szCs w:val="20"/>
              </w:rPr>
              <w:t xml:space="preserve"> 1</w:t>
            </w:r>
            <w:r w:rsidRPr="00690428">
              <w:rPr>
                <w:sz w:val="20"/>
                <w:szCs w:val="20"/>
                <w:lang w:val="ru-RU"/>
              </w:rPr>
              <w:t xml:space="preserve"> </w:t>
            </w:r>
            <w:r w:rsidR="00320807">
              <w:rPr>
                <w:sz w:val="20"/>
                <w:szCs w:val="20"/>
              </w:rPr>
              <w:t>million</w:t>
            </w:r>
          </w:p>
        </w:tc>
        <w:tc>
          <w:tcPr>
            <w:tcW w:w="1701" w:type="dxa"/>
            <w:shd w:val="clear" w:color="auto" w:fill="D9D9D9"/>
          </w:tcPr>
          <w:p w14:paraId="3FE2C0C0" w14:textId="77777777" w:rsidR="009601AE" w:rsidRPr="00690428" w:rsidRDefault="009601AE" w:rsidP="009E3730">
            <w:pPr>
              <w:widowControl w:val="0"/>
              <w:suppressAutoHyphens/>
              <w:spacing w:before="40" w:after="40"/>
              <w:jc w:val="right"/>
              <w:rPr>
                <w:sz w:val="20"/>
                <w:szCs w:val="20"/>
                <w:lang w:val="ru-RU"/>
              </w:rPr>
            </w:pPr>
            <w:r w:rsidRPr="00690428">
              <w:rPr>
                <w:sz w:val="20"/>
                <w:szCs w:val="20"/>
              </w:rPr>
              <w:t>Q1/201</w:t>
            </w:r>
            <w:r w:rsidRPr="00690428">
              <w:rPr>
                <w:sz w:val="20"/>
                <w:szCs w:val="20"/>
                <w:lang w:val="ru-RU"/>
              </w:rPr>
              <w:t>7</w:t>
            </w:r>
          </w:p>
        </w:tc>
        <w:tc>
          <w:tcPr>
            <w:tcW w:w="1559" w:type="dxa"/>
            <w:shd w:val="clear" w:color="auto" w:fill="D9D9D9"/>
          </w:tcPr>
          <w:p w14:paraId="79096B33" w14:textId="77777777" w:rsidR="009601AE" w:rsidRPr="00690428" w:rsidRDefault="009601AE" w:rsidP="009E3730">
            <w:pPr>
              <w:widowControl w:val="0"/>
              <w:suppressAutoHyphens/>
              <w:spacing w:before="40" w:after="40"/>
              <w:jc w:val="center"/>
              <w:rPr>
                <w:sz w:val="20"/>
                <w:szCs w:val="20"/>
                <w:lang w:val="ru-RU"/>
              </w:rPr>
            </w:pPr>
            <w:r w:rsidRPr="00690428">
              <w:rPr>
                <w:sz w:val="20"/>
                <w:szCs w:val="20"/>
              </w:rPr>
              <w:t>02/201</w:t>
            </w:r>
            <w:r w:rsidRPr="00690428">
              <w:rPr>
                <w:sz w:val="20"/>
                <w:szCs w:val="20"/>
                <w:lang w:val="ru-RU"/>
              </w:rPr>
              <w:t>7</w:t>
            </w:r>
          </w:p>
        </w:tc>
        <w:tc>
          <w:tcPr>
            <w:tcW w:w="5586" w:type="dxa"/>
            <w:shd w:val="clear" w:color="auto" w:fill="D9D9D9"/>
          </w:tcPr>
          <w:p w14:paraId="7962817B" w14:textId="77777777" w:rsidR="009601AE" w:rsidRPr="00690428" w:rsidRDefault="009601AE" w:rsidP="009E3730">
            <w:pPr>
              <w:widowControl w:val="0"/>
              <w:suppressAutoHyphens/>
              <w:spacing w:before="40" w:after="40"/>
              <w:jc w:val="left"/>
              <w:rPr>
                <w:sz w:val="20"/>
                <w:szCs w:val="20"/>
              </w:rPr>
            </w:pPr>
            <w:r w:rsidRPr="00690428">
              <w:rPr>
                <w:sz w:val="20"/>
                <w:szCs w:val="20"/>
              </w:rPr>
              <w:t>General Conditions set out in TABLE 2 above</w:t>
            </w:r>
          </w:p>
        </w:tc>
        <w:tc>
          <w:tcPr>
            <w:tcW w:w="3173" w:type="dxa"/>
            <w:shd w:val="clear" w:color="auto" w:fill="D9D9D9"/>
          </w:tcPr>
          <w:p w14:paraId="530E328F" w14:textId="77777777" w:rsidR="009601AE" w:rsidRPr="00690428" w:rsidRDefault="009601AE" w:rsidP="009E3730">
            <w:pPr>
              <w:widowControl w:val="0"/>
              <w:suppressAutoHyphens/>
              <w:spacing w:before="40" w:after="40"/>
              <w:jc w:val="center"/>
              <w:rPr>
                <w:b/>
                <w:bCs/>
                <w:sz w:val="20"/>
                <w:szCs w:val="20"/>
              </w:rPr>
            </w:pPr>
          </w:p>
        </w:tc>
      </w:tr>
      <w:tr w:rsidR="009601AE" w:rsidRPr="00690428" w14:paraId="39634B85" w14:textId="77777777" w:rsidTr="00C90833">
        <w:trPr>
          <w:trHeight w:val="20"/>
          <w:jc w:val="center"/>
        </w:trPr>
        <w:tc>
          <w:tcPr>
            <w:tcW w:w="1852" w:type="dxa"/>
            <w:shd w:val="clear" w:color="auto" w:fill="D9D9D9"/>
          </w:tcPr>
          <w:p w14:paraId="0E7CC9EF" w14:textId="77777777" w:rsidR="009601AE" w:rsidRPr="00690428" w:rsidRDefault="009601AE" w:rsidP="009E3730">
            <w:pPr>
              <w:widowControl w:val="0"/>
              <w:suppressAutoHyphens/>
              <w:spacing w:before="40" w:after="40"/>
              <w:jc w:val="left"/>
              <w:rPr>
                <w:sz w:val="20"/>
                <w:szCs w:val="20"/>
              </w:rPr>
            </w:pPr>
            <w:r w:rsidRPr="00690428">
              <w:rPr>
                <w:sz w:val="20"/>
                <w:szCs w:val="20"/>
                <w:lang w:val="ru-RU"/>
              </w:rPr>
              <w:t>Third</w:t>
            </w:r>
            <w:r w:rsidRPr="00690428">
              <w:rPr>
                <w:sz w:val="20"/>
                <w:szCs w:val="20"/>
              </w:rPr>
              <w:t xml:space="preserve"> Variable Tranche</w:t>
            </w:r>
          </w:p>
        </w:tc>
        <w:tc>
          <w:tcPr>
            <w:tcW w:w="1273" w:type="dxa"/>
            <w:shd w:val="clear" w:color="auto" w:fill="D9D9D9"/>
          </w:tcPr>
          <w:p w14:paraId="645B9463" w14:textId="70058723" w:rsidR="009601AE" w:rsidRPr="00690428" w:rsidRDefault="009601AE" w:rsidP="009E3730">
            <w:pPr>
              <w:widowControl w:val="0"/>
              <w:suppressAutoHyphens/>
              <w:spacing w:before="40" w:after="40"/>
              <w:jc w:val="left"/>
              <w:rPr>
                <w:sz w:val="20"/>
                <w:szCs w:val="20"/>
              </w:rPr>
            </w:pPr>
            <w:r w:rsidRPr="00690428">
              <w:rPr>
                <w:sz w:val="20"/>
                <w:szCs w:val="20"/>
                <w:lang w:val="ru-RU"/>
              </w:rPr>
              <w:t>EU</w:t>
            </w:r>
            <w:r w:rsidRPr="00690428">
              <w:rPr>
                <w:sz w:val="20"/>
                <w:szCs w:val="20"/>
              </w:rPr>
              <w:t>R</w:t>
            </w:r>
            <w:r w:rsidRPr="00690428">
              <w:rPr>
                <w:sz w:val="20"/>
                <w:szCs w:val="20"/>
                <w:lang w:val="ru-RU"/>
              </w:rPr>
              <w:t xml:space="preserve"> 6.5 </w:t>
            </w:r>
            <w:r w:rsidR="00320807">
              <w:rPr>
                <w:sz w:val="20"/>
                <w:szCs w:val="20"/>
              </w:rPr>
              <w:t>million</w:t>
            </w:r>
          </w:p>
        </w:tc>
        <w:tc>
          <w:tcPr>
            <w:tcW w:w="1701" w:type="dxa"/>
            <w:shd w:val="clear" w:color="auto" w:fill="D9D9D9"/>
          </w:tcPr>
          <w:p w14:paraId="28588D82" w14:textId="77777777" w:rsidR="009601AE" w:rsidRPr="00690428" w:rsidRDefault="009601AE" w:rsidP="009E3730">
            <w:pPr>
              <w:widowControl w:val="0"/>
              <w:suppressAutoHyphens/>
              <w:spacing w:before="40" w:after="40"/>
              <w:jc w:val="right"/>
              <w:rPr>
                <w:sz w:val="20"/>
                <w:szCs w:val="20"/>
                <w:lang w:val="ru-RU"/>
              </w:rPr>
            </w:pPr>
            <w:r w:rsidRPr="00690428">
              <w:rPr>
                <w:b/>
                <w:bCs/>
                <w:sz w:val="20"/>
                <w:szCs w:val="20"/>
              </w:rPr>
              <w:t>Q1/201</w:t>
            </w:r>
            <w:r w:rsidRPr="00690428">
              <w:rPr>
                <w:b/>
                <w:bCs/>
                <w:sz w:val="20"/>
                <w:szCs w:val="20"/>
                <w:lang w:val="ru-RU"/>
              </w:rPr>
              <w:t>7</w:t>
            </w:r>
          </w:p>
        </w:tc>
        <w:tc>
          <w:tcPr>
            <w:tcW w:w="1559" w:type="dxa"/>
            <w:shd w:val="clear" w:color="auto" w:fill="D9D9D9"/>
          </w:tcPr>
          <w:p w14:paraId="68396B26" w14:textId="77777777" w:rsidR="009601AE" w:rsidRPr="00690428" w:rsidRDefault="009601AE" w:rsidP="009E3730">
            <w:pPr>
              <w:widowControl w:val="0"/>
              <w:suppressAutoHyphens/>
              <w:spacing w:before="40" w:after="40"/>
              <w:jc w:val="center"/>
              <w:rPr>
                <w:sz w:val="20"/>
                <w:szCs w:val="20"/>
                <w:lang w:val="ru-RU"/>
              </w:rPr>
            </w:pPr>
            <w:r w:rsidRPr="00690428">
              <w:rPr>
                <w:sz w:val="20"/>
                <w:szCs w:val="20"/>
              </w:rPr>
              <w:t>Q2/201</w:t>
            </w:r>
            <w:r w:rsidRPr="00690428">
              <w:rPr>
                <w:sz w:val="20"/>
                <w:szCs w:val="20"/>
                <w:lang w:val="ru-RU"/>
              </w:rPr>
              <w:t>7</w:t>
            </w:r>
          </w:p>
        </w:tc>
        <w:tc>
          <w:tcPr>
            <w:tcW w:w="5586" w:type="dxa"/>
            <w:shd w:val="clear" w:color="auto" w:fill="D9D9D9"/>
          </w:tcPr>
          <w:p w14:paraId="7DD0701C" w14:textId="77777777" w:rsidR="009601AE" w:rsidRPr="00690428" w:rsidRDefault="009601AE" w:rsidP="009E3730">
            <w:pPr>
              <w:widowControl w:val="0"/>
              <w:suppressAutoHyphens/>
              <w:spacing w:before="40" w:after="40"/>
              <w:jc w:val="left"/>
              <w:rPr>
                <w:sz w:val="20"/>
                <w:szCs w:val="20"/>
              </w:rPr>
            </w:pPr>
            <w:r w:rsidRPr="00690428">
              <w:rPr>
                <w:sz w:val="20"/>
                <w:szCs w:val="20"/>
              </w:rPr>
              <w:t>General Conditions set out in TABLE 2 above</w:t>
            </w:r>
          </w:p>
        </w:tc>
        <w:tc>
          <w:tcPr>
            <w:tcW w:w="3173" w:type="dxa"/>
            <w:shd w:val="clear" w:color="auto" w:fill="D9D9D9"/>
          </w:tcPr>
          <w:p w14:paraId="4069E42C" w14:textId="77777777" w:rsidR="009601AE" w:rsidRPr="00690428" w:rsidRDefault="009601AE" w:rsidP="009E3730">
            <w:pPr>
              <w:widowControl w:val="0"/>
              <w:suppressAutoHyphens/>
              <w:spacing w:before="40" w:after="40"/>
              <w:jc w:val="center"/>
              <w:rPr>
                <w:b/>
                <w:bCs/>
                <w:sz w:val="20"/>
                <w:szCs w:val="20"/>
              </w:rPr>
            </w:pPr>
          </w:p>
        </w:tc>
      </w:tr>
      <w:tr w:rsidR="009601AE" w:rsidRPr="00690428" w14:paraId="23A7963C" w14:textId="77777777" w:rsidTr="00C90833">
        <w:trPr>
          <w:trHeight w:val="20"/>
          <w:jc w:val="center"/>
        </w:trPr>
        <w:tc>
          <w:tcPr>
            <w:tcW w:w="15144" w:type="dxa"/>
            <w:gridSpan w:val="6"/>
          </w:tcPr>
          <w:p w14:paraId="3154F77F" w14:textId="77777777" w:rsidR="009601AE" w:rsidRPr="00690428" w:rsidRDefault="009601AE" w:rsidP="009E3730">
            <w:pPr>
              <w:widowControl w:val="0"/>
              <w:suppressAutoHyphens/>
              <w:spacing w:before="40" w:after="40"/>
              <w:jc w:val="left"/>
              <w:rPr>
                <w:b/>
                <w:bCs/>
                <w:sz w:val="20"/>
                <w:szCs w:val="20"/>
                <w:lang w:val="ru-RU"/>
              </w:rPr>
            </w:pPr>
            <w:r w:rsidRPr="00690428">
              <w:rPr>
                <w:sz w:val="20"/>
                <w:szCs w:val="20"/>
              </w:rPr>
              <w:t>COMPONENT 1: EFFECTIVE LABOUR MARKET MANAGEMENT</w:t>
            </w:r>
          </w:p>
        </w:tc>
      </w:tr>
      <w:tr w:rsidR="009601AE" w:rsidRPr="00690428" w14:paraId="06CC13FD" w14:textId="77777777" w:rsidTr="00C90833">
        <w:trPr>
          <w:cantSplit/>
          <w:trHeight w:val="20"/>
          <w:jc w:val="center"/>
        </w:trPr>
        <w:tc>
          <w:tcPr>
            <w:tcW w:w="1852" w:type="dxa"/>
            <w:vMerge w:val="restart"/>
          </w:tcPr>
          <w:p w14:paraId="6F3B4021" w14:textId="77777777" w:rsidR="009601AE" w:rsidRPr="00690428" w:rsidRDefault="009601AE" w:rsidP="009E3730">
            <w:pPr>
              <w:widowControl w:val="0"/>
              <w:suppressAutoHyphens/>
              <w:spacing w:before="40" w:after="40"/>
              <w:jc w:val="left"/>
              <w:rPr>
                <w:sz w:val="20"/>
                <w:szCs w:val="20"/>
                <w:lang w:val="ru-RU"/>
              </w:rPr>
            </w:pPr>
          </w:p>
        </w:tc>
        <w:tc>
          <w:tcPr>
            <w:tcW w:w="1273" w:type="dxa"/>
            <w:vMerge w:val="restart"/>
          </w:tcPr>
          <w:p w14:paraId="4F182501" w14:textId="77777777" w:rsidR="009601AE" w:rsidRPr="00690428" w:rsidRDefault="009601AE" w:rsidP="009E3730">
            <w:pPr>
              <w:widowControl w:val="0"/>
              <w:suppressAutoHyphens/>
              <w:spacing w:before="40" w:after="40"/>
              <w:jc w:val="left"/>
              <w:rPr>
                <w:sz w:val="20"/>
                <w:szCs w:val="20"/>
                <w:lang w:val="ru-RU"/>
              </w:rPr>
            </w:pPr>
          </w:p>
        </w:tc>
        <w:tc>
          <w:tcPr>
            <w:tcW w:w="1701" w:type="dxa"/>
            <w:vMerge w:val="restart"/>
          </w:tcPr>
          <w:p w14:paraId="6C506A4E" w14:textId="77777777" w:rsidR="009601AE" w:rsidRPr="00690428" w:rsidRDefault="009601AE" w:rsidP="009E3730">
            <w:pPr>
              <w:widowControl w:val="0"/>
              <w:suppressAutoHyphens/>
              <w:spacing w:before="40" w:after="40"/>
              <w:jc w:val="right"/>
              <w:rPr>
                <w:sz w:val="20"/>
                <w:szCs w:val="20"/>
              </w:rPr>
            </w:pPr>
          </w:p>
        </w:tc>
        <w:tc>
          <w:tcPr>
            <w:tcW w:w="1559" w:type="dxa"/>
            <w:vMerge w:val="restart"/>
          </w:tcPr>
          <w:p w14:paraId="640B3575" w14:textId="77777777" w:rsidR="009601AE" w:rsidRPr="00690428" w:rsidRDefault="009601AE" w:rsidP="009E3730">
            <w:pPr>
              <w:widowControl w:val="0"/>
              <w:suppressAutoHyphens/>
              <w:spacing w:before="40" w:after="40"/>
              <w:jc w:val="center"/>
              <w:rPr>
                <w:sz w:val="20"/>
                <w:szCs w:val="20"/>
              </w:rPr>
            </w:pPr>
          </w:p>
        </w:tc>
        <w:tc>
          <w:tcPr>
            <w:tcW w:w="5586" w:type="dxa"/>
            <w:tcBorders>
              <w:bottom w:val="nil"/>
            </w:tcBorders>
          </w:tcPr>
          <w:p w14:paraId="1D0EC4EA" w14:textId="77777777" w:rsidR="009601AE" w:rsidRPr="00690428" w:rsidRDefault="009601AE" w:rsidP="009E3730">
            <w:pPr>
              <w:widowControl w:val="0"/>
              <w:suppressAutoHyphens/>
              <w:spacing w:before="40" w:after="40"/>
              <w:rPr>
                <w:b/>
                <w:bCs/>
                <w:sz w:val="20"/>
                <w:szCs w:val="20"/>
              </w:rPr>
            </w:pPr>
            <w:r w:rsidRPr="00690428">
              <w:rPr>
                <w:b/>
                <w:bCs/>
                <w:sz w:val="20"/>
                <w:szCs w:val="20"/>
                <w:lang w:eastAsia="en-GB"/>
              </w:rPr>
              <w:t>R1.l</w:t>
            </w:r>
            <w:r w:rsidRPr="00690428">
              <w:rPr>
                <w:sz w:val="20"/>
                <w:szCs w:val="20"/>
              </w:rPr>
              <w:t xml:space="preserve"> Reliable and sustainable labour market information and forecasting</w:t>
            </w:r>
          </w:p>
        </w:tc>
        <w:tc>
          <w:tcPr>
            <w:tcW w:w="3173" w:type="dxa"/>
            <w:tcBorders>
              <w:bottom w:val="nil"/>
            </w:tcBorders>
          </w:tcPr>
          <w:p w14:paraId="5AA4FEB4" w14:textId="77777777" w:rsidR="009601AE" w:rsidRPr="00690428" w:rsidRDefault="009601AE" w:rsidP="009E3730">
            <w:pPr>
              <w:widowControl w:val="0"/>
              <w:suppressAutoHyphens/>
              <w:spacing w:before="40" w:after="40"/>
              <w:rPr>
                <w:sz w:val="20"/>
                <w:szCs w:val="20"/>
              </w:rPr>
            </w:pPr>
          </w:p>
        </w:tc>
      </w:tr>
      <w:tr w:rsidR="009601AE" w:rsidRPr="00690428" w14:paraId="6EAE2BA0" w14:textId="77777777" w:rsidTr="00C90833">
        <w:trPr>
          <w:cantSplit/>
          <w:trHeight w:val="20"/>
          <w:jc w:val="center"/>
        </w:trPr>
        <w:tc>
          <w:tcPr>
            <w:tcW w:w="1852" w:type="dxa"/>
            <w:vMerge/>
          </w:tcPr>
          <w:p w14:paraId="5E278728" w14:textId="77777777" w:rsidR="009601AE" w:rsidRPr="00690428" w:rsidRDefault="009601AE" w:rsidP="009E3730">
            <w:pPr>
              <w:widowControl w:val="0"/>
              <w:suppressAutoHyphens/>
              <w:spacing w:before="40" w:after="40"/>
              <w:jc w:val="left"/>
              <w:rPr>
                <w:sz w:val="20"/>
                <w:szCs w:val="20"/>
                <w:lang w:val="ru-RU"/>
              </w:rPr>
            </w:pPr>
          </w:p>
        </w:tc>
        <w:tc>
          <w:tcPr>
            <w:tcW w:w="1273" w:type="dxa"/>
            <w:vMerge/>
          </w:tcPr>
          <w:p w14:paraId="2D78F6DA" w14:textId="77777777" w:rsidR="009601AE" w:rsidRPr="00690428" w:rsidRDefault="009601AE" w:rsidP="009E3730">
            <w:pPr>
              <w:widowControl w:val="0"/>
              <w:suppressAutoHyphens/>
              <w:spacing w:before="40" w:after="40"/>
              <w:jc w:val="left"/>
              <w:rPr>
                <w:sz w:val="20"/>
                <w:szCs w:val="20"/>
                <w:lang w:val="ru-RU"/>
              </w:rPr>
            </w:pPr>
          </w:p>
        </w:tc>
        <w:tc>
          <w:tcPr>
            <w:tcW w:w="1701" w:type="dxa"/>
            <w:vMerge/>
          </w:tcPr>
          <w:p w14:paraId="14A2E390" w14:textId="77777777" w:rsidR="009601AE" w:rsidRPr="00690428" w:rsidRDefault="009601AE" w:rsidP="009E3730">
            <w:pPr>
              <w:widowControl w:val="0"/>
              <w:suppressAutoHyphens/>
              <w:spacing w:before="40" w:after="40"/>
              <w:jc w:val="right"/>
              <w:rPr>
                <w:sz w:val="20"/>
                <w:szCs w:val="20"/>
              </w:rPr>
            </w:pPr>
          </w:p>
        </w:tc>
        <w:tc>
          <w:tcPr>
            <w:tcW w:w="1559" w:type="dxa"/>
            <w:vMerge/>
          </w:tcPr>
          <w:p w14:paraId="4800C109" w14:textId="77777777" w:rsidR="009601AE" w:rsidRPr="00690428" w:rsidRDefault="009601AE" w:rsidP="009E3730">
            <w:pPr>
              <w:widowControl w:val="0"/>
              <w:suppressAutoHyphens/>
              <w:spacing w:before="40" w:after="40"/>
              <w:jc w:val="center"/>
              <w:rPr>
                <w:sz w:val="20"/>
                <w:szCs w:val="20"/>
              </w:rPr>
            </w:pPr>
          </w:p>
        </w:tc>
        <w:tc>
          <w:tcPr>
            <w:tcW w:w="5586" w:type="dxa"/>
            <w:tcBorders>
              <w:top w:val="nil"/>
              <w:bottom w:val="nil"/>
            </w:tcBorders>
          </w:tcPr>
          <w:p w14:paraId="5FFA592C" w14:textId="77777777" w:rsidR="009601AE" w:rsidRPr="00690428" w:rsidRDefault="009601AE" w:rsidP="009E3730">
            <w:pPr>
              <w:widowControl w:val="0"/>
              <w:suppressAutoHyphens/>
              <w:spacing w:before="40" w:after="40"/>
              <w:jc w:val="left"/>
              <w:rPr>
                <w:b/>
                <w:bCs/>
                <w:sz w:val="20"/>
                <w:szCs w:val="20"/>
                <w:lang w:eastAsia="en-GB"/>
              </w:rPr>
            </w:pPr>
            <w:r w:rsidRPr="00690428">
              <w:rPr>
                <w:sz w:val="20"/>
                <w:szCs w:val="20"/>
              </w:rPr>
              <w:t>RI. 1.1 Action Plan for implementation of LMIS concept has been implemented</w:t>
            </w:r>
          </w:p>
        </w:tc>
        <w:tc>
          <w:tcPr>
            <w:tcW w:w="3173" w:type="dxa"/>
            <w:tcBorders>
              <w:top w:val="nil"/>
              <w:bottom w:val="nil"/>
            </w:tcBorders>
          </w:tcPr>
          <w:p w14:paraId="223BE433" w14:textId="77777777" w:rsidR="009601AE" w:rsidRPr="00690428" w:rsidRDefault="009601AE" w:rsidP="009E3730">
            <w:pPr>
              <w:widowControl w:val="0"/>
              <w:suppressAutoHyphens/>
              <w:spacing w:before="40" w:after="40"/>
              <w:rPr>
                <w:sz w:val="20"/>
                <w:szCs w:val="20"/>
              </w:rPr>
            </w:pPr>
            <w:r w:rsidRPr="00690428">
              <w:rPr>
                <w:sz w:val="20"/>
                <w:szCs w:val="20"/>
              </w:rPr>
              <w:t>Report on the implementation of the Action Plan</w:t>
            </w:r>
          </w:p>
        </w:tc>
      </w:tr>
      <w:tr w:rsidR="009601AE" w:rsidRPr="00690428" w14:paraId="47E23FDF" w14:textId="77777777" w:rsidTr="00C90833">
        <w:trPr>
          <w:cantSplit/>
          <w:trHeight w:val="20"/>
          <w:jc w:val="center"/>
        </w:trPr>
        <w:tc>
          <w:tcPr>
            <w:tcW w:w="1852" w:type="dxa"/>
            <w:vMerge/>
          </w:tcPr>
          <w:p w14:paraId="2ACC94AF" w14:textId="77777777" w:rsidR="009601AE" w:rsidRPr="00690428" w:rsidRDefault="009601AE" w:rsidP="009E3730">
            <w:pPr>
              <w:widowControl w:val="0"/>
              <w:suppressAutoHyphens/>
              <w:spacing w:before="40" w:after="40"/>
              <w:jc w:val="left"/>
              <w:rPr>
                <w:sz w:val="20"/>
                <w:szCs w:val="20"/>
              </w:rPr>
            </w:pPr>
          </w:p>
        </w:tc>
        <w:tc>
          <w:tcPr>
            <w:tcW w:w="1273" w:type="dxa"/>
            <w:vMerge/>
          </w:tcPr>
          <w:p w14:paraId="0570C549" w14:textId="77777777" w:rsidR="009601AE" w:rsidRPr="00690428" w:rsidRDefault="009601AE" w:rsidP="009E3730">
            <w:pPr>
              <w:widowControl w:val="0"/>
              <w:suppressAutoHyphens/>
              <w:spacing w:before="40" w:after="40"/>
              <w:jc w:val="left"/>
              <w:rPr>
                <w:sz w:val="20"/>
                <w:szCs w:val="20"/>
              </w:rPr>
            </w:pPr>
          </w:p>
        </w:tc>
        <w:tc>
          <w:tcPr>
            <w:tcW w:w="1701" w:type="dxa"/>
            <w:vMerge/>
          </w:tcPr>
          <w:p w14:paraId="524D2E7A" w14:textId="77777777" w:rsidR="009601AE" w:rsidRPr="00690428" w:rsidRDefault="009601AE" w:rsidP="009E3730">
            <w:pPr>
              <w:widowControl w:val="0"/>
              <w:suppressAutoHyphens/>
              <w:spacing w:before="40" w:after="40"/>
              <w:jc w:val="right"/>
              <w:rPr>
                <w:sz w:val="20"/>
                <w:szCs w:val="20"/>
              </w:rPr>
            </w:pPr>
          </w:p>
        </w:tc>
        <w:tc>
          <w:tcPr>
            <w:tcW w:w="1559" w:type="dxa"/>
            <w:vMerge/>
          </w:tcPr>
          <w:p w14:paraId="75FCD78F" w14:textId="77777777" w:rsidR="009601AE" w:rsidRPr="00690428" w:rsidRDefault="009601AE" w:rsidP="009E3730">
            <w:pPr>
              <w:widowControl w:val="0"/>
              <w:suppressAutoHyphens/>
              <w:spacing w:before="40" w:after="40"/>
              <w:jc w:val="center"/>
              <w:rPr>
                <w:sz w:val="20"/>
                <w:szCs w:val="20"/>
              </w:rPr>
            </w:pPr>
          </w:p>
        </w:tc>
        <w:tc>
          <w:tcPr>
            <w:tcW w:w="5586" w:type="dxa"/>
            <w:tcBorders>
              <w:top w:val="nil"/>
            </w:tcBorders>
          </w:tcPr>
          <w:p w14:paraId="7FE66F99" w14:textId="77777777" w:rsidR="009601AE" w:rsidRPr="00690428" w:rsidRDefault="009601AE" w:rsidP="009E3730">
            <w:pPr>
              <w:widowControl w:val="0"/>
              <w:suppressAutoHyphens/>
              <w:spacing w:before="40" w:after="40"/>
              <w:rPr>
                <w:sz w:val="20"/>
                <w:szCs w:val="20"/>
              </w:rPr>
            </w:pPr>
            <w:r w:rsidRPr="00690428">
              <w:rPr>
                <w:sz w:val="20"/>
                <w:szCs w:val="20"/>
              </w:rPr>
              <w:t>RI. 1.2. Annual LMIS reports of skills supply (including annual VET statistical reports disaggregated at least by: gender, occupation (or equivalent in the Georgian classification), level of NQF, region, VET provider) and demand (including annual labour market statistics) are prepared and published</w:t>
            </w:r>
          </w:p>
        </w:tc>
        <w:tc>
          <w:tcPr>
            <w:tcW w:w="3173" w:type="dxa"/>
            <w:tcBorders>
              <w:top w:val="nil"/>
            </w:tcBorders>
          </w:tcPr>
          <w:p w14:paraId="46543B17" w14:textId="77777777" w:rsidR="009601AE" w:rsidRPr="00690428" w:rsidRDefault="009601AE" w:rsidP="009E3730">
            <w:pPr>
              <w:widowControl w:val="0"/>
              <w:suppressAutoHyphens/>
              <w:spacing w:before="40" w:after="40"/>
              <w:rPr>
                <w:sz w:val="20"/>
                <w:szCs w:val="20"/>
              </w:rPr>
            </w:pPr>
            <w:r w:rsidRPr="00690428">
              <w:rPr>
                <w:sz w:val="20"/>
                <w:szCs w:val="20"/>
              </w:rPr>
              <w:t>Annual LMIS report</w:t>
            </w:r>
          </w:p>
          <w:p w14:paraId="286BBA99" w14:textId="77777777" w:rsidR="009601AE" w:rsidRPr="00690428" w:rsidRDefault="009601AE" w:rsidP="009E3730">
            <w:pPr>
              <w:widowControl w:val="0"/>
              <w:suppressAutoHyphens/>
              <w:spacing w:before="40" w:after="40"/>
              <w:rPr>
                <w:sz w:val="20"/>
                <w:szCs w:val="20"/>
              </w:rPr>
            </w:pPr>
            <w:r w:rsidRPr="00690428">
              <w:rPr>
                <w:sz w:val="20"/>
                <w:szCs w:val="20"/>
              </w:rPr>
              <w:t>Minutes of the Employment and VET Coordination Council</w:t>
            </w:r>
          </w:p>
        </w:tc>
      </w:tr>
      <w:tr w:rsidR="009601AE" w:rsidRPr="00690428" w14:paraId="7BC55444" w14:textId="77777777" w:rsidTr="00C90833">
        <w:trPr>
          <w:cantSplit/>
          <w:trHeight w:val="20"/>
          <w:jc w:val="center"/>
        </w:trPr>
        <w:tc>
          <w:tcPr>
            <w:tcW w:w="1852" w:type="dxa"/>
            <w:vMerge w:val="restart"/>
          </w:tcPr>
          <w:p w14:paraId="4DB92201" w14:textId="77777777" w:rsidR="009601AE" w:rsidRPr="00690428" w:rsidRDefault="009601AE" w:rsidP="009E3730">
            <w:pPr>
              <w:widowControl w:val="0"/>
              <w:suppressAutoHyphens/>
              <w:spacing w:before="40" w:after="40"/>
              <w:jc w:val="left"/>
              <w:rPr>
                <w:sz w:val="20"/>
                <w:szCs w:val="20"/>
              </w:rPr>
            </w:pPr>
          </w:p>
        </w:tc>
        <w:tc>
          <w:tcPr>
            <w:tcW w:w="1273" w:type="dxa"/>
            <w:vMerge w:val="restart"/>
          </w:tcPr>
          <w:p w14:paraId="525A71F4" w14:textId="77777777" w:rsidR="009601AE" w:rsidRPr="00690428" w:rsidRDefault="009601AE" w:rsidP="009E3730">
            <w:pPr>
              <w:widowControl w:val="0"/>
              <w:suppressAutoHyphens/>
              <w:spacing w:before="40" w:after="40"/>
              <w:jc w:val="left"/>
              <w:rPr>
                <w:sz w:val="20"/>
                <w:szCs w:val="20"/>
              </w:rPr>
            </w:pPr>
          </w:p>
        </w:tc>
        <w:tc>
          <w:tcPr>
            <w:tcW w:w="1701" w:type="dxa"/>
            <w:vMerge w:val="restart"/>
          </w:tcPr>
          <w:p w14:paraId="72D28590" w14:textId="77777777" w:rsidR="009601AE" w:rsidRPr="00690428" w:rsidRDefault="009601AE" w:rsidP="009E3730">
            <w:pPr>
              <w:widowControl w:val="0"/>
              <w:suppressAutoHyphens/>
              <w:spacing w:before="40" w:after="40"/>
              <w:jc w:val="right"/>
              <w:rPr>
                <w:sz w:val="20"/>
                <w:szCs w:val="20"/>
              </w:rPr>
            </w:pPr>
          </w:p>
        </w:tc>
        <w:tc>
          <w:tcPr>
            <w:tcW w:w="1559" w:type="dxa"/>
            <w:vMerge w:val="restart"/>
          </w:tcPr>
          <w:p w14:paraId="115AE30C" w14:textId="77777777" w:rsidR="009601AE" w:rsidRPr="00690428" w:rsidRDefault="009601AE" w:rsidP="009E3730">
            <w:pPr>
              <w:widowControl w:val="0"/>
              <w:suppressAutoHyphens/>
              <w:spacing w:before="40" w:after="40"/>
              <w:jc w:val="center"/>
              <w:rPr>
                <w:sz w:val="20"/>
                <w:szCs w:val="20"/>
              </w:rPr>
            </w:pPr>
          </w:p>
        </w:tc>
        <w:tc>
          <w:tcPr>
            <w:tcW w:w="5586" w:type="dxa"/>
            <w:tcBorders>
              <w:bottom w:val="nil"/>
            </w:tcBorders>
          </w:tcPr>
          <w:p w14:paraId="66C4EF0A" w14:textId="77777777" w:rsidR="009601AE" w:rsidRPr="00690428" w:rsidRDefault="009601AE" w:rsidP="009E3730">
            <w:pPr>
              <w:widowControl w:val="0"/>
              <w:suppressAutoHyphens/>
              <w:spacing w:before="40" w:after="40"/>
              <w:rPr>
                <w:sz w:val="20"/>
                <w:szCs w:val="20"/>
              </w:rPr>
            </w:pPr>
            <w:r w:rsidRPr="00690428">
              <w:rPr>
                <w:sz w:val="20"/>
                <w:szCs w:val="20"/>
              </w:rPr>
              <w:t>R1.2 Improved Quality of Employment Support Services</w:t>
            </w:r>
          </w:p>
        </w:tc>
        <w:tc>
          <w:tcPr>
            <w:tcW w:w="3173" w:type="dxa"/>
            <w:tcBorders>
              <w:bottom w:val="nil"/>
            </w:tcBorders>
          </w:tcPr>
          <w:p w14:paraId="2C134EDE" w14:textId="77777777" w:rsidR="009601AE" w:rsidRPr="00690428" w:rsidRDefault="009601AE" w:rsidP="009E3730">
            <w:pPr>
              <w:widowControl w:val="0"/>
              <w:suppressAutoHyphens/>
              <w:spacing w:before="40" w:after="40"/>
              <w:rPr>
                <w:sz w:val="20"/>
                <w:szCs w:val="20"/>
              </w:rPr>
            </w:pPr>
          </w:p>
        </w:tc>
      </w:tr>
      <w:tr w:rsidR="009601AE" w:rsidRPr="00690428" w14:paraId="141F50EB" w14:textId="77777777" w:rsidTr="00C90833">
        <w:trPr>
          <w:cantSplit/>
          <w:trHeight w:val="20"/>
          <w:jc w:val="center"/>
        </w:trPr>
        <w:tc>
          <w:tcPr>
            <w:tcW w:w="1852" w:type="dxa"/>
            <w:vMerge/>
          </w:tcPr>
          <w:p w14:paraId="5C3EA8B1" w14:textId="77777777" w:rsidR="009601AE" w:rsidRPr="00690428" w:rsidRDefault="009601AE" w:rsidP="009E3730">
            <w:pPr>
              <w:widowControl w:val="0"/>
              <w:suppressAutoHyphens/>
              <w:spacing w:before="40" w:after="40"/>
              <w:jc w:val="left"/>
              <w:rPr>
                <w:sz w:val="20"/>
                <w:szCs w:val="20"/>
              </w:rPr>
            </w:pPr>
          </w:p>
        </w:tc>
        <w:tc>
          <w:tcPr>
            <w:tcW w:w="1273" w:type="dxa"/>
            <w:vMerge/>
          </w:tcPr>
          <w:p w14:paraId="6ADA6F08" w14:textId="77777777" w:rsidR="009601AE" w:rsidRPr="00690428" w:rsidRDefault="009601AE" w:rsidP="009E3730">
            <w:pPr>
              <w:widowControl w:val="0"/>
              <w:suppressAutoHyphens/>
              <w:spacing w:before="40" w:after="40"/>
              <w:jc w:val="left"/>
              <w:rPr>
                <w:sz w:val="20"/>
                <w:szCs w:val="20"/>
              </w:rPr>
            </w:pPr>
          </w:p>
        </w:tc>
        <w:tc>
          <w:tcPr>
            <w:tcW w:w="1701" w:type="dxa"/>
            <w:vMerge/>
          </w:tcPr>
          <w:p w14:paraId="58E272DA" w14:textId="77777777" w:rsidR="009601AE" w:rsidRPr="00690428" w:rsidRDefault="009601AE" w:rsidP="009E3730">
            <w:pPr>
              <w:widowControl w:val="0"/>
              <w:suppressAutoHyphens/>
              <w:spacing w:before="40" w:after="40"/>
              <w:jc w:val="right"/>
              <w:rPr>
                <w:sz w:val="20"/>
                <w:szCs w:val="20"/>
              </w:rPr>
            </w:pPr>
          </w:p>
        </w:tc>
        <w:tc>
          <w:tcPr>
            <w:tcW w:w="1559" w:type="dxa"/>
            <w:vMerge/>
          </w:tcPr>
          <w:p w14:paraId="025CF33C" w14:textId="77777777" w:rsidR="009601AE" w:rsidRPr="00690428" w:rsidRDefault="009601AE" w:rsidP="009E3730">
            <w:pPr>
              <w:widowControl w:val="0"/>
              <w:suppressAutoHyphens/>
              <w:spacing w:before="40" w:after="40"/>
              <w:jc w:val="center"/>
              <w:rPr>
                <w:sz w:val="20"/>
                <w:szCs w:val="20"/>
              </w:rPr>
            </w:pPr>
          </w:p>
        </w:tc>
        <w:tc>
          <w:tcPr>
            <w:tcW w:w="5586" w:type="dxa"/>
            <w:tcBorders>
              <w:top w:val="nil"/>
            </w:tcBorders>
          </w:tcPr>
          <w:p w14:paraId="42EBF6B3" w14:textId="77777777" w:rsidR="009601AE" w:rsidRPr="00690428" w:rsidRDefault="009601AE" w:rsidP="009E3730">
            <w:pPr>
              <w:widowControl w:val="0"/>
              <w:suppressAutoHyphens/>
              <w:spacing w:before="40" w:after="40"/>
              <w:jc w:val="left"/>
              <w:rPr>
                <w:sz w:val="20"/>
                <w:szCs w:val="20"/>
              </w:rPr>
            </w:pPr>
            <w:r w:rsidRPr="00690428">
              <w:rPr>
                <w:sz w:val="20"/>
                <w:szCs w:val="20"/>
              </w:rPr>
              <w:t>RI.2.1 Report on ESS operations reflecting feedback from users on the quality of services is produced, consulted with stakeholders and available for the public</w:t>
            </w:r>
          </w:p>
        </w:tc>
        <w:tc>
          <w:tcPr>
            <w:tcW w:w="3173" w:type="dxa"/>
            <w:tcBorders>
              <w:top w:val="nil"/>
            </w:tcBorders>
          </w:tcPr>
          <w:p w14:paraId="716409D1" w14:textId="77777777" w:rsidR="009601AE" w:rsidRPr="00690428" w:rsidRDefault="009601AE" w:rsidP="009E3730">
            <w:pPr>
              <w:widowControl w:val="0"/>
              <w:suppressAutoHyphens/>
              <w:spacing w:before="40" w:after="40"/>
              <w:rPr>
                <w:sz w:val="20"/>
                <w:szCs w:val="20"/>
              </w:rPr>
            </w:pPr>
            <w:r w:rsidRPr="00690428">
              <w:rPr>
                <w:sz w:val="20"/>
                <w:szCs w:val="20"/>
              </w:rPr>
              <w:t xml:space="preserve">MoLHSA Report on ESS operations and services </w:t>
            </w:r>
          </w:p>
          <w:p w14:paraId="25D99123" w14:textId="77777777" w:rsidR="009601AE" w:rsidRPr="00690428" w:rsidRDefault="009601AE" w:rsidP="009E3730">
            <w:pPr>
              <w:widowControl w:val="0"/>
              <w:suppressAutoHyphens/>
              <w:spacing w:before="40" w:after="40"/>
              <w:rPr>
                <w:sz w:val="20"/>
                <w:szCs w:val="20"/>
              </w:rPr>
            </w:pPr>
            <w:r w:rsidRPr="00690428">
              <w:rPr>
                <w:sz w:val="20"/>
                <w:szCs w:val="20"/>
              </w:rPr>
              <w:t xml:space="preserve">Databases of ESS Offices </w:t>
            </w:r>
          </w:p>
          <w:p w14:paraId="26A1A915" w14:textId="77777777" w:rsidR="009601AE" w:rsidRPr="00690428" w:rsidRDefault="009601AE" w:rsidP="009E3730">
            <w:pPr>
              <w:widowControl w:val="0"/>
              <w:suppressAutoHyphens/>
              <w:spacing w:before="40" w:after="40"/>
              <w:rPr>
                <w:sz w:val="20"/>
                <w:szCs w:val="20"/>
              </w:rPr>
            </w:pPr>
            <w:r w:rsidRPr="00690428">
              <w:rPr>
                <w:sz w:val="20"/>
                <w:szCs w:val="20"/>
              </w:rPr>
              <w:t>LMIS Annual Reports</w:t>
            </w:r>
          </w:p>
          <w:p w14:paraId="22E05B67" w14:textId="77777777" w:rsidR="009601AE" w:rsidRPr="00690428" w:rsidRDefault="009601AE" w:rsidP="009E3730">
            <w:pPr>
              <w:widowControl w:val="0"/>
              <w:suppressAutoHyphens/>
              <w:spacing w:before="40" w:after="40"/>
              <w:rPr>
                <w:sz w:val="20"/>
                <w:szCs w:val="20"/>
                <w:lang w:val="ru-RU"/>
              </w:rPr>
            </w:pPr>
            <w:r w:rsidRPr="00690428">
              <w:rPr>
                <w:sz w:val="20"/>
                <w:szCs w:val="20"/>
              </w:rPr>
              <w:t>Annual Labour Market Reports</w:t>
            </w:r>
          </w:p>
        </w:tc>
      </w:tr>
      <w:tr w:rsidR="009601AE" w:rsidRPr="00690428" w14:paraId="32E30969" w14:textId="77777777" w:rsidTr="00C90833">
        <w:trPr>
          <w:trHeight w:val="20"/>
          <w:jc w:val="center"/>
        </w:trPr>
        <w:tc>
          <w:tcPr>
            <w:tcW w:w="15144" w:type="dxa"/>
            <w:gridSpan w:val="6"/>
          </w:tcPr>
          <w:p w14:paraId="106FFA53" w14:textId="77777777" w:rsidR="009601AE" w:rsidRPr="00690428" w:rsidRDefault="009601AE" w:rsidP="009E3730">
            <w:pPr>
              <w:widowControl w:val="0"/>
              <w:suppressAutoHyphens/>
              <w:spacing w:before="40" w:after="40"/>
              <w:rPr>
                <w:b/>
                <w:bCs/>
                <w:sz w:val="20"/>
                <w:szCs w:val="20"/>
              </w:rPr>
            </w:pPr>
            <w:r w:rsidRPr="00690428">
              <w:rPr>
                <w:sz w:val="20"/>
                <w:szCs w:val="20"/>
              </w:rPr>
              <w:t>COMPONENT 2: ENHANCED QUALITY AND RELEVANCE OF VET SYSTEM</w:t>
            </w:r>
          </w:p>
        </w:tc>
      </w:tr>
      <w:tr w:rsidR="009601AE" w:rsidRPr="00690428" w14:paraId="120B160E" w14:textId="77777777" w:rsidTr="00C90833">
        <w:trPr>
          <w:cantSplit/>
          <w:trHeight w:val="20"/>
          <w:jc w:val="center"/>
        </w:trPr>
        <w:tc>
          <w:tcPr>
            <w:tcW w:w="1852" w:type="dxa"/>
            <w:vMerge w:val="restart"/>
          </w:tcPr>
          <w:p w14:paraId="4AECD105" w14:textId="77777777" w:rsidR="009601AE" w:rsidRPr="00690428" w:rsidRDefault="009601AE" w:rsidP="009E3730">
            <w:pPr>
              <w:widowControl w:val="0"/>
              <w:suppressAutoHyphens/>
              <w:spacing w:before="40" w:after="40"/>
              <w:jc w:val="left"/>
              <w:rPr>
                <w:sz w:val="20"/>
                <w:szCs w:val="20"/>
              </w:rPr>
            </w:pPr>
          </w:p>
        </w:tc>
        <w:tc>
          <w:tcPr>
            <w:tcW w:w="1273" w:type="dxa"/>
            <w:vMerge w:val="restart"/>
          </w:tcPr>
          <w:p w14:paraId="7A1B786A" w14:textId="77777777" w:rsidR="009601AE" w:rsidRPr="00690428" w:rsidRDefault="009601AE" w:rsidP="009E3730">
            <w:pPr>
              <w:widowControl w:val="0"/>
              <w:suppressAutoHyphens/>
              <w:spacing w:before="40" w:after="40"/>
              <w:jc w:val="left"/>
              <w:rPr>
                <w:sz w:val="20"/>
                <w:szCs w:val="20"/>
              </w:rPr>
            </w:pPr>
          </w:p>
        </w:tc>
        <w:tc>
          <w:tcPr>
            <w:tcW w:w="1701" w:type="dxa"/>
            <w:vMerge w:val="restart"/>
          </w:tcPr>
          <w:p w14:paraId="0AE78547" w14:textId="77777777" w:rsidR="009601AE" w:rsidRPr="00690428" w:rsidRDefault="009601AE" w:rsidP="009E3730">
            <w:pPr>
              <w:widowControl w:val="0"/>
              <w:suppressAutoHyphens/>
              <w:spacing w:before="40" w:after="40"/>
              <w:jc w:val="right"/>
              <w:rPr>
                <w:sz w:val="20"/>
                <w:szCs w:val="20"/>
              </w:rPr>
            </w:pPr>
          </w:p>
        </w:tc>
        <w:tc>
          <w:tcPr>
            <w:tcW w:w="1559" w:type="dxa"/>
            <w:vMerge w:val="restart"/>
          </w:tcPr>
          <w:p w14:paraId="6EF0B78D" w14:textId="77777777" w:rsidR="009601AE" w:rsidRPr="00690428" w:rsidRDefault="009601AE" w:rsidP="009E3730">
            <w:pPr>
              <w:widowControl w:val="0"/>
              <w:suppressAutoHyphens/>
              <w:spacing w:before="40" w:after="40"/>
              <w:jc w:val="center"/>
              <w:rPr>
                <w:sz w:val="20"/>
                <w:szCs w:val="20"/>
              </w:rPr>
            </w:pPr>
          </w:p>
        </w:tc>
        <w:tc>
          <w:tcPr>
            <w:tcW w:w="5586" w:type="dxa"/>
            <w:tcBorders>
              <w:bottom w:val="nil"/>
            </w:tcBorders>
          </w:tcPr>
          <w:p w14:paraId="23BE965C" w14:textId="77777777" w:rsidR="009601AE" w:rsidRPr="00690428" w:rsidRDefault="009601AE" w:rsidP="009E3730">
            <w:pPr>
              <w:widowControl w:val="0"/>
              <w:suppressAutoHyphens/>
              <w:spacing w:before="40" w:after="40"/>
              <w:rPr>
                <w:sz w:val="20"/>
                <w:szCs w:val="20"/>
              </w:rPr>
            </w:pPr>
            <w:r w:rsidRPr="00690428">
              <w:rPr>
                <w:sz w:val="20"/>
                <w:szCs w:val="20"/>
              </w:rPr>
              <w:t>R2.1. Enhanced matching of skills provided by the VET system with the needs of labour market</w:t>
            </w:r>
          </w:p>
        </w:tc>
        <w:tc>
          <w:tcPr>
            <w:tcW w:w="3173" w:type="dxa"/>
            <w:tcBorders>
              <w:bottom w:val="nil"/>
            </w:tcBorders>
          </w:tcPr>
          <w:p w14:paraId="619AFDE5" w14:textId="77777777" w:rsidR="009601AE" w:rsidRPr="00690428" w:rsidRDefault="009601AE" w:rsidP="009E3730">
            <w:pPr>
              <w:widowControl w:val="0"/>
              <w:suppressAutoHyphens/>
              <w:spacing w:before="40" w:after="40"/>
              <w:jc w:val="left"/>
              <w:rPr>
                <w:sz w:val="20"/>
                <w:szCs w:val="20"/>
              </w:rPr>
            </w:pPr>
          </w:p>
        </w:tc>
      </w:tr>
      <w:tr w:rsidR="009601AE" w:rsidRPr="00690428" w14:paraId="76AE86FC" w14:textId="77777777" w:rsidTr="00C90833">
        <w:trPr>
          <w:cantSplit/>
          <w:trHeight w:val="20"/>
          <w:jc w:val="center"/>
        </w:trPr>
        <w:tc>
          <w:tcPr>
            <w:tcW w:w="1852" w:type="dxa"/>
            <w:vMerge/>
          </w:tcPr>
          <w:p w14:paraId="4E59E516" w14:textId="77777777" w:rsidR="009601AE" w:rsidRPr="00690428" w:rsidRDefault="009601AE" w:rsidP="009E3730">
            <w:pPr>
              <w:widowControl w:val="0"/>
              <w:suppressAutoHyphens/>
              <w:spacing w:before="40" w:after="40"/>
              <w:jc w:val="left"/>
              <w:rPr>
                <w:sz w:val="20"/>
                <w:szCs w:val="20"/>
              </w:rPr>
            </w:pPr>
          </w:p>
        </w:tc>
        <w:tc>
          <w:tcPr>
            <w:tcW w:w="1273" w:type="dxa"/>
            <w:vMerge/>
          </w:tcPr>
          <w:p w14:paraId="69B65A33" w14:textId="77777777" w:rsidR="009601AE" w:rsidRPr="00690428" w:rsidRDefault="009601AE" w:rsidP="009E3730">
            <w:pPr>
              <w:widowControl w:val="0"/>
              <w:suppressAutoHyphens/>
              <w:spacing w:before="40" w:after="40"/>
              <w:jc w:val="left"/>
              <w:rPr>
                <w:sz w:val="20"/>
                <w:szCs w:val="20"/>
              </w:rPr>
            </w:pPr>
          </w:p>
        </w:tc>
        <w:tc>
          <w:tcPr>
            <w:tcW w:w="1701" w:type="dxa"/>
            <w:vMerge/>
          </w:tcPr>
          <w:p w14:paraId="13AF553C" w14:textId="77777777" w:rsidR="009601AE" w:rsidRPr="00690428" w:rsidRDefault="009601AE" w:rsidP="009E3730">
            <w:pPr>
              <w:widowControl w:val="0"/>
              <w:suppressAutoHyphens/>
              <w:spacing w:before="40" w:after="40"/>
              <w:jc w:val="right"/>
              <w:rPr>
                <w:sz w:val="20"/>
                <w:szCs w:val="20"/>
              </w:rPr>
            </w:pPr>
          </w:p>
        </w:tc>
        <w:tc>
          <w:tcPr>
            <w:tcW w:w="1559" w:type="dxa"/>
            <w:vMerge/>
          </w:tcPr>
          <w:p w14:paraId="48659831" w14:textId="77777777" w:rsidR="009601AE" w:rsidRPr="00690428" w:rsidRDefault="009601AE" w:rsidP="009E3730">
            <w:pPr>
              <w:widowControl w:val="0"/>
              <w:suppressAutoHyphens/>
              <w:spacing w:before="40" w:after="40"/>
              <w:jc w:val="center"/>
              <w:rPr>
                <w:sz w:val="20"/>
                <w:szCs w:val="20"/>
              </w:rPr>
            </w:pPr>
          </w:p>
        </w:tc>
        <w:tc>
          <w:tcPr>
            <w:tcW w:w="5586" w:type="dxa"/>
            <w:tcBorders>
              <w:top w:val="nil"/>
              <w:bottom w:val="nil"/>
            </w:tcBorders>
          </w:tcPr>
          <w:p w14:paraId="7C8C6EE2" w14:textId="77777777" w:rsidR="009601AE" w:rsidRPr="00690428" w:rsidRDefault="009601AE" w:rsidP="009E3730">
            <w:pPr>
              <w:widowControl w:val="0"/>
              <w:suppressAutoHyphens/>
              <w:spacing w:before="40" w:after="40"/>
              <w:jc w:val="left"/>
              <w:rPr>
                <w:sz w:val="20"/>
                <w:szCs w:val="20"/>
              </w:rPr>
            </w:pPr>
            <w:r w:rsidRPr="00690428">
              <w:rPr>
                <w:sz w:val="20"/>
                <w:szCs w:val="20"/>
              </w:rPr>
              <w:t>R2.1.1 Two new VET Curricula designed for occupations in demand and in line with updated NQF / catalogue of occupational Standards are approved and published</w:t>
            </w:r>
          </w:p>
        </w:tc>
        <w:tc>
          <w:tcPr>
            <w:tcW w:w="3173" w:type="dxa"/>
            <w:tcBorders>
              <w:top w:val="nil"/>
              <w:bottom w:val="nil"/>
            </w:tcBorders>
          </w:tcPr>
          <w:p w14:paraId="3286C133" w14:textId="77777777" w:rsidR="009601AE" w:rsidRPr="00690428" w:rsidRDefault="009601AE" w:rsidP="009E3730">
            <w:pPr>
              <w:widowControl w:val="0"/>
              <w:suppressAutoHyphens/>
              <w:spacing w:before="40" w:after="40"/>
              <w:jc w:val="left"/>
              <w:rPr>
                <w:sz w:val="20"/>
                <w:szCs w:val="20"/>
              </w:rPr>
            </w:pPr>
            <w:r w:rsidRPr="00690428">
              <w:rPr>
                <w:sz w:val="20"/>
                <w:szCs w:val="20"/>
              </w:rPr>
              <w:t>Agreement of National Centre for Educational Quality Enhancement or relevant body on VET curricula</w:t>
            </w:r>
          </w:p>
        </w:tc>
      </w:tr>
      <w:tr w:rsidR="009601AE" w:rsidRPr="00690428" w14:paraId="0559CFD8" w14:textId="77777777" w:rsidTr="00C90833">
        <w:trPr>
          <w:cantSplit/>
          <w:trHeight w:val="20"/>
          <w:jc w:val="center"/>
        </w:trPr>
        <w:tc>
          <w:tcPr>
            <w:tcW w:w="1852" w:type="dxa"/>
            <w:vMerge/>
          </w:tcPr>
          <w:p w14:paraId="207D5A00" w14:textId="77777777" w:rsidR="009601AE" w:rsidRPr="00690428" w:rsidRDefault="009601AE" w:rsidP="009E3730">
            <w:pPr>
              <w:widowControl w:val="0"/>
              <w:suppressAutoHyphens/>
              <w:spacing w:before="40" w:after="40"/>
              <w:jc w:val="left"/>
              <w:rPr>
                <w:sz w:val="20"/>
                <w:szCs w:val="20"/>
              </w:rPr>
            </w:pPr>
          </w:p>
        </w:tc>
        <w:tc>
          <w:tcPr>
            <w:tcW w:w="1273" w:type="dxa"/>
            <w:vMerge/>
          </w:tcPr>
          <w:p w14:paraId="03F26D92" w14:textId="77777777" w:rsidR="009601AE" w:rsidRPr="00690428" w:rsidRDefault="009601AE" w:rsidP="009E3730">
            <w:pPr>
              <w:widowControl w:val="0"/>
              <w:suppressAutoHyphens/>
              <w:spacing w:before="40" w:after="40"/>
              <w:jc w:val="left"/>
              <w:rPr>
                <w:sz w:val="20"/>
                <w:szCs w:val="20"/>
              </w:rPr>
            </w:pPr>
          </w:p>
        </w:tc>
        <w:tc>
          <w:tcPr>
            <w:tcW w:w="1701" w:type="dxa"/>
            <w:vMerge/>
          </w:tcPr>
          <w:p w14:paraId="06623D07" w14:textId="77777777" w:rsidR="009601AE" w:rsidRPr="00690428" w:rsidRDefault="009601AE" w:rsidP="009E3730">
            <w:pPr>
              <w:widowControl w:val="0"/>
              <w:suppressAutoHyphens/>
              <w:spacing w:before="40" w:after="40"/>
              <w:jc w:val="right"/>
              <w:rPr>
                <w:sz w:val="20"/>
                <w:szCs w:val="20"/>
              </w:rPr>
            </w:pPr>
          </w:p>
        </w:tc>
        <w:tc>
          <w:tcPr>
            <w:tcW w:w="1559" w:type="dxa"/>
            <w:vMerge/>
          </w:tcPr>
          <w:p w14:paraId="01CBF7DC" w14:textId="77777777" w:rsidR="009601AE" w:rsidRPr="00690428" w:rsidRDefault="009601AE" w:rsidP="009E3730">
            <w:pPr>
              <w:widowControl w:val="0"/>
              <w:suppressAutoHyphens/>
              <w:spacing w:before="40" w:after="40"/>
              <w:jc w:val="center"/>
              <w:rPr>
                <w:sz w:val="20"/>
                <w:szCs w:val="20"/>
              </w:rPr>
            </w:pPr>
          </w:p>
        </w:tc>
        <w:tc>
          <w:tcPr>
            <w:tcW w:w="5586" w:type="dxa"/>
            <w:tcBorders>
              <w:top w:val="nil"/>
              <w:bottom w:val="nil"/>
            </w:tcBorders>
          </w:tcPr>
          <w:p w14:paraId="08F05CE3" w14:textId="77777777" w:rsidR="009601AE" w:rsidRPr="00690428" w:rsidRDefault="009601AE" w:rsidP="009E3730">
            <w:pPr>
              <w:widowControl w:val="0"/>
              <w:suppressAutoHyphens/>
              <w:spacing w:before="40" w:after="40"/>
              <w:jc w:val="left"/>
              <w:rPr>
                <w:sz w:val="20"/>
                <w:szCs w:val="20"/>
              </w:rPr>
            </w:pPr>
            <w:r w:rsidRPr="00690428">
              <w:rPr>
                <w:sz w:val="20"/>
                <w:szCs w:val="20"/>
              </w:rPr>
              <w:t>R2.1.2 An improved entrepreneurial learning component introduced as a transversal competence in all state financed VET programmes</w:t>
            </w:r>
          </w:p>
        </w:tc>
        <w:tc>
          <w:tcPr>
            <w:tcW w:w="3173" w:type="dxa"/>
            <w:tcBorders>
              <w:top w:val="nil"/>
              <w:bottom w:val="nil"/>
            </w:tcBorders>
          </w:tcPr>
          <w:p w14:paraId="08281928" w14:textId="77777777" w:rsidR="009601AE" w:rsidRPr="00690428" w:rsidRDefault="009601AE" w:rsidP="009E3730">
            <w:pPr>
              <w:widowControl w:val="0"/>
              <w:suppressAutoHyphens/>
              <w:spacing w:before="40" w:after="40"/>
              <w:jc w:val="left"/>
              <w:rPr>
                <w:sz w:val="20"/>
                <w:szCs w:val="20"/>
              </w:rPr>
            </w:pPr>
            <w:r w:rsidRPr="00690428">
              <w:rPr>
                <w:sz w:val="20"/>
                <w:szCs w:val="20"/>
              </w:rPr>
              <w:t>Entrepreneurial Learning component reflected in state funded VET programmes</w:t>
            </w:r>
          </w:p>
        </w:tc>
      </w:tr>
      <w:tr w:rsidR="009601AE" w:rsidRPr="00690428" w14:paraId="4F128D1E" w14:textId="77777777" w:rsidTr="00C90833">
        <w:trPr>
          <w:cantSplit/>
          <w:trHeight w:val="20"/>
          <w:jc w:val="center"/>
        </w:trPr>
        <w:tc>
          <w:tcPr>
            <w:tcW w:w="1852" w:type="dxa"/>
            <w:vMerge/>
          </w:tcPr>
          <w:p w14:paraId="61873E27" w14:textId="77777777" w:rsidR="009601AE" w:rsidRPr="00690428" w:rsidRDefault="009601AE" w:rsidP="009E3730">
            <w:pPr>
              <w:widowControl w:val="0"/>
              <w:suppressAutoHyphens/>
              <w:spacing w:before="40" w:after="40"/>
              <w:jc w:val="left"/>
              <w:rPr>
                <w:sz w:val="20"/>
                <w:szCs w:val="20"/>
              </w:rPr>
            </w:pPr>
          </w:p>
        </w:tc>
        <w:tc>
          <w:tcPr>
            <w:tcW w:w="1273" w:type="dxa"/>
            <w:vMerge/>
          </w:tcPr>
          <w:p w14:paraId="1C68494F" w14:textId="77777777" w:rsidR="009601AE" w:rsidRPr="00690428" w:rsidRDefault="009601AE" w:rsidP="009E3730">
            <w:pPr>
              <w:widowControl w:val="0"/>
              <w:suppressAutoHyphens/>
              <w:spacing w:before="40" w:after="40"/>
              <w:jc w:val="left"/>
              <w:rPr>
                <w:sz w:val="20"/>
                <w:szCs w:val="20"/>
              </w:rPr>
            </w:pPr>
          </w:p>
        </w:tc>
        <w:tc>
          <w:tcPr>
            <w:tcW w:w="1701" w:type="dxa"/>
            <w:vMerge/>
          </w:tcPr>
          <w:p w14:paraId="67D11C83" w14:textId="77777777" w:rsidR="009601AE" w:rsidRPr="00690428" w:rsidRDefault="009601AE" w:rsidP="009E3730">
            <w:pPr>
              <w:widowControl w:val="0"/>
              <w:suppressAutoHyphens/>
              <w:spacing w:before="40" w:after="40"/>
              <w:jc w:val="right"/>
              <w:rPr>
                <w:sz w:val="20"/>
                <w:szCs w:val="20"/>
              </w:rPr>
            </w:pPr>
          </w:p>
        </w:tc>
        <w:tc>
          <w:tcPr>
            <w:tcW w:w="1559" w:type="dxa"/>
            <w:vMerge/>
          </w:tcPr>
          <w:p w14:paraId="5C3FAC00" w14:textId="77777777" w:rsidR="009601AE" w:rsidRPr="00690428" w:rsidRDefault="009601AE" w:rsidP="009E3730">
            <w:pPr>
              <w:widowControl w:val="0"/>
              <w:suppressAutoHyphens/>
              <w:spacing w:before="40" w:after="40"/>
              <w:jc w:val="center"/>
              <w:rPr>
                <w:sz w:val="20"/>
                <w:szCs w:val="20"/>
              </w:rPr>
            </w:pPr>
          </w:p>
        </w:tc>
        <w:tc>
          <w:tcPr>
            <w:tcW w:w="5586" w:type="dxa"/>
            <w:tcBorders>
              <w:top w:val="nil"/>
            </w:tcBorders>
          </w:tcPr>
          <w:p w14:paraId="11B650BF" w14:textId="77777777" w:rsidR="009601AE" w:rsidRPr="00690428" w:rsidRDefault="009601AE" w:rsidP="009E3730">
            <w:pPr>
              <w:widowControl w:val="0"/>
              <w:suppressAutoHyphens/>
              <w:spacing w:before="40" w:after="40"/>
              <w:jc w:val="left"/>
              <w:rPr>
                <w:sz w:val="20"/>
                <w:szCs w:val="20"/>
              </w:rPr>
            </w:pPr>
            <w:r w:rsidRPr="00690428">
              <w:rPr>
                <w:sz w:val="20"/>
                <w:szCs w:val="20"/>
              </w:rPr>
              <w:t>R2.1.3 Occupational Standards are regularly updated to meet labour market demand and designed with participation of employers organisations and sector committees</w:t>
            </w:r>
          </w:p>
        </w:tc>
        <w:tc>
          <w:tcPr>
            <w:tcW w:w="3173" w:type="dxa"/>
            <w:tcBorders>
              <w:top w:val="nil"/>
            </w:tcBorders>
          </w:tcPr>
          <w:p w14:paraId="1A447393" w14:textId="77777777" w:rsidR="009601AE" w:rsidRPr="00690428" w:rsidRDefault="009601AE" w:rsidP="009E3730">
            <w:pPr>
              <w:widowControl w:val="0"/>
              <w:suppressAutoHyphens/>
              <w:spacing w:before="40" w:after="40"/>
              <w:jc w:val="left"/>
              <w:rPr>
                <w:sz w:val="20"/>
                <w:szCs w:val="20"/>
              </w:rPr>
            </w:pPr>
            <w:r w:rsidRPr="00690428">
              <w:rPr>
                <w:sz w:val="20"/>
                <w:szCs w:val="20"/>
              </w:rPr>
              <w:t>List of occupational Standards</w:t>
            </w:r>
          </w:p>
        </w:tc>
      </w:tr>
      <w:tr w:rsidR="009601AE" w:rsidRPr="00690428" w14:paraId="07D136D0" w14:textId="77777777" w:rsidTr="00C90833">
        <w:trPr>
          <w:cantSplit/>
          <w:trHeight w:val="399"/>
          <w:jc w:val="center"/>
        </w:trPr>
        <w:tc>
          <w:tcPr>
            <w:tcW w:w="1852" w:type="dxa"/>
            <w:vMerge w:val="restart"/>
          </w:tcPr>
          <w:p w14:paraId="15BC9304" w14:textId="77777777" w:rsidR="009601AE" w:rsidRPr="00690428" w:rsidRDefault="009601AE" w:rsidP="009E3730">
            <w:pPr>
              <w:widowControl w:val="0"/>
              <w:suppressAutoHyphens/>
              <w:spacing w:before="40" w:after="40"/>
              <w:jc w:val="left"/>
              <w:rPr>
                <w:sz w:val="20"/>
                <w:szCs w:val="20"/>
              </w:rPr>
            </w:pPr>
          </w:p>
        </w:tc>
        <w:tc>
          <w:tcPr>
            <w:tcW w:w="1273" w:type="dxa"/>
            <w:vMerge w:val="restart"/>
          </w:tcPr>
          <w:p w14:paraId="7E60AF21" w14:textId="77777777" w:rsidR="009601AE" w:rsidRPr="00690428" w:rsidRDefault="009601AE" w:rsidP="009E3730">
            <w:pPr>
              <w:widowControl w:val="0"/>
              <w:suppressAutoHyphens/>
              <w:spacing w:before="40" w:after="40"/>
              <w:jc w:val="left"/>
              <w:rPr>
                <w:sz w:val="20"/>
                <w:szCs w:val="20"/>
              </w:rPr>
            </w:pPr>
          </w:p>
        </w:tc>
        <w:tc>
          <w:tcPr>
            <w:tcW w:w="1701" w:type="dxa"/>
            <w:vMerge w:val="restart"/>
          </w:tcPr>
          <w:p w14:paraId="5E2B8B68" w14:textId="77777777" w:rsidR="009601AE" w:rsidRPr="00690428" w:rsidRDefault="009601AE" w:rsidP="009E3730">
            <w:pPr>
              <w:widowControl w:val="0"/>
              <w:suppressAutoHyphens/>
              <w:spacing w:before="40" w:after="40"/>
              <w:jc w:val="right"/>
              <w:rPr>
                <w:sz w:val="20"/>
                <w:szCs w:val="20"/>
              </w:rPr>
            </w:pPr>
          </w:p>
        </w:tc>
        <w:tc>
          <w:tcPr>
            <w:tcW w:w="1559" w:type="dxa"/>
            <w:vMerge w:val="restart"/>
          </w:tcPr>
          <w:p w14:paraId="47900FE3" w14:textId="77777777" w:rsidR="009601AE" w:rsidRPr="00690428" w:rsidRDefault="009601AE" w:rsidP="009E3730">
            <w:pPr>
              <w:widowControl w:val="0"/>
              <w:suppressAutoHyphens/>
              <w:spacing w:before="40" w:after="40"/>
              <w:jc w:val="center"/>
              <w:rPr>
                <w:sz w:val="20"/>
                <w:szCs w:val="20"/>
              </w:rPr>
            </w:pPr>
          </w:p>
        </w:tc>
        <w:tc>
          <w:tcPr>
            <w:tcW w:w="5586" w:type="dxa"/>
            <w:tcBorders>
              <w:bottom w:val="nil"/>
            </w:tcBorders>
          </w:tcPr>
          <w:p w14:paraId="7CBE6202" w14:textId="77777777" w:rsidR="009601AE" w:rsidRPr="00690428" w:rsidRDefault="009601AE" w:rsidP="009E3730">
            <w:pPr>
              <w:widowControl w:val="0"/>
              <w:suppressAutoHyphens/>
              <w:spacing w:before="40" w:after="40"/>
              <w:jc w:val="left"/>
              <w:rPr>
                <w:sz w:val="20"/>
                <w:szCs w:val="20"/>
              </w:rPr>
            </w:pPr>
            <w:r w:rsidRPr="00690428">
              <w:rPr>
                <w:sz w:val="20"/>
                <w:szCs w:val="20"/>
              </w:rPr>
              <w:t>R2.2. Improved quality of VET qualifications</w:t>
            </w:r>
          </w:p>
        </w:tc>
        <w:tc>
          <w:tcPr>
            <w:tcW w:w="3173" w:type="dxa"/>
            <w:tcBorders>
              <w:bottom w:val="nil"/>
            </w:tcBorders>
          </w:tcPr>
          <w:p w14:paraId="2EC2F22B" w14:textId="77777777" w:rsidR="009601AE" w:rsidRPr="00690428" w:rsidRDefault="009601AE" w:rsidP="009E3730">
            <w:pPr>
              <w:widowControl w:val="0"/>
              <w:suppressAutoHyphens/>
              <w:spacing w:before="40" w:after="40"/>
              <w:rPr>
                <w:sz w:val="20"/>
                <w:szCs w:val="20"/>
              </w:rPr>
            </w:pPr>
          </w:p>
        </w:tc>
      </w:tr>
      <w:tr w:rsidR="009601AE" w:rsidRPr="00690428" w14:paraId="6CE8A2D7" w14:textId="77777777" w:rsidTr="00C90833">
        <w:trPr>
          <w:cantSplit/>
          <w:trHeight w:val="70"/>
          <w:jc w:val="center"/>
        </w:trPr>
        <w:tc>
          <w:tcPr>
            <w:tcW w:w="1852" w:type="dxa"/>
            <w:vMerge/>
          </w:tcPr>
          <w:p w14:paraId="00307F37" w14:textId="77777777" w:rsidR="009601AE" w:rsidRPr="00690428" w:rsidRDefault="009601AE" w:rsidP="009E3730">
            <w:pPr>
              <w:widowControl w:val="0"/>
              <w:suppressAutoHyphens/>
              <w:spacing w:before="40" w:after="40"/>
              <w:jc w:val="left"/>
              <w:rPr>
                <w:sz w:val="20"/>
                <w:szCs w:val="20"/>
              </w:rPr>
            </w:pPr>
          </w:p>
        </w:tc>
        <w:tc>
          <w:tcPr>
            <w:tcW w:w="1273" w:type="dxa"/>
            <w:vMerge/>
          </w:tcPr>
          <w:p w14:paraId="5F8D168D" w14:textId="77777777" w:rsidR="009601AE" w:rsidRPr="00690428" w:rsidRDefault="009601AE" w:rsidP="009E3730">
            <w:pPr>
              <w:widowControl w:val="0"/>
              <w:suppressAutoHyphens/>
              <w:spacing w:before="40" w:after="40"/>
              <w:jc w:val="left"/>
              <w:rPr>
                <w:sz w:val="20"/>
                <w:szCs w:val="20"/>
              </w:rPr>
            </w:pPr>
          </w:p>
        </w:tc>
        <w:tc>
          <w:tcPr>
            <w:tcW w:w="1701" w:type="dxa"/>
            <w:vMerge/>
          </w:tcPr>
          <w:p w14:paraId="42A71A8E" w14:textId="77777777" w:rsidR="009601AE" w:rsidRPr="00690428" w:rsidRDefault="009601AE" w:rsidP="009E3730">
            <w:pPr>
              <w:widowControl w:val="0"/>
              <w:suppressAutoHyphens/>
              <w:spacing w:before="40" w:after="40"/>
              <w:jc w:val="right"/>
              <w:rPr>
                <w:sz w:val="20"/>
                <w:szCs w:val="20"/>
              </w:rPr>
            </w:pPr>
          </w:p>
        </w:tc>
        <w:tc>
          <w:tcPr>
            <w:tcW w:w="1559" w:type="dxa"/>
            <w:vMerge/>
          </w:tcPr>
          <w:p w14:paraId="1FB2A110" w14:textId="77777777" w:rsidR="009601AE" w:rsidRPr="00690428" w:rsidRDefault="009601AE" w:rsidP="009E3730">
            <w:pPr>
              <w:widowControl w:val="0"/>
              <w:suppressAutoHyphens/>
              <w:spacing w:before="40" w:after="40"/>
              <w:jc w:val="center"/>
              <w:rPr>
                <w:sz w:val="20"/>
                <w:szCs w:val="20"/>
              </w:rPr>
            </w:pPr>
          </w:p>
        </w:tc>
        <w:tc>
          <w:tcPr>
            <w:tcW w:w="5586" w:type="dxa"/>
            <w:tcBorders>
              <w:top w:val="nil"/>
              <w:bottom w:val="nil"/>
            </w:tcBorders>
          </w:tcPr>
          <w:p w14:paraId="22D9B6BC" w14:textId="77777777" w:rsidR="009601AE" w:rsidRPr="00690428" w:rsidRDefault="009601AE" w:rsidP="009E3730">
            <w:pPr>
              <w:widowControl w:val="0"/>
              <w:suppressAutoHyphens/>
              <w:spacing w:before="40" w:after="40"/>
              <w:rPr>
                <w:sz w:val="20"/>
                <w:szCs w:val="20"/>
              </w:rPr>
            </w:pPr>
            <w:r w:rsidRPr="00690428">
              <w:rPr>
                <w:sz w:val="20"/>
                <w:szCs w:val="20"/>
              </w:rPr>
              <w:t>R2.2.1 15% increase in n° of teachers receiving initial training in line with new policy on VET teacher's development</w:t>
            </w:r>
          </w:p>
        </w:tc>
        <w:tc>
          <w:tcPr>
            <w:tcW w:w="3173" w:type="dxa"/>
            <w:tcBorders>
              <w:top w:val="nil"/>
              <w:bottom w:val="nil"/>
            </w:tcBorders>
          </w:tcPr>
          <w:p w14:paraId="15440E8F" w14:textId="77777777" w:rsidR="009601AE" w:rsidRPr="00690428" w:rsidRDefault="009601AE" w:rsidP="009E3730">
            <w:pPr>
              <w:widowControl w:val="0"/>
              <w:suppressAutoHyphens/>
              <w:spacing w:before="40" w:after="40"/>
              <w:rPr>
                <w:sz w:val="20"/>
                <w:szCs w:val="20"/>
              </w:rPr>
            </w:pPr>
            <w:r w:rsidRPr="00690428">
              <w:rPr>
                <w:sz w:val="20"/>
                <w:szCs w:val="20"/>
              </w:rPr>
              <w:t>Annual VET Report</w:t>
            </w:r>
          </w:p>
          <w:p w14:paraId="6EEF49A1" w14:textId="77777777" w:rsidR="009601AE" w:rsidRPr="00690428" w:rsidRDefault="009601AE" w:rsidP="009E3730">
            <w:pPr>
              <w:widowControl w:val="0"/>
              <w:suppressAutoHyphens/>
              <w:spacing w:before="40" w:after="40"/>
              <w:jc w:val="left"/>
              <w:rPr>
                <w:sz w:val="20"/>
                <w:szCs w:val="20"/>
              </w:rPr>
            </w:pPr>
            <w:r w:rsidRPr="00690428">
              <w:rPr>
                <w:sz w:val="20"/>
                <w:szCs w:val="20"/>
              </w:rPr>
              <w:t>Reports of Teachers Professional Development Centre (TPDC)</w:t>
            </w:r>
          </w:p>
        </w:tc>
      </w:tr>
      <w:tr w:rsidR="009601AE" w:rsidRPr="00690428" w14:paraId="64CEBBE8" w14:textId="77777777" w:rsidTr="00C90833">
        <w:trPr>
          <w:cantSplit/>
          <w:trHeight w:val="20"/>
          <w:jc w:val="center"/>
        </w:trPr>
        <w:tc>
          <w:tcPr>
            <w:tcW w:w="1852" w:type="dxa"/>
            <w:vMerge/>
          </w:tcPr>
          <w:p w14:paraId="33BC0DF7" w14:textId="77777777" w:rsidR="009601AE" w:rsidRPr="00690428" w:rsidRDefault="009601AE" w:rsidP="009E3730">
            <w:pPr>
              <w:widowControl w:val="0"/>
              <w:suppressAutoHyphens/>
              <w:spacing w:before="40" w:after="40"/>
              <w:jc w:val="left"/>
              <w:rPr>
                <w:sz w:val="20"/>
                <w:szCs w:val="20"/>
              </w:rPr>
            </w:pPr>
          </w:p>
        </w:tc>
        <w:tc>
          <w:tcPr>
            <w:tcW w:w="1273" w:type="dxa"/>
            <w:vMerge/>
          </w:tcPr>
          <w:p w14:paraId="507079F2" w14:textId="77777777" w:rsidR="009601AE" w:rsidRPr="00690428" w:rsidRDefault="009601AE" w:rsidP="009E3730">
            <w:pPr>
              <w:widowControl w:val="0"/>
              <w:suppressAutoHyphens/>
              <w:spacing w:before="40" w:after="40"/>
              <w:jc w:val="left"/>
              <w:rPr>
                <w:sz w:val="20"/>
                <w:szCs w:val="20"/>
              </w:rPr>
            </w:pPr>
          </w:p>
        </w:tc>
        <w:tc>
          <w:tcPr>
            <w:tcW w:w="1701" w:type="dxa"/>
            <w:vMerge/>
          </w:tcPr>
          <w:p w14:paraId="0603221E" w14:textId="77777777" w:rsidR="009601AE" w:rsidRPr="00690428" w:rsidRDefault="009601AE" w:rsidP="009E3730">
            <w:pPr>
              <w:widowControl w:val="0"/>
              <w:suppressAutoHyphens/>
              <w:spacing w:before="40" w:after="40"/>
              <w:jc w:val="right"/>
              <w:rPr>
                <w:sz w:val="20"/>
                <w:szCs w:val="20"/>
              </w:rPr>
            </w:pPr>
          </w:p>
        </w:tc>
        <w:tc>
          <w:tcPr>
            <w:tcW w:w="1559" w:type="dxa"/>
            <w:vMerge/>
          </w:tcPr>
          <w:p w14:paraId="41408D46" w14:textId="77777777" w:rsidR="009601AE" w:rsidRPr="00690428" w:rsidRDefault="009601AE" w:rsidP="009E3730">
            <w:pPr>
              <w:widowControl w:val="0"/>
              <w:suppressAutoHyphens/>
              <w:spacing w:before="40" w:after="40"/>
              <w:jc w:val="center"/>
              <w:rPr>
                <w:sz w:val="20"/>
                <w:szCs w:val="20"/>
              </w:rPr>
            </w:pPr>
          </w:p>
        </w:tc>
        <w:tc>
          <w:tcPr>
            <w:tcW w:w="5586" w:type="dxa"/>
            <w:tcBorders>
              <w:top w:val="nil"/>
              <w:bottom w:val="nil"/>
            </w:tcBorders>
          </w:tcPr>
          <w:p w14:paraId="64788EFE" w14:textId="77777777" w:rsidR="009601AE" w:rsidRPr="00690428" w:rsidRDefault="009601AE" w:rsidP="009E3730">
            <w:pPr>
              <w:widowControl w:val="0"/>
              <w:suppressAutoHyphens/>
              <w:spacing w:before="40" w:after="40"/>
              <w:jc w:val="left"/>
              <w:rPr>
                <w:sz w:val="20"/>
                <w:szCs w:val="20"/>
              </w:rPr>
            </w:pPr>
            <w:r w:rsidRPr="00690428">
              <w:rPr>
                <w:sz w:val="20"/>
                <w:szCs w:val="20"/>
              </w:rPr>
              <w:t>R2.2.2 15 % increase in n° of teachers receiving continuing training in line with new policy on VET teacher's development</w:t>
            </w:r>
          </w:p>
        </w:tc>
        <w:tc>
          <w:tcPr>
            <w:tcW w:w="3173" w:type="dxa"/>
            <w:tcBorders>
              <w:top w:val="nil"/>
              <w:bottom w:val="nil"/>
            </w:tcBorders>
          </w:tcPr>
          <w:p w14:paraId="00129AF1" w14:textId="77777777" w:rsidR="009601AE" w:rsidRPr="00690428" w:rsidRDefault="009601AE" w:rsidP="009E3730">
            <w:pPr>
              <w:widowControl w:val="0"/>
              <w:suppressAutoHyphens/>
              <w:spacing w:before="40" w:after="40"/>
              <w:rPr>
                <w:sz w:val="20"/>
                <w:szCs w:val="20"/>
              </w:rPr>
            </w:pPr>
            <w:r w:rsidRPr="00690428">
              <w:rPr>
                <w:sz w:val="20"/>
                <w:szCs w:val="20"/>
              </w:rPr>
              <w:t>Post-training</w:t>
            </w:r>
            <w:r w:rsidRPr="00690428">
              <w:rPr>
                <w:sz w:val="20"/>
                <w:szCs w:val="20"/>
                <w:lang w:val="ru-RU"/>
              </w:rPr>
              <w:t xml:space="preserve"> </w:t>
            </w:r>
            <w:r w:rsidRPr="00690428">
              <w:rPr>
                <w:sz w:val="20"/>
                <w:szCs w:val="20"/>
              </w:rPr>
              <w:t>satisfaction</w:t>
            </w:r>
            <w:r w:rsidRPr="00690428">
              <w:rPr>
                <w:sz w:val="20"/>
                <w:szCs w:val="20"/>
                <w:lang w:val="ru-RU"/>
              </w:rPr>
              <w:t xml:space="preserve"> </w:t>
            </w:r>
            <w:r w:rsidRPr="00690428">
              <w:rPr>
                <w:sz w:val="20"/>
                <w:szCs w:val="20"/>
              </w:rPr>
              <w:t>questionnaires</w:t>
            </w:r>
          </w:p>
        </w:tc>
      </w:tr>
      <w:tr w:rsidR="009601AE" w:rsidRPr="00690428" w14:paraId="2D77BB42" w14:textId="77777777" w:rsidTr="00C90833">
        <w:trPr>
          <w:cantSplit/>
          <w:trHeight w:val="20"/>
          <w:jc w:val="center"/>
        </w:trPr>
        <w:tc>
          <w:tcPr>
            <w:tcW w:w="1852" w:type="dxa"/>
            <w:vMerge/>
          </w:tcPr>
          <w:p w14:paraId="6A0BA180" w14:textId="77777777" w:rsidR="009601AE" w:rsidRPr="00690428" w:rsidRDefault="009601AE" w:rsidP="009E3730">
            <w:pPr>
              <w:widowControl w:val="0"/>
              <w:suppressAutoHyphens/>
              <w:spacing w:before="40" w:after="40"/>
              <w:jc w:val="left"/>
              <w:rPr>
                <w:sz w:val="20"/>
                <w:szCs w:val="20"/>
              </w:rPr>
            </w:pPr>
          </w:p>
        </w:tc>
        <w:tc>
          <w:tcPr>
            <w:tcW w:w="1273" w:type="dxa"/>
            <w:vMerge/>
          </w:tcPr>
          <w:p w14:paraId="5B3F9A64" w14:textId="77777777" w:rsidR="009601AE" w:rsidRPr="00690428" w:rsidRDefault="009601AE" w:rsidP="009E3730">
            <w:pPr>
              <w:widowControl w:val="0"/>
              <w:suppressAutoHyphens/>
              <w:spacing w:before="40" w:after="40"/>
              <w:jc w:val="left"/>
              <w:rPr>
                <w:sz w:val="20"/>
                <w:szCs w:val="20"/>
              </w:rPr>
            </w:pPr>
          </w:p>
        </w:tc>
        <w:tc>
          <w:tcPr>
            <w:tcW w:w="1701" w:type="dxa"/>
            <w:vMerge/>
          </w:tcPr>
          <w:p w14:paraId="3212E7F0" w14:textId="77777777" w:rsidR="009601AE" w:rsidRPr="00690428" w:rsidRDefault="009601AE" w:rsidP="009E3730">
            <w:pPr>
              <w:widowControl w:val="0"/>
              <w:suppressAutoHyphens/>
              <w:spacing w:before="40" w:after="40"/>
              <w:jc w:val="right"/>
              <w:rPr>
                <w:sz w:val="20"/>
                <w:szCs w:val="20"/>
              </w:rPr>
            </w:pPr>
          </w:p>
        </w:tc>
        <w:tc>
          <w:tcPr>
            <w:tcW w:w="1559" w:type="dxa"/>
            <w:vMerge/>
          </w:tcPr>
          <w:p w14:paraId="1A58B476" w14:textId="77777777" w:rsidR="009601AE" w:rsidRPr="00690428" w:rsidRDefault="009601AE" w:rsidP="009E3730">
            <w:pPr>
              <w:widowControl w:val="0"/>
              <w:suppressAutoHyphens/>
              <w:spacing w:before="40" w:after="40"/>
              <w:jc w:val="center"/>
              <w:rPr>
                <w:sz w:val="20"/>
                <w:szCs w:val="20"/>
              </w:rPr>
            </w:pPr>
          </w:p>
        </w:tc>
        <w:tc>
          <w:tcPr>
            <w:tcW w:w="5586" w:type="dxa"/>
            <w:tcBorders>
              <w:top w:val="nil"/>
            </w:tcBorders>
          </w:tcPr>
          <w:p w14:paraId="580FD747" w14:textId="77777777" w:rsidR="009601AE" w:rsidRPr="00690428" w:rsidRDefault="009601AE" w:rsidP="009E3730">
            <w:pPr>
              <w:widowControl w:val="0"/>
              <w:suppressAutoHyphens/>
              <w:spacing w:before="40" w:after="40"/>
              <w:jc w:val="left"/>
              <w:rPr>
                <w:sz w:val="20"/>
                <w:szCs w:val="20"/>
              </w:rPr>
            </w:pPr>
            <w:r w:rsidRPr="00690428">
              <w:rPr>
                <w:sz w:val="20"/>
                <w:szCs w:val="20"/>
              </w:rPr>
              <w:t>R2.2.3 Updated online list of vocational qualifications and online catalogue of occupational Standards available for public use</w:t>
            </w:r>
          </w:p>
        </w:tc>
        <w:tc>
          <w:tcPr>
            <w:tcW w:w="3173" w:type="dxa"/>
            <w:tcBorders>
              <w:top w:val="nil"/>
            </w:tcBorders>
          </w:tcPr>
          <w:p w14:paraId="72C29269" w14:textId="77777777" w:rsidR="009601AE" w:rsidRPr="00690428" w:rsidRDefault="009601AE" w:rsidP="009E3730">
            <w:pPr>
              <w:widowControl w:val="0"/>
              <w:suppressAutoHyphens/>
              <w:spacing w:before="40" w:after="40"/>
              <w:rPr>
                <w:sz w:val="20"/>
                <w:szCs w:val="20"/>
              </w:rPr>
            </w:pPr>
            <w:r w:rsidRPr="00690428">
              <w:rPr>
                <w:sz w:val="20"/>
                <w:szCs w:val="20"/>
              </w:rPr>
              <w:t>Websites of MoES and National Centre for Educational Quality Enhancement</w:t>
            </w:r>
          </w:p>
        </w:tc>
      </w:tr>
      <w:tr w:rsidR="009601AE" w:rsidRPr="00690428" w14:paraId="6F03A5CD" w14:textId="77777777" w:rsidTr="00C90833">
        <w:trPr>
          <w:trHeight w:val="20"/>
          <w:jc w:val="center"/>
        </w:trPr>
        <w:tc>
          <w:tcPr>
            <w:tcW w:w="15144" w:type="dxa"/>
            <w:gridSpan w:val="6"/>
          </w:tcPr>
          <w:p w14:paraId="6557A938" w14:textId="77777777" w:rsidR="009601AE" w:rsidRPr="00690428" w:rsidRDefault="009601AE" w:rsidP="009E3730">
            <w:pPr>
              <w:widowControl w:val="0"/>
              <w:suppressAutoHyphens/>
              <w:spacing w:before="40" w:after="40"/>
              <w:rPr>
                <w:sz w:val="20"/>
                <w:szCs w:val="20"/>
              </w:rPr>
            </w:pPr>
            <w:r w:rsidRPr="00690428">
              <w:rPr>
                <w:sz w:val="20"/>
                <w:szCs w:val="20"/>
              </w:rPr>
              <w:t>COMPONENT 3: EFFICIENT TRANSITION FROM TRAINING INTO EMPLOYMENT</w:t>
            </w:r>
          </w:p>
        </w:tc>
      </w:tr>
      <w:tr w:rsidR="009601AE" w:rsidRPr="00690428" w14:paraId="36D969D0" w14:textId="77777777" w:rsidTr="00C90833">
        <w:trPr>
          <w:cantSplit/>
          <w:trHeight w:val="70"/>
          <w:jc w:val="center"/>
        </w:trPr>
        <w:tc>
          <w:tcPr>
            <w:tcW w:w="1852" w:type="dxa"/>
            <w:vMerge w:val="restart"/>
          </w:tcPr>
          <w:p w14:paraId="79FCAF37" w14:textId="77777777" w:rsidR="009601AE" w:rsidRPr="00690428" w:rsidRDefault="009601AE" w:rsidP="009E3730">
            <w:pPr>
              <w:widowControl w:val="0"/>
              <w:suppressAutoHyphens/>
              <w:spacing w:before="40" w:after="40"/>
              <w:jc w:val="left"/>
              <w:rPr>
                <w:sz w:val="20"/>
                <w:szCs w:val="20"/>
              </w:rPr>
            </w:pPr>
          </w:p>
        </w:tc>
        <w:tc>
          <w:tcPr>
            <w:tcW w:w="1273" w:type="dxa"/>
            <w:vMerge w:val="restart"/>
          </w:tcPr>
          <w:p w14:paraId="6DDADA06" w14:textId="77777777" w:rsidR="009601AE" w:rsidRPr="00690428" w:rsidRDefault="009601AE" w:rsidP="009E3730">
            <w:pPr>
              <w:widowControl w:val="0"/>
              <w:suppressAutoHyphens/>
              <w:spacing w:before="40" w:after="40"/>
              <w:jc w:val="left"/>
              <w:rPr>
                <w:sz w:val="20"/>
                <w:szCs w:val="20"/>
              </w:rPr>
            </w:pPr>
          </w:p>
        </w:tc>
        <w:tc>
          <w:tcPr>
            <w:tcW w:w="1701" w:type="dxa"/>
            <w:vMerge w:val="restart"/>
          </w:tcPr>
          <w:p w14:paraId="7FEAFA8F" w14:textId="77777777" w:rsidR="009601AE" w:rsidRPr="00690428" w:rsidRDefault="009601AE" w:rsidP="009E3730">
            <w:pPr>
              <w:widowControl w:val="0"/>
              <w:suppressAutoHyphens/>
              <w:spacing w:before="40" w:after="40"/>
              <w:jc w:val="right"/>
              <w:rPr>
                <w:sz w:val="20"/>
                <w:szCs w:val="20"/>
              </w:rPr>
            </w:pPr>
          </w:p>
        </w:tc>
        <w:tc>
          <w:tcPr>
            <w:tcW w:w="1559" w:type="dxa"/>
            <w:vMerge w:val="restart"/>
          </w:tcPr>
          <w:p w14:paraId="749B2CD1" w14:textId="77777777" w:rsidR="009601AE" w:rsidRPr="00690428" w:rsidRDefault="009601AE" w:rsidP="009E3730">
            <w:pPr>
              <w:widowControl w:val="0"/>
              <w:suppressAutoHyphens/>
              <w:spacing w:before="40" w:after="40"/>
              <w:jc w:val="center"/>
              <w:rPr>
                <w:sz w:val="20"/>
                <w:szCs w:val="20"/>
              </w:rPr>
            </w:pPr>
          </w:p>
        </w:tc>
        <w:tc>
          <w:tcPr>
            <w:tcW w:w="5586" w:type="dxa"/>
            <w:tcBorders>
              <w:bottom w:val="nil"/>
            </w:tcBorders>
          </w:tcPr>
          <w:p w14:paraId="00134B49" w14:textId="77777777" w:rsidR="009601AE" w:rsidRPr="00690428" w:rsidRDefault="009601AE" w:rsidP="009E3730">
            <w:pPr>
              <w:widowControl w:val="0"/>
              <w:suppressAutoHyphens/>
              <w:spacing w:before="40" w:after="40"/>
              <w:rPr>
                <w:sz w:val="20"/>
                <w:szCs w:val="20"/>
              </w:rPr>
            </w:pPr>
            <w:r w:rsidRPr="00690428">
              <w:rPr>
                <w:sz w:val="20"/>
                <w:szCs w:val="20"/>
              </w:rPr>
              <w:t>R3.1 Efficient transition from training to employment</w:t>
            </w:r>
          </w:p>
        </w:tc>
        <w:tc>
          <w:tcPr>
            <w:tcW w:w="3173" w:type="dxa"/>
            <w:tcBorders>
              <w:bottom w:val="nil"/>
            </w:tcBorders>
          </w:tcPr>
          <w:p w14:paraId="7F3BDEA5" w14:textId="77777777" w:rsidR="009601AE" w:rsidRPr="00690428" w:rsidRDefault="009601AE" w:rsidP="009E3730">
            <w:pPr>
              <w:widowControl w:val="0"/>
              <w:suppressAutoHyphens/>
              <w:spacing w:before="40" w:after="40"/>
              <w:jc w:val="left"/>
              <w:rPr>
                <w:sz w:val="20"/>
                <w:szCs w:val="20"/>
              </w:rPr>
            </w:pPr>
          </w:p>
        </w:tc>
      </w:tr>
      <w:tr w:rsidR="009601AE" w:rsidRPr="00690428" w14:paraId="37C0BAF1" w14:textId="77777777" w:rsidTr="00C90833">
        <w:trPr>
          <w:cantSplit/>
          <w:trHeight w:val="20"/>
          <w:jc w:val="center"/>
        </w:trPr>
        <w:tc>
          <w:tcPr>
            <w:tcW w:w="1852" w:type="dxa"/>
            <w:vMerge/>
          </w:tcPr>
          <w:p w14:paraId="4DBD1A37" w14:textId="77777777" w:rsidR="009601AE" w:rsidRPr="00690428" w:rsidRDefault="009601AE" w:rsidP="009E3730">
            <w:pPr>
              <w:widowControl w:val="0"/>
              <w:suppressAutoHyphens/>
              <w:spacing w:before="40" w:after="40"/>
              <w:jc w:val="left"/>
              <w:rPr>
                <w:sz w:val="20"/>
                <w:szCs w:val="20"/>
              </w:rPr>
            </w:pPr>
          </w:p>
        </w:tc>
        <w:tc>
          <w:tcPr>
            <w:tcW w:w="1273" w:type="dxa"/>
            <w:vMerge/>
          </w:tcPr>
          <w:p w14:paraId="6AA39F06" w14:textId="77777777" w:rsidR="009601AE" w:rsidRPr="00690428" w:rsidRDefault="009601AE" w:rsidP="009E3730">
            <w:pPr>
              <w:widowControl w:val="0"/>
              <w:suppressAutoHyphens/>
              <w:spacing w:before="40" w:after="40"/>
              <w:jc w:val="left"/>
              <w:rPr>
                <w:sz w:val="20"/>
                <w:szCs w:val="20"/>
              </w:rPr>
            </w:pPr>
          </w:p>
        </w:tc>
        <w:tc>
          <w:tcPr>
            <w:tcW w:w="1701" w:type="dxa"/>
            <w:vMerge/>
          </w:tcPr>
          <w:p w14:paraId="22188A5D" w14:textId="77777777" w:rsidR="009601AE" w:rsidRPr="00690428" w:rsidRDefault="009601AE" w:rsidP="009E3730">
            <w:pPr>
              <w:widowControl w:val="0"/>
              <w:suppressAutoHyphens/>
              <w:spacing w:before="40" w:after="40"/>
              <w:jc w:val="right"/>
              <w:rPr>
                <w:sz w:val="20"/>
                <w:szCs w:val="20"/>
              </w:rPr>
            </w:pPr>
          </w:p>
        </w:tc>
        <w:tc>
          <w:tcPr>
            <w:tcW w:w="1559" w:type="dxa"/>
            <w:vMerge/>
          </w:tcPr>
          <w:p w14:paraId="2280DBD1" w14:textId="77777777" w:rsidR="009601AE" w:rsidRPr="00690428" w:rsidRDefault="009601AE" w:rsidP="009E3730">
            <w:pPr>
              <w:widowControl w:val="0"/>
              <w:suppressAutoHyphens/>
              <w:spacing w:before="40" w:after="40"/>
              <w:jc w:val="center"/>
              <w:rPr>
                <w:sz w:val="20"/>
                <w:szCs w:val="20"/>
              </w:rPr>
            </w:pPr>
          </w:p>
        </w:tc>
        <w:tc>
          <w:tcPr>
            <w:tcW w:w="5586" w:type="dxa"/>
            <w:tcBorders>
              <w:top w:val="nil"/>
              <w:bottom w:val="nil"/>
            </w:tcBorders>
          </w:tcPr>
          <w:p w14:paraId="447DA616" w14:textId="77777777" w:rsidR="009601AE" w:rsidRPr="00690428" w:rsidRDefault="009601AE" w:rsidP="009E3730">
            <w:pPr>
              <w:widowControl w:val="0"/>
              <w:suppressAutoHyphens/>
              <w:spacing w:before="40" w:after="40"/>
              <w:jc w:val="left"/>
              <w:rPr>
                <w:sz w:val="20"/>
                <w:szCs w:val="20"/>
              </w:rPr>
            </w:pPr>
            <w:r w:rsidRPr="00690428">
              <w:rPr>
                <w:sz w:val="20"/>
                <w:szCs w:val="20"/>
              </w:rPr>
              <w:t>R3.1.1 All public VET institutions are providing career guidance and counselling in accordance with a new career guidance and counselling concept</w:t>
            </w:r>
          </w:p>
        </w:tc>
        <w:tc>
          <w:tcPr>
            <w:tcW w:w="3173" w:type="dxa"/>
            <w:tcBorders>
              <w:top w:val="nil"/>
              <w:bottom w:val="nil"/>
            </w:tcBorders>
          </w:tcPr>
          <w:p w14:paraId="23596692" w14:textId="77777777" w:rsidR="009601AE" w:rsidRPr="00690428" w:rsidRDefault="009601AE" w:rsidP="009E3730">
            <w:pPr>
              <w:widowControl w:val="0"/>
              <w:suppressAutoHyphens/>
              <w:spacing w:before="40" w:after="40"/>
              <w:jc w:val="left"/>
              <w:rPr>
                <w:sz w:val="20"/>
                <w:szCs w:val="20"/>
              </w:rPr>
            </w:pPr>
            <w:r w:rsidRPr="00690428">
              <w:rPr>
                <w:sz w:val="20"/>
                <w:szCs w:val="20"/>
              </w:rPr>
              <w:t>Annual VET Report / LM1S Report Annual Labour Market</w:t>
            </w:r>
          </w:p>
        </w:tc>
      </w:tr>
      <w:tr w:rsidR="009601AE" w:rsidRPr="00690428" w14:paraId="617B4A88" w14:textId="77777777" w:rsidTr="00C90833">
        <w:trPr>
          <w:cantSplit/>
          <w:trHeight w:val="20"/>
          <w:jc w:val="center"/>
        </w:trPr>
        <w:tc>
          <w:tcPr>
            <w:tcW w:w="1852" w:type="dxa"/>
            <w:vMerge/>
          </w:tcPr>
          <w:p w14:paraId="77D08976" w14:textId="77777777" w:rsidR="009601AE" w:rsidRPr="00690428" w:rsidRDefault="009601AE" w:rsidP="009E3730">
            <w:pPr>
              <w:widowControl w:val="0"/>
              <w:suppressAutoHyphens/>
              <w:spacing w:before="40" w:after="40"/>
              <w:jc w:val="left"/>
              <w:rPr>
                <w:sz w:val="20"/>
                <w:szCs w:val="20"/>
              </w:rPr>
            </w:pPr>
          </w:p>
        </w:tc>
        <w:tc>
          <w:tcPr>
            <w:tcW w:w="1273" w:type="dxa"/>
            <w:vMerge/>
          </w:tcPr>
          <w:p w14:paraId="163672E0" w14:textId="77777777" w:rsidR="009601AE" w:rsidRPr="00690428" w:rsidRDefault="009601AE" w:rsidP="009E3730">
            <w:pPr>
              <w:widowControl w:val="0"/>
              <w:suppressAutoHyphens/>
              <w:spacing w:before="40" w:after="40"/>
              <w:jc w:val="left"/>
              <w:rPr>
                <w:sz w:val="20"/>
                <w:szCs w:val="20"/>
              </w:rPr>
            </w:pPr>
          </w:p>
        </w:tc>
        <w:tc>
          <w:tcPr>
            <w:tcW w:w="1701" w:type="dxa"/>
            <w:vMerge/>
          </w:tcPr>
          <w:p w14:paraId="41E1AA5B" w14:textId="77777777" w:rsidR="009601AE" w:rsidRPr="00690428" w:rsidRDefault="009601AE" w:rsidP="009E3730">
            <w:pPr>
              <w:widowControl w:val="0"/>
              <w:suppressAutoHyphens/>
              <w:spacing w:before="40" w:after="40"/>
              <w:jc w:val="right"/>
              <w:rPr>
                <w:sz w:val="20"/>
                <w:szCs w:val="20"/>
              </w:rPr>
            </w:pPr>
          </w:p>
        </w:tc>
        <w:tc>
          <w:tcPr>
            <w:tcW w:w="1559" w:type="dxa"/>
            <w:vMerge/>
          </w:tcPr>
          <w:p w14:paraId="09513AA1" w14:textId="77777777" w:rsidR="009601AE" w:rsidRPr="00690428" w:rsidRDefault="009601AE" w:rsidP="009E3730">
            <w:pPr>
              <w:widowControl w:val="0"/>
              <w:suppressAutoHyphens/>
              <w:spacing w:before="40" w:after="40"/>
              <w:jc w:val="center"/>
              <w:rPr>
                <w:sz w:val="20"/>
                <w:szCs w:val="20"/>
              </w:rPr>
            </w:pPr>
          </w:p>
        </w:tc>
        <w:tc>
          <w:tcPr>
            <w:tcW w:w="5586" w:type="dxa"/>
            <w:tcBorders>
              <w:top w:val="nil"/>
            </w:tcBorders>
          </w:tcPr>
          <w:p w14:paraId="0C42F69A" w14:textId="77777777" w:rsidR="009601AE" w:rsidRPr="00690428" w:rsidRDefault="009601AE" w:rsidP="009E3730">
            <w:pPr>
              <w:widowControl w:val="0"/>
              <w:suppressAutoHyphens/>
              <w:spacing w:before="40" w:after="40"/>
              <w:jc w:val="left"/>
              <w:rPr>
                <w:sz w:val="20"/>
                <w:szCs w:val="20"/>
              </w:rPr>
            </w:pPr>
            <w:r w:rsidRPr="00690428">
              <w:rPr>
                <w:sz w:val="20"/>
                <w:szCs w:val="20"/>
              </w:rPr>
              <w:t>R3.1.2 Tracer Study of all public VET graduates from 2014-2015 and online publication of information on employment trends (barometer) of the main VET qualifications.</w:t>
            </w:r>
          </w:p>
        </w:tc>
        <w:tc>
          <w:tcPr>
            <w:tcW w:w="3173" w:type="dxa"/>
            <w:tcBorders>
              <w:top w:val="nil"/>
            </w:tcBorders>
          </w:tcPr>
          <w:p w14:paraId="7FFB29B0" w14:textId="77777777" w:rsidR="009601AE" w:rsidRPr="00690428" w:rsidRDefault="009601AE" w:rsidP="009E3730">
            <w:pPr>
              <w:widowControl w:val="0"/>
              <w:suppressAutoHyphens/>
              <w:spacing w:before="40" w:after="40"/>
              <w:jc w:val="left"/>
              <w:rPr>
                <w:sz w:val="20"/>
                <w:szCs w:val="20"/>
              </w:rPr>
            </w:pPr>
            <w:r w:rsidRPr="00690428">
              <w:rPr>
                <w:sz w:val="20"/>
                <w:szCs w:val="20"/>
              </w:rPr>
              <w:t>Report Tracer Study Online barometer of VET qualifications</w:t>
            </w:r>
          </w:p>
        </w:tc>
      </w:tr>
      <w:tr w:rsidR="009601AE" w:rsidRPr="00690428" w14:paraId="50E057FA" w14:textId="77777777" w:rsidTr="00C90833">
        <w:trPr>
          <w:cantSplit/>
          <w:trHeight w:val="20"/>
          <w:jc w:val="center"/>
        </w:trPr>
        <w:tc>
          <w:tcPr>
            <w:tcW w:w="1852" w:type="dxa"/>
            <w:vMerge w:val="restart"/>
          </w:tcPr>
          <w:p w14:paraId="51E73E83" w14:textId="77777777" w:rsidR="009601AE" w:rsidRPr="00690428" w:rsidRDefault="009601AE" w:rsidP="009E3730">
            <w:pPr>
              <w:widowControl w:val="0"/>
              <w:suppressAutoHyphens/>
              <w:spacing w:before="40" w:after="40"/>
              <w:jc w:val="left"/>
              <w:rPr>
                <w:sz w:val="20"/>
                <w:szCs w:val="20"/>
              </w:rPr>
            </w:pPr>
          </w:p>
        </w:tc>
        <w:tc>
          <w:tcPr>
            <w:tcW w:w="1273" w:type="dxa"/>
            <w:vMerge w:val="restart"/>
          </w:tcPr>
          <w:p w14:paraId="2F561224" w14:textId="77777777" w:rsidR="009601AE" w:rsidRPr="00690428" w:rsidRDefault="009601AE" w:rsidP="009E3730">
            <w:pPr>
              <w:widowControl w:val="0"/>
              <w:suppressAutoHyphens/>
              <w:spacing w:before="40" w:after="40"/>
              <w:jc w:val="left"/>
              <w:rPr>
                <w:sz w:val="20"/>
                <w:szCs w:val="20"/>
              </w:rPr>
            </w:pPr>
          </w:p>
        </w:tc>
        <w:tc>
          <w:tcPr>
            <w:tcW w:w="1701" w:type="dxa"/>
            <w:vMerge w:val="restart"/>
          </w:tcPr>
          <w:p w14:paraId="1402ADCC" w14:textId="77777777" w:rsidR="009601AE" w:rsidRPr="00690428" w:rsidRDefault="009601AE" w:rsidP="009E3730">
            <w:pPr>
              <w:widowControl w:val="0"/>
              <w:suppressAutoHyphens/>
              <w:spacing w:before="40" w:after="40"/>
              <w:jc w:val="right"/>
              <w:rPr>
                <w:sz w:val="20"/>
                <w:szCs w:val="20"/>
              </w:rPr>
            </w:pPr>
          </w:p>
        </w:tc>
        <w:tc>
          <w:tcPr>
            <w:tcW w:w="1559" w:type="dxa"/>
            <w:vMerge w:val="restart"/>
          </w:tcPr>
          <w:p w14:paraId="45D21FDC" w14:textId="77777777" w:rsidR="009601AE" w:rsidRPr="00690428" w:rsidRDefault="009601AE" w:rsidP="009E3730">
            <w:pPr>
              <w:widowControl w:val="0"/>
              <w:suppressAutoHyphens/>
              <w:spacing w:before="40" w:after="40"/>
              <w:jc w:val="center"/>
              <w:rPr>
                <w:sz w:val="20"/>
                <w:szCs w:val="20"/>
              </w:rPr>
            </w:pPr>
          </w:p>
        </w:tc>
        <w:tc>
          <w:tcPr>
            <w:tcW w:w="5586" w:type="dxa"/>
            <w:tcBorders>
              <w:bottom w:val="nil"/>
            </w:tcBorders>
          </w:tcPr>
          <w:p w14:paraId="291D0FF8" w14:textId="77777777" w:rsidR="009601AE" w:rsidRPr="00690428" w:rsidRDefault="009601AE" w:rsidP="009E3730">
            <w:pPr>
              <w:widowControl w:val="0"/>
              <w:suppressAutoHyphens/>
              <w:spacing w:before="40" w:after="40"/>
              <w:rPr>
                <w:sz w:val="20"/>
                <w:szCs w:val="20"/>
              </w:rPr>
            </w:pPr>
            <w:r w:rsidRPr="00690428">
              <w:rPr>
                <w:sz w:val="20"/>
                <w:szCs w:val="20"/>
              </w:rPr>
              <w:t>R3.2. Increased awareness of VET amongst potential students and employers</w:t>
            </w:r>
          </w:p>
        </w:tc>
        <w:tc>
          <w:tcPr>
            <w:tcW w:w="3173" w:type="dxa"/>
            <w:tcBorders>
              <w:bottom w:val="nil"/>
            </w:tcBorders>
          </w:tcPr>
          <w:p w14:paraId="5AFA56CA" w14:textId="77777777" w:rsidR="009601AE" w:rsidRPr="00690428" w:rsidRDefault="009601AE" w:rsidP="009E3730">
            <w:pPr>
              <w:widowControl w:val="0"/>
              <w:suppressAutoHyphens/>
              <w:spacing w:before="40" w:after="40"/>
              <w:jc w:val="left"/>
              <w:rPr>
                <w:sz w:val="20"/>
                <w:szCs w:val="20"/>
              </w:rPr>
            </w:pPr>
          </w:p>
        </w:tc>
      </w:tr>
      <w:tr w:rsidR="009601AE" w:rsidRPr="00690428" w14:paraId="42EB4E1E" w14:textId="77777777" w:rsidTr="00C90833">
        <w:trPr>
          <w:cantSplit/>
          <w:trHeight w:val="20"/>
          <w:jc w:val="center"/>
        </w:trPr>
        <w:tc>
          <w:tcPr>
            <w:tcW w:w="1852" w:type="dxa"/>
            <w:vMerge/>
          </w:tcPr>
          <w:p w14:paraId="499BEE6E" w14:textId="77777777" w:rsidR="009601AE" w:rsidRPr="00690428" w:rsidRDefault="009601AE" w:rsidP="009E3730">
            <w:pPr>
              <w:widowControl w:val="0"/>
              <w:suppressAutoHyphens/>
              <w:spacing w:before="40" w:after="40"/>
              <w:jc w:val="left"/>
              <w:rPr>
                <w:sz w:val="20"/>
                <w:szCs w:val="20"/>
              </w:rPr>
            </w:pPr>
          </w:p>
        </w:tc>
        <w:tc>
          <w:tcPr>
            <w:tcW w:w="1273" w:type="dxa"/>
            <w:vMerge/>
          </w:tcPr>
          <w:p w14:paraId="7E16DF47" w14:textId="77777777" w:rsidR="009601AE" w:rsidRPr="00690428" w:rsidRDefault="009601AE" w:rsidP="009E3730">
            <w:pPr>
              <w:widowControl w:val="0"/>
              <w:suppressAutoHyphens/>
              <w:spacing w:before="40" w:after="40"/>
              <w:jc w:val="left"/>
              <w:rPr>
                <w:sz w:val="20"/>
                <w:szCs w:val="20"/>
              </w:rPr>
            </w:pPr>
          </w:p>
        </w:tc>
        <w:tc>
          <w:tcPr>
            <w:tcW w:w="1701" w:type="dxa"/>
            <w:vMerge/>
          </w:tcPr>
          <w:p w14:paraId="4E80A785" w14:textId="77777777" w:rsidR="009601AE" w:rsidRPr="00690428" w:rsidRDefault="009601AE" w:rsidP="009E3730">
            <w:pPr>
              <w:widowControl w:val="0"/>
              <w:suppressAutoHyphens/>
              <w:spacing w:before="40" w:after="40"/>
              <w:jc w:val="right"/>
              <w:rPr>
                <w:sz w:val="20"/>
                <w:szCs w:val="20"/>
              </w:rPr>
            </w:pPr>
          </w:p>
        </w:tc>
        <w:tc>
          <w:tcPr>
            <w:tcW w:w="1559" w:type="dxa"/>
            <w:vMerge/>
          </w:tcPr>
          <w:p w14:paraId="38A7758E" w14:textId="77777777" w:rsidR="009601AE" w:rsidRPr="00690428" w:rsidRDefault="009601AE" w:rsidP="009E3730">
            <w:pPr>
              <w:widowControl w:val="0"/>
              <w:suppressAutoHyphens/>
              <w:spacing w:before="40" w:after="40"/>
              <w:jc w:val="center"/>
              <w:rPr>
                <w:sz w:val="20"/>
                <w:szCs w:val="20"/>
              </w:rPr>
            </w:pPr>
          </w:p>
        </w:tc>
        <w:tc>
          <w:tcPr>
            <w:tcW w:w="5586" w:type="dxa"/>
            <w:tcBorders>
              <w:top w:val="nil"/>
              <w:bottom w:val="nil"/>
            </w:tcBorders>
          </w:tcPr>
          <w:p w14:paraId="0B559311" w14:textId="77777777" w:rsidR="009601AE" w:rsidRPr="00690428" w:rsidRDefault="009601AE" w:rsidP="009E3730">
            <w:pPr>
              <w:widowControl w:val="0"/>
              <w:suppressAutoHyphens/>
              <w:spacing w:before="40" w:after="40"/>
              <w:rPr>
                <w:sz w:val="20"/>
                <w:szCs w:val="20"/>
              </w:rPr>
            </w:pPr>
            <w:r w:rsidRPr="00690428">
              <w:rPr>
                <w:sz w:val="20"/>
                <w:szCs w:val="20"/>
              </w:rPr>
              <w:t>R3.2.1 10% increase in students application to VET courses over the period compared to the baseline data of 31/12/2013</w:t>
            </w:r>
          </w:p>
        </w:tc>
        <w:tc>
          <w:tcPr>
            <w:tcW w:w="3173" w:type="dxa"/>
            <w:tcBorders>
              <w:top w:val="nil"/>
              <w:bottom w:val="nil"/>
            </w:tcBorders>
          </w:tcPr>
          <w:p w14:paraId="6CF7BBC7" w14:textId="77777777" w:rsidR="009601AE" w:rsidRPr="00690428" w:rsidRDefault="009601AE" w:rsidP="009E3730">
            <w:pPr>
              <w:widowControl w:val="0"/>
              <w:suppressAutoHyphens/>
              <w:spacing w:before="40" w:after="40"/>
              <w:jc w:val="left"/>
              <w:rPr>
                <w:sz w:val="20"/>
                <w:szCs w:val="20"/>
              </w:rPr>
            </w:pPr>
            <w:r w:rsidRPr="00690428">
              <w:rPr>
                <w:sz w:val="20"/>
                <w:szCs w:val="20"/>
              </w:rPr>
              <w:t xml:space="preserve">MoES Annual </w:t>
            </w:r>
          </w:p>
          <w:p w14:paraId="76EBC1DE" w14:textId="77777777" w:rsidR="009601AE" w:rsidRPr="00690428" w:rsidRDefault="009601AE" w:rsidP="009E3730">
            <w:pPr>
              <w:widowControl w:val="0"/>
              <w:suppressAutoHyphens/>
              <w:spacing w:before="40" w:after="40"/>
              <w:jc w:val="left"/>
              <w:rPr>
                <w:sz w:val="20"/>
                <w:szCs w:val="20"/>
              </w:rPr>
            </w:pPr>
            <w:r w:rsidRPr="00690428">
              <w:rPr>
                <w:sz w:val="20"/>
                <w:szCs w:val="20"/>
              </w:rPr>
              <w:t xml:space="preserve">Report Info-Centres Reports </w:t>
            </w:r>
          </w:p>
          <w:p w14:paraId="4D795629" w14:textId="77777777" w:rsidR="009601AE" w:rsidRPr="00690428" w:rsidRDefault="009601AE" w:rsidP="009E3730">
            <w:pPr>
              <w:widowControl w:val="0"/>
              <w:suppressAutoHyphens/>
              <w:spacing w:before="40" w:after="40"/>
              <w:jc w:val="left"/>
              <w:rPr>
                <w:sz w:val="20"/>
                <w:szCs w:val="20"/>
              </w:rPr>
            </w:pPr>
          </w:p>
        </w:tc>
      </w:tr>
      <w:tr w:rsidR="009601AE" w:rsidRPr="00690428" w14:paraId="6F34A2BA" w14:textId="77777777" w:rsidTr="00C90833">
        <w:trPr>
          <w:cantSplit/>
          <w:trHeight w:val="20"/>
          <w:jc w:val="center"/>
        </w:trPr>
        <w:tc>
          <w:tcPr>
            <w:tcW w:w="1852" w:type="dxa"/>
            <w:vMerge/>
          </w:tcPr>
          <w:p w14:paraId="5820ABF7" w14:textId="77777777" w:rsidR="009601AE" w:rsidRPr="00690428" w:rsidRDefault="009601AE" w:rsidP="009E3730">
            <w:pPr>
              <w:widowControl w:val="0"/>
              <w:suppressAutoHyphens/>
              <w:spacing w:before="40" w:after="40"/>
              <w:jc w:val="left"/>
              <w:rPr>
                <w:sz w:val="20"/>
                <w:szCs w:val="20"/>
              </w:rPr>
            </w:pPr>
          </w:p>
        </w:tc>
        <w:tc>
          <w:tcPr>
            <w:tcW w:w="1273" w:type="dxa"/>
            <w:vMerge/>
          </w:tcPr>
          <w:p w14:paraId="7871FF1D" w14:textId="77777777" w:rsidR="009601AE" w:rsidRPr="00690428" w:rsidRDefault="009601AE" w:rsidP="009E3730">
            <w:pPr>
              <w:widowControl w:val="0"/>
              <w:suppressAutoHyphens/>
              <w:spacing w:before="40" w:after="40"/>
              <w:jc w:val="left"/>
              <w:rPr>
                <w:sz w:val="20"/>
                <w:szCs w:val="20"/>
              </w:rPr>
            </w:pPr>
          </w:p>
        </w:tc>
        <w:tc>
          <w:tcPr>
            <w:tcW w:w="1701" w:type="dxa"/>
            <w:vMerge/>
          </w:tcPr>
          <w:p w14:paraId="4854FA50" w14:textId="77777777" w:rsidR="009601AE" w:rsidRPr="00690428" w:rsidRDefault="009601AE" w:rsidP="009E3730">
            <w:pPr>
              <w:widowControl w:val="0"/>
              <w:suppressAutoHyphens/>
              <w:spacing w:before="40" w:after="40"/>
              <w:jc w:val="right"/>
              <w:rPr>
                <w:sz w:val="20"/>
                <w:szCs w:val="20"/>
              </w:rPr>
            </w:pPr>
          </w:p>
        </w:tc>
        <w:tc>
          <w:tcPr>
            <w:tcW w:w="1559" w:type="dxa"/>
            <w:vMerge/>
          </w:tcPr>
          <w:p w14:paraId="7F13B5C9" w14:textId="77777777" w:rsidR="009601AE" w:rsidRPr="00690428" w:rsidRDefault="009601AE" w:rsidP="009E3730">
            <w:pPr>
              <w:widowControl w:val="0"/>
              <w:suppressAutoHyphens/>
              <w:spacing w:before="40" w:after="40"/>
              <w:jc w:val="center"/>
              <w:rPr>
                <w:sz w:val="20"/>
                <w:szCs w:val="20"/>
              </w:rPr>
            </w:pPr>
          </w:p>
        </w:tc>
        <w:tc>
          <w:tcPr>
            <w:tcW w:w="5586" w:type="dxa"/>
            <w:tcBorders>
              <w:top w:val="nil"/>
            </w:tcBorders>
          </w:tcPr>
          <w:p w14:paraId="3231E159" w14:textId="77777777" w:rsidR="009601AE" w:rsidRPr="00690428" w:rsidRDefault="009601AE" w:rsidP="009E3730">
            <w:pPr>
              <w:widowControl w:val="0"/>
              <w:suppressAutoHyphens/>
              <w:spacing w:before="40" w:after="40"/>
              <w:rPr>
                <w:sz w:val="20"/>
                <w:szCs w:val="20"/>
              </w:rPr>
            </w:pPr>
            <w:r w:rsidRPr="00690428">
              <w:rPr>
                <w:sz w:val="20"/>
                <w:szCs w:val="20"/>
              </w:rPr>
              <w:t>R3.2.2 Positive feedback on VET qualifications amongst employers compared to the baseline survey</w:t>
            </w:r>
          </w:p>
        </w:tc>
        <w:tc>
          <w:tcPr>
            <w:tcW w:w="3173" w:type="dxa"/>
            <w:tcBorders>
              <w:top w:val="nil"/>
            </w:tcBorders>
          </w:tcPr>
          <w:p w14:paraId="3E9EDA97" w14:textId="77777777" w:rsidR="009601AE" w:rsidRPr="00690428" w:rsidRDefault="009601AE" w:rsidP="009E3730">
            <w:pPr>
              <w:widowControl w:val="0"/>
              <w:suppressAutoHyphens/>
              <w:spacing w:before="40" w:after="40"/>
              <w:jc w:val="left"/>
              <w:rPr>
                <w:sz w:val="20"/>
                <w:szCs w:val="20"/>
              </w:rPr>
            </w:pPr>
            <w:r w:rsidRPr="00690428">
              <w:rPr>
                <w:sz w:val="20"/>
                <w:szCs w:val="20"/>
              </w:rPr>
              <w:t>Feedback from social partners, VET providers, Repeated survey</w:t>
            </w:r>
          </w:p>
        </w:tc>
      </w:tr>
      <w:tr w:rsidR="009601AE" w:rsidRPr="00690428" w14:paraId="5ECEB237" w14:textId="77777777" w:rsidTr="00C90833">
        <w:trPr>
          <w:cantSplit/>
          <w:trHeight w:val="20"/>
          <w:jc w:val="center"/>
        </w:trPr>
        <w:tc>
          <w:tcPr>
            <w:tcW w:w="1852" w:type="dxa"/>
            <w:vMerge w:val="restart"/>
          </w:tcPr>
          <w:p w14:paraId="5153AB89" w14:textId="77777777" w:rsidR="009601AE" w:rsidRPr="00690428" w:rsidRDefault="009601AE" w:rsidP="009E3730">
            <w:pPr>
              <w:widowControl w:val="0"/>
              <w:suppressAutoHyphens/>
              <w:spacing w:before="40" w:after="40"/>
              <w:jc w:val="left"/>
              <w:rPr>
                <w:sz w:val="20"/>
                <w:szCs w:val="20"/>
              </w:rPr>
            </w:pPr>
          </w:p>
        </w:tc>
        <w:tc>
          <w:tcPr>
            <w:tcW w:w="1273" w:type="dxa"/>
            <w:vMerge w:val="restart"/>
          </w:tcPr>
          <w:p w14:paraId="11E88B40" w14:textId="77777777" w:rsidR="009601AE" w:rsidRPr="00690428" w:rsidRDefault="009601AE" w:rsidP="009E3730">
            <w:pPr>
              <w:widowControl w:val="0"/>
              <w:suppressAutoHyphens/>
              <w:spacing w:before="40" w:after="40"/>
              <w:jc w:val="left"/>
              <w:rPr>
                <w:sz w:val="20"/>
                <w:szCs w:val="20"/>
              </w:rPr>
            </w:pPr>
          </w:p>
        </w:tc>
        <w:tc>
          <w:tcPr>
            <w:tcW w:w="1701" w:type="dxa"/>
            <w:vMerge w:val="restart"/>
          </w:tcPr>
          <w:p w14:paraId="2132DFFB" w14:textId="77777777" w:rsidR="009601AE" w:rsidRPr="00690428" w:rsidRDefault="009601AE" w:rsidP="009E3730">
            <w:pPr>
              <w:widowControl w:val="0"/>
              <w:suppressAutoHyphens/>
              <w:spacing w:before="40" w:after="40"/>
              <w:jc w:val="right"/>
              <w:rPr>
                <w:sz w:val="20"/>
                <w:szCs w:val="20"/>
              </w:rPr>
            </w:pPr>
          </w:p>
        </w:tc>
        <w:tc>
          <w:tcPr>
            <w:tcW w:w="1559" w:type="dxa"/>
            <w:vMerge w:val="restart"/>
          </w:tcPr>
          <w:p w14:paraId="37C76FD5" w14:textId="77777777" w:rsidR="009601AE" w:rsidRPr="00690428" w:rsidRDefault="009601AE" w:rsidP="009E3730">
            <w:pPr>
              <w:widowControl w:val="0"/>
              <w:suppressAutoHyphens/>
              <w:spacing w:before="40" w:after="40"/>
              <w:jc w:val="center"/>
              <w:rPr>
                <w:sz w:val="20"/>
                <w:szCs w:val="20"/>
              </w:rPr>
            </w:pPr>
          </w:p>
        </w:tc>
        <w:tc>
          <w:tcPr>
            <w:tcW w:w="5586" w:type="dxa"/>
            <w:tcBorders>
              <w:bottom w:val="nil"/>
            </w:tcBorders>
          </w:tcPr>
          <w:p w14:paraId="791A1B70" w14:textId="77777777" w:rsidR="009601AE" w:rsidRPr="00690428" w:rsidRDefault="009601AE" w:rsidP="009E3730">
            <w:pPr>
              <w:widowControl w:val="0"/>
              <w:suppressAutoHyphens/>
              <w:spacing w:before="40" w:after="40"/>
              <w:jc w:val="left"/>
              <w:rPr>
                <w:sz w:val="20"/>
                <w:szCs w:val="20"/>
              </w:rPr>
            </w:pPr>
            <w:r w:rsidRPr="00690428">
              <w:rPr>
                <w:sz w:val="20"/>
                <w:szCs w:val="20"/>
              </w:rPr>
              <w:t>R3.3 Enhanced social partnership</w:t>
            </w:r>
          </w:p>
        </w:tc>
        <w:tc>
          <w:tcPr>
            <w:tcW w:w="3173" w:type="dxa"/>
            <w:tcBorders>
              <w:bottom w:val="nil"/>
            </w:tcBorders>
          </w:tcPr>
          <w:p w14:paraId="799B8874" w14:textId="77777777" w:rsidR="009601AE" w:rsidRPr="00690428" w:rsidRDefault="009601AE" w:rsidP="009E3730">
            <w:pPr>
              <w:widowControl w:val="0"/>
              <w:suppressAutoHyphens/>
              <w:spacing w:before="40" w:after="40"/>
              <w:rPr>
                <w:sz w:val="20"/>
                <w:szCs w:val="20"/>
              </w:rPr>
            </w:pPr>
          </w:p>
        </w:tc>
      </w:tr>
      <w:tr w:rsidR="009601AE" w:rsidRPr="00690428" w14:paraId="398E0F5D" w14:textId="77777777" w:rsidTr="00C90833">
        <w:trPr>
          <w:cantSplit/>
          <w:trHeight w:val="20"/>
          <w:jc w:val="center"/>
        </w:trPr>
        <w:tc>
          <w:tcPr>
            <w:tcW w:w="1852" w:type="dxa"/>
            <w:vMerge/>
          </w:tcPr>
          <w:p w14:paraId="3A97CD5C" w14:textId="77777777" w:rsidR="009601AE" w:rsidRPr="00690428" w:rsidRDefault="009601AE" w:rsidP="009E3730">
            <w:pPr>
              <w:widowControl w:val="0"/>
              <w:suppressAutoHyphens/>
              <w:spacing w:before="40" w:after="40"/>
              <w:jc w:val="left"/>
              <w:rPr>
                <w:sz w:val="20"/>
                <w:szCs w:val="20"/>
              </w:rPr>
            </w:pPr>
          </w:p>
        </w:tc>
        <w:tc>
          <w:tcPr>
            <w:tcW w:w="1273" w:type="dxa"/>
            <w:vMerge/>
          </w:tcPr>
          <w:p w14:paraId="6CAE130B" w14:textId="77777777" w:rsidR="009601AE" w:rsidRPr="00690428" w:rsidRDefault="009601AE" w:rsidP="009E3730">
            <w:pPr>
              <w:widowControl w:val="0"/>
              <w:suppressAutoHyphens/>
              <w:spacing w:before="40" w:after="40"/>
              <w:jc w:val="left"/>
              <w:rPr>
                <w:sz w:val="20"/>
                <w:szCs w:val="20"/>
              </w:rPr>
            </w:pPr>
          </w:p>
        </w:tc>
        <w:tc>
          <w:tcPr>
            <w:tcW w:w="1701" w:type="dxa"/>
            <w:vMerge/>
          </w:tcPr>
          <w:p w14:paraId="6D1D77EB" w14:textId="77777777" w:rsidR="009601AE" w:rsidRPr="00690428" w:rsidRDefault="009601AE" w:rsidP="009E3730">
            <w:pPr>
              <w:widowControl w:val="0"/>
              <w:suppressAutoHyphens/>
              <w:spacing w:before="40" w:after="40"/>
              <w:jc w:val="right"/>
              <w:rPr>
                <w:sz w:val="20"/>
                <w:szCs w:val="20"/>
              </w:rPr>
            </w:pPr>
          </w:p>
        </w:tc>
        <w:tc>
          <w:tcPr>
            <w:tcW w:w="1559" w:type="dxa"/>
            <w:vMerge/>
          </w:tcPr>
          <w:p w14:paraId="1E8E5401" w14:textId="77777777" w:rsidR="009601AE" w:rsidRPr="00690428" w:rsidRDefault="009601AE" w:rsidP="009E3730">
            <w:pPr>
              <w:widowControl w:val="0"/>
              <w:suppressAutoHyphens/>
              <w:spacing w:before="40" w:after="40"/>
              <w:jc w:val="center"/>
              <w:rPr>
                <w:sz w:val="20"/>
                <w:szCs w:val="20"/>
              </w:rPr>
            </w:pPr>
          </w:p>
        </w:tc>
        <w:tc>
          <w:tcPr>
            <w:tcW w:w="5586" w:type="dxa"/>
            <w:tcBorders>
              <w:top w:val="nil"/>
              <w:bottom w:val="nil"/>
            </w:tcBorders>
          </w:tcPr>
          <w:p w14:paraId="553977EA" w14:textId="77777777" w:rsidR="009601AE" w:rsidRPr="00690428" w:rsidRDefault="009601AE" w:rsidP="009E3730">
            <w:pPr>
              <w:widowControl w:val="0"/>
              <w:suppressAutoHyphens/>
              <w:spacing w:before="40" w:after="40"/>
              <w:jc w:val="left"/>
              <w:rPr>
                <w:sz w:val="20"/>
                <w:szCs w:val="20"/>
              </w:rPr>
            </w:pPr>
            <w:r w:rsidRPr="00690428">
              <w:rPr>
                <w:sz w:val="20"/>
                <w:szCs w:val="20"/>
              </w:rPr>
              <w:t>R.3.3.1 Improved framework for social partnership in VET, including reference to elements of work-based learning, and reflecting the systemic participation of social partners in VET policy cycle is implemented</w:t>
            </w:r>
          </w:p>
        </w:tc>
        <w:tc>
          <w:tcPr>
            <w:tcW w:w="3173" w:type="dxa"/>
            <w:tcBorders>
              <w:top w:val="nil"/>
              <w:bottom w:val="nil"/>
            </w:tcBorders>
          </w:tcPr>
          <w:p w14:paraId="18BA25C6" w14:textId="77777777" w:rsidR="009601AE" w:rsidRPr="00690428" w:rsidRDefault="009601AE" w:rsidP="009E3730">
            <w:pPr>
              <w:widowControl w:val="0"/>
              <w:suppressAutoHyphens/>
              <w:spacing w:before="40" w:after="40"/>
              <w:rPr>
                <w:sz w:val="20"/>
                <w:szCs w:val="20"/>
              </w:rPr>
            </w:pPr>
            <w:r w:rsidRPr="00690428">
              <w:rPr>
                <w:sz w:val="20"/>
                <w:szCs w:val="20"/>
              </w:rPr>
              <w:t>Implementation report</w:t>
            </w:r>
          </w:p>
          <w:p w14:paraId="3847E7A2" w14:textId="77777777" w:rsidR="009601AE" w:rsidRPr="00690428" w:rsidRDefault="009601AE" w:rsidP="009E3730">
            <w:pPr>
              <w:widowControl w:val="0"/>
              <w:suppressAutoHyphens/>
              <w:spacing w:before="40" w:after="40"/>
              <w:rPr>
                <w:sz w:val="20"/>
                <w:szCs w:val="20"/>
              </w:rPr>
            </w:pPr>
            <w:r w:rsidRPr="00690428">
              <w:rPr>
                <w:sz w:val="20"/>
                <w:szCs w:val="20"/>
              </w:rPr>
              <w:t>Minutes of the meetings /consultations with social partners</w:t>
            </w:r>
          </w:p>
        </w:tc>
      </w:tr>
      <w:tr w:rsidR="009601AE" w:rsidRPr="00690428" w14:paraId="11D4DCBA" w14:textId="77777777" w:rsidTr="00C90833">
        <w:trPr>
          <w:cantSplit/>
          <w:trHeight w:val="20"/>
          <w:jc w:val="center"/>
        </w:trPr>
        <w:tc>
          <w:tcPr>
            <w:tcW w:w="1852" w:type="dxa"/>
            <w:vMerge/>
          </w:tcPr>
          <w:p w14:paraId="19F030A3" w14:textId="77777777" w:rsidR="009601AE" w:rsidRPr="00690428" w:rsidRDefault="009601AE" w:rsidP="009E3730">
            <w:pPr>
              <w:widowControl w:val="0"/>
              <w:suppressAutoHyphens/>
              <w:spacing w:before="40" w:after="40"/>
              <w:jc w:val="left"/>
              <w:rPr>
                <w:sz w:val="20"/>
                <w:szCs w:val="20"/>
              </w:rPr>
            </w:pPr>
          </w:p>
        </w:tc>
        <w:tc>
          <w:tcPr>
            <w:tcW w:w="1273" w:type="dxa"/>
            <w:vMerge/>
          </w:tcPr>
          <w:p w14:paraId="2E86AC7E" w14:textId="77777777" w:rsidR="009601AE" w:rsidRPr="00690428" w:rsidRDefault="009601AE" w:rsidP="009E3730">
            <w:pPr>
              <w:widowControl w:val="0"/>
              <w:suppressAutoHyphens/>
              <w:spacing w:before="40" w:after="40"/>
              <w:jc w:val="left"/>
              <w:rPr>
                <w:sz w:val="20"/>
                <w:szCs w:val="20"/>
              </w:rPr>
            </w:pPr>
          </w:p>
        </w:tc>
        <w:tc>
          <w:tcPr>
            <w:tcW w:w="1701" w:type="dxa"/>
            <w:vMerge/>
          </w:tcPr>
          <w:p w14:paraId="7F9417FD" w14:textId="77777777" w:rsidR="009601AE" w:rsidRPr="00690428" w:rsidRDefault="009601AE" w:rsidP="009E3730">
            <w:pPr>
              <w:widowControl w:val="0"/>
              <w:suppressAutoHyphens/>
              <w:spacing w:before="40" w:after="40"/>
              <w:jc w:val="right"/>
              <w:rPr>
                <w:sz w:val="20"/>
                <w:szCs w:val="20"/>
              </w:rPr>
            </w:pPr>
          </w:p>
        </w:tc>
        <w:tc>
          <w:tcPr>
            <w:tcW w:w="1559" w:type="dxa"/>
            <w:vMerge/>
          </w:tcPr>
          <w:p w14:paraId="6F694A48" w14:textId="77777777" w:rsidR="009601AE" w:rsidRPr="00690428" w:rsidRDefault="009601AE" w:rsidP="009E3730">
            <w:pPr>
              <w:widowControl w:val="0"/>
              <w:suppressAutoHyphens/>
              <w:spacing w:before="40" w:after="40"/>
              <w:jc w:val="center"/>
              <w:rPr>
                <w:sz w:val="20"/>
                <w:szCs w:val="20"/>
              </w:rPr>
            </w:pPr>
          </w:p>
        </w:tc>
        <w:tc>
          <w:tcPr>
            <w:tcW w:w="5586" w:type="dxa"/>
            <w:tcBorders>
              <w:top w:val="nil"/>
            </w:tcBorders>
          </w:tcPr>
          <w:p w14:paraId="35539249" w14:textId="77777777" w:rsidR="009601AE" w:rsidRPr="00690428" w:rsidRDefault="009601AE" w:rsidP="009E3730">
            <w:pPr>
              <w:widowControl w:val="0"/>
              <w:suppressAutoHyphens/>
              <w:spacing w:before="40" w:after="40"/>
              <w:jc w:val="left"/>
              <w:rPr>
                <w:sz w:val="20"/>
                <w:szCs w:val="20"/>
              </w:rPr>
            </w:pPr>
            <w:r w:rsidRPr="00690428">
              <w:rPr>
                <w:sz w:val="20"/>
                <w:szCs w:val="20"/>
              </w:rPr>
              <w:t>R3.3.2 At least 3 pilot projects with elements of work-based learning</w:t>
            </w:r>
          </w:p>
        </w:tc>
        <w:tc>
          <w:tcPr>
            <w:tcW w:w="3173" w:type="dxa"/>
            <w:tcBorders>
              <w:top w:val="nil"/>
            </w:tcBorders>
          </w:tcPr>
          <w:p w14:paraId="621FC42C" w14:textId="77777777" w:rsidR="009601AE" w:rsidRPr="00690428" w:rsidRDefault="009601AE" w:rsidP="009E3730">
            <w:pPr>
              <w:widowControl w:val="0"/>
              <w:suppressAutoHyphens/>
              <w:spacing w:before="40" w:after="40"/>
              <w:rPr>
                <w:sz w:val="20"/>
                <w:szCs w:val="20"/>
              </w:rPr>
            </w:pPr>
            <w:r w:rsidRPr="00690428">
              <w:rPr>
                <w:sz w:val="20"/>
                <w:szCs w:val="20"/>
              </w:rPr>
              <w:t>Reference/planning documents for work- based learning pilot projects</w:t>
            </w:r>
          </w:p>
          <w:p w14:paraId="77B5BB06" w14:textId="77777777" w:rsidR="009601AE" w:rsidRPr="00690428" w:rsidRDefault="009601AE" w:rsidP="009E3730">
            <w:pPr>
              <w:widowControl w:val="0"/>
              <w:suppressAutoHyphens/>
              <w:spacing w:before="40" w:after="40"/>
              <w:rPr>
                <w:sz w:val="20"/>
                <w:szCs w:val="20"/>
              </w:rPr>
            </w:pPr>
            <w:r w:rsidRPr="00690428">
              <w:rPr>
                <w:sz w:val="20"/>
                <w:szCs w:val="20"/>
              </w:rPr>
              <w:t>Site visits</w:t>
            </w:r>
          </w:p>
        </w:tc>
      </w:tr>
    </w:tbl>
    <w:p w14:paraId="2E2495AD" w14:textId="77777777" w:rsidR="009601AE" w:rsidRDefault="009601AE" w:rsidP="009E3730">
      <w:pPr>
        <w:widowControl w:val="0"/>
        <w:suppressAutoHyphens/>
        <w:rPr>
          <w:sz w:val="20"/>
          <w:szCs w:val="20"/>
        </w:rPr>
      </w:pPr>
    </w:p>
    <w:p w14:paraId="4C8ED9F9" w14:textId="77777777" w:rsidR="009601AE" w:rsidRDefault="009601AE" w:rsidP="009E3730">
      <w:pPr>
        <w:widowControl w:val="0"/>
        <w:suppressAutoHyphens/>
        <w:rPr>
          <w:sz w:val="20"/>
          <w:szCs w:val="20"/>
        </w:rPr>
      </w:pPr>
    </w:p>
    <w:p w14:paraId="1F4D1447" w14:textId="77777777" w:rsidR="009601AE" w:rsidRDefault="009601AE" w:rsidP="009E3730">
      <w:pPr>
        <w:widowControl w:val="0"/>
        <w:numPr>
          <w:ilvl w:val="12"/>
          <w:numId w:val="0"/>
        </w:numPr>
        <w:suppressAutoHyphens/>
        <w:rPr>
          <w:sz w:val="20"/>
          <w:szCs w:val="20"/>
        </w:rPr>
      </w:pPr>
    </w:p>
    <w:p w14:paraId="6B0FB411" w14:textId="77777777" w:rsidR="009601AE" w:rsidRDefault="009601AE" w:rsidP="009E3730">
      <w:pPr>
        <w:widowControl w:val="0"/>
        <w:suppressAutoHyphens/>
        <w:rPr>
          <w:sz w:val="20"/>
          <w:szCs w:val="20"/>
        </w:rPr>
        <w:sectPr w:rsidR="009601AE">
          <w:pgSz w:w="16834" w:h="11909" w:orient="landscape" w:code="9"/>
          <w:pgMar w:top="1411" w:right="1411" w:bottom="1411" w:left="1253" w:header="706" w:footer="706" w:gutter="0"/>
          <w:cols w:space="708"/>
        </w:sectPr>
      </w:pPr>
    </w:p>
    <w:p w14:paraId="547BECEE" w14:textId="77777777" w:rsidR="009601AE" w:rsidRDefault="009601AE" w:rsidP="009E3730">
      <w:pPr>
        <w:widowControl w:val="0"/>
        <w:suppressAutoHyphens/>
        <w:rPr>
          <w:b/>
          <w:bCs/>
          <w:i/>
          <w:iCs/>
          <w:sz w:val="24"/>
          <w:szCs w:val="24"/>
        </w:rPr>
      </w:pPr>
      <w:r>
        <w:rPr>
          <w:b/>
          <w:bCs/>
          <w:i/>
          <w:iCs/>
          <w:sz w:val="24"/>
          <w:szCs w:val="24"/>
        </w:rPr>
        <w:t>c)</w:t>
      </w:r>
      <w:r>
        <w:rPr>
          <w:b/>
          <w:bCs/>
          <w:i/>
          <w:iCs/>
          <w:sz w:val="24"/>
          <w:szCs w:val="24"/>
        </w:rPr>
        <w:tab/>
        <w:t>Modalities of assessment of performance in the case of variable tranches</w:t>
      </w:r>
    </w:p>
    <w:p w14:paraId="313D50EF" w14:textId="77777777" w:rsidR="009601AE" w:rsidRDefault="009601AE" w:rsidP="009E3730">
      <w:pPr>
        <w:widowControl w:val="0"/>
        <w:suppressAutoHyphens/>
      </w:pPr>
    </w:p>
    <w:p w14:paraId="1856BEF0" w14:textId="77777777" w:rsidR="009601AE" w:rsidRDefault="009601AE" w:rsidP="009E3730">
      <w:pPr>
        <w:widowControl w:val="0"/>
        <w:suppressAutoHyphens/>
      </w:pPr>
      <w:r>
        <w:t>(from TAPs, Appendix 2)</w:t>
      </w:r>
    </w:p>
    <w:p w14:paraId="52E7B60F" w14:textId="77777777" w:rsidR="009601AE" w:rsidRDefault="009601AE" w:rsidP="009E3730">
      <w:pPr>
        <w:widowControl w:val="0"/>
        <w:suppressAutoHyphens/>
      </w:pPr>
    </w:p>
    <w:p w14:paraId="1E40321F" w14:textId="77777777" w:rsidR="009601AE" w:rsidRDefault="009601AE" w:rsidP="009E3730">
      <w:pPr>
        <w:widowControl w:val="0"/>
        <w:suppressAutoHyphens/>
      </w:pPr>
      <w:r>
        <w:t xml:space="preserve">This Programme foresees the payment of four instalments (four fixed tranches and three variable tranches). For each of them, the fixed tranche will be paid upon compliance with the General Conditions (as detailed in Table 2, General Conditions, above). </w:t>
      </w:r>
    </w:p>
    <w:p w14:paraId="1FCF8C7B" w14:textId="77777777" w:rsidR="009601AE" w:rsidRDefault="009601AE" w:rsidP="009E3730">
      <w:pPr>
        <w:widowControl w:val="0"/>
        <w:suppressAutoHyphens/>
      </w:pPr>
    </w:p>
    <w:p w14:paraId="784D0D84" w14:textId="77777777" w:rsidR="009601AE" w:rsidRDefault="009601AE" w:rsidP="009E3730">
      <w:pPr>
        <w:widowControl w:val="0"/>
        <w:suppressAutoHyphens/>
      </w:pPr>
      <w:r>
        <w:t xml:space="preserve">Once compliance with the General Conditions has been established, the variable tranche will be assessed on the basis of the agreed indicator and targets, as detailed in the Specific Conditions for tranche release, Table 3. Full compliance with one Specific Condition will entail the release of the full corresponding quota of the variable tranche as detailed in Table 4 below. Partial compliance will entail the release of half the corresponding quota. Non-compliance will entail no release of funds. For each Specific Condition, compliance corresponds to all indicators being met. Partial compliance corresponds to more than half of the indicators being met. Non-compliance corresponds to less than half of the indicators being met. </w:t>
      </w:r>
    </w:p>
    <w:p w14:paraId="3F0C820E" w14:textId="77777777" w:rsidR="009601AE" w:rsidRDefault="009601AE" w:rsidP="009E3730">
      <w:pPr>
        <w:widowControl w:val="0"/>
        <w:suppressAutoHyphens/>
      </w:pPr>
    </w:p>
    <w:p w14:paraId="5DE62BB9" w14:textId="77777777" w:rsidR="009601AE" w:rsidRDefault="009601AE" w:rsidP="009E3730">
      <w:pPr>
        <w:widowControl w:val="0"/>
        <w:suppressAutoHyphens/>
      </w:pPr>
      <w:r>
        <w:t>Funds withheld for lack of compliance will be lost at the end of the Programme. In duly justified cases and upon request by the Government, approved by the Coordination Council of the Programme (and subject to the appreciation of the Commission Services), compliance with unmet and/or partially met conditions might be reassessed along with the compliance review of the subsequent instalment, allowing for the payment of the corresponding unpaid amount(s).</w:t>
      </w:r>
    </w:p>
    <w:p w14:paraId="622853D6" w14:textId="77777777" w:rsidR="009601AE" w:rsidRDefault="009601AE" w:rsidP="009E3730">
      <w:pPr>
        <w:widowControl w:val="0"/>
        <w:suppressAutoHyphens/>
      </w:pPr>
    </w:p>
    <w:p w14:paraId="40252DB5" w14:textId="77777777" w:rsidR="009601AE" w:rsidRDefault="009601AE" w:rsidP="009E3730">
      <w:pPr>
        <w:widowControl w:val="0"/>
        <w:suppressAutoHyphens/>
        <w:jc w:val="left"/>
      </w:pPr>
      <w:r>
        <w:rPr>
          <w:b/>
          <w:bCs/>
        </w:rPr>
        <w:br w:type="page"/>
        <w:t>d)</w:t>
      </w:r>
      <w:r>
        <w:rPr>
          <w:b/>
          <w:bCs/>
        </w:rPr>
        <w:tab/>
        <w:t>Relative Instalment, Tranche and Specific Condition Amounts (TAPs Appendix 2, Table 4)</w:t>
      </w:r>
    </w:p>
    <w:p w14:paraId="6D5740FB" w14:textId="77777777" w:rsidR="009601AE" w:rsidRDefault="009601AE" w:rsidP="009E3730">
      <w:pPr>
        <w:widowControl w:val="0"/>
        <w:suppressAutoHyphens/>
      </w:pPr>
    </w:p>
    <w:tbl>
      <w:tblPr>
        <w:tblW w:w="13871" w:type="dxa"/>
        <w:jc w:val="center"/>
        <w:tblLayout w:type="fixed"/>
        <w:tblCellMar>
          <w:left w:w="10" w:type="dxa"/>
          <w:right w:w="10" w:type="dxa"/>
        </w:tblCellMar>
        <w:tblLook w:val="0000" w:firstRow="0" w:lastRow="0" w:firstColumn="0" w:lastColumn="0" w:noHBand="0" w:noVBand="0"/>
      </w:tblPr>
      <w:tblGrid>
        <w:gridCol w:w="3931"/>
        <w:gridCol w:w="900"/>
        <w:gridCol w:w="1080"/>
        <w:gridCol w:w="900"/>
        <w:gridCol w:w="1260"/>
        <w:gridCol w:w="900"/>
        <w:gridCol w:w="1260"/>
        <w:gridCol w:w="900"/>
        <w:gridCol w:w="1260"/>
        <w:gridCol w:w="1480"/>
      </w:tblGrid>
      <w:tr w:rsidR="009601AE" w:rsidRPr="00690428" w14:paraId="499961DA" w14:textId="77777777" w:rsidTr="00C90833">
        <w:trPr>
          <w:jc w:val="center"/>
        </w:trPr>
        <w:tc>
          <w:tcPr>
            <w:tcW w:w="3931" w:type="dxa"/>
            <w:tcBorders>
              <w:top w:val="single" w:sz="4" w:space="0" w:color="auto"/>
              <w:left w:val="single" w:sz="4" w:space="0" w:color="auto"/>
              <w:bottom w:val="nil"/>
              <w:right w:val="nil"/>
            </w:tcBorders>
            <w:shd w:val="clear" w:color="auto" w:fill="FFFFFF"/>
          </w:tcPr>
          <w:p w14:paraId="4764E148" w14:textId="77777777" w:rsidR="009601AE" w:rsidRPr="00690428" w:rsidRDefault="009601AE" w:rsidP="009E3730">
            <w:pPr>
              <w:widowControl w:val="0"/>
              <w:suppressAutoHyphens/>
              <w:spacing w:line="276" w:lineRule="auto"/>
              <w:rPr>
                <w:sz w:val="20"/>
                <w:szCs w:val="20"/>
              </w:rPr>
            </w:pPr>
          </w:p>
        </w:tc>
        <w:tc>
          <w:tcPr>
            <w:tcW w:w="1980" w:type="dxa"/>
            <w:gridSpan w:val="2"/>
            <w:tcBorders>
              <w:top w:val="single" w:sz="4" w:space="0" w:color="auto"/>
              <w:left w:val="single" w:sz="4" w:space="0" w:color="auto"/>
              <w:bottom w:val="nil"/>
              <w:right w:val="nil"/>
            </w:tcBorders>
            <w:shd w:val="clear" w:color="auto" w:fill="FFFFFF"/>
          </w:tcPr>
          <w:p w14:paraId="042369FE" w14:textId="77777777" w:rsidR="009601AE" w:rsidRPr="00690428" w:rsidRDefault="009601AE" w:rsidP="009E3730">
            <w:pPr>
              <w:widowControl w:val="0"/>
              <w:suppressAutoHyphens/>
              <w:spacing w:line="276" w:lineRule="auto"/>
              <w:jc w:val="center"/>
              <w:rPr>
                <w:sz w:val="20"/>
                <w:szCs w:val="20"/>
              </w:rPr>
            </w:pPr>
            <w:r w:rsidRPr="00690428">
              <w:rPr>
                <w:sz w:val="20"/>
                <w:szCs w:val="20"/>
              </w:rPr>
              <w:t>l</w:t>
            </w:r>
            <w:r w:rsidRPr="00690428">
              <w:rPr>
                <w:sz w:val="20"/>
                <w:szCs w:val="20"/>
                <w:vertAlign w:val="superscript"/>
              </w:rPr>
              <w:t>sl</w:t>
            </w:r>
            <w:r w:rsidRPr="00690428">
              <w:rPr>
                <w:sz w:val="20"/>
                <w:szCs w:val="20"/>
              </w:rPr>
              <w:t xml:space="preserve"> instalment</w:t>
            </w:r>
          </w:p>
        </w:tc>
        <w:tc>
          <w:tcPr>
            <w:tcW w:w="2160" w:type="dxa"/>
            <w:gridSpan w:val="2"/>
            <w:tcBorders>
              <w:top w:val="single" w:sz="4" w:space="0" w:color="auto"/>
              <w:left w:val="single" w:sz="4" w:space="0" w:color="auto"/>
              <w:bottom w:val="nil"/>
              <w:right w:val="nil"/>
            </w:tcBorders>
            <w:shd w:val="clear" w:color="auto" w:fill="FFFFFF"/>
          </w:tcPr>
          <w:p w14:paraId="5DA5D8CA" w14:textId="77777777" w:rsidR="009601AE" w:rsidRPr="00690428" w:rsidRDefault="009601AE" w:rsidP="009E3730">
            <w:pPr>
              <w:widowControl w:val="0"/>
              <w:suppressAutoHyphens/>
              <w:spacing w:line="276" w:lineRule="auto"/>
              <w:jc w:val="center"/>
              <w:rPr>
                <w:sz w:val="20"/>
                <w:szCs w:val="20"/>
              </w:rPr>
            </w:pPr>
            <w:r w:rsidRPr="00690428">
              <w:rPr>
                <w:sz w:val="20"/>
                <w:szCs w:val="20"/>
              </w:rPr>
              <w:t>2</w:t>
            </w:r>
            <w:r w:rsidRPr="00690428">
              <w:rPr>
                <w:sz w:val="20"/>
                <w:szCs w:val="20"/>
                <w:vertAlign w:val="superscript"/>
              </w:rPr>
              <w:t>nd</w:t>
            </w:r>
            <w:r w:rsidRPr="00690428">
              <w:rPr>
                <w:sz w:val="20"/>
                <w:szCs w:val="20"/>
              </w:rPr>
              <w:t xml:space="preserve"> instalment</w:t>
            </w:r>
          </w:p>
        </w:tc>
        <w:tc>
          <w:tcPr>
            <w:tcW w:w="2160" w:type="dxa"/>
            <w:gridSpan w:val="2"/>
            <w:tcBorders>
              <w:top w:val="single" w:sz="4" w:space="0" w:color="auto"/>
              <w:left w:val="single" w:sz="4" w:space="0" w:color="auto"/>
              <w:bottom w:val="nil"/>
              <w:right w:val="nil"/>
            </w:tcBorders>
            <w:shd w:val="clear" w:color="auto" w:fill="FFFFFF"/>
          </w:tcPr>
          <w:p w14:paraId="3E7A9AF8" w14:textId="77777777" w:rsidR="009601AE" w:rsidRPr="00690428" w:rsidRDefault="009601AE" w:rsidP="009E3730">
            <w:pPr>
              <w:widowControl w:val="0"/>
              <w:suppressAutoHyphens/>
              <w:spacing w:line="276" w:lineRule="auto"/>
              <w:jc w:val="center"/>
              <w:rPr>
                <w:sz w:val="20"/>
                <w:szCs w:val="20"/>
              </w:rPr>
            </w:pPr>
            <w:r w:rsidRPr="00690428">
              <w:rPr>
                <w:sz w:val="20"/>
                <w:szCs w:val="20"/>
              </w:rPr>
              <w:t>3”</w:t>
            </w:r>
            <w:r w:rsidRPr="00690428">
              <w:rPr>
                <w:sz w:val="20"/>
                <w:szCs w:val="20"/>
                <w:vertAlign w:val="superscript"/>
              </w:rPr>
              <w:t>1</w:t>
            </w:r>
            <w:r w:rsidRPr="00690428">
              <w:rPr>
                <w:sz w:val="20"/>
                <w:szCs w:val="20"/>
              </w:rPr>
              <w:t xml:space="preserve"> instalment</w:t>
            </w:r>
          </w:p>
        </w:tc>
        <w:tc>
          <w:tcPr>
            <w:tcW w:w="2160" w:type="dxa"/>
            <w:gridSpan w:val="2"/>
            <w:tcBorders>
              <w:top w:val="single" w:sz="4" w:space="0" w:color="auto"/>
              <w:left w:val="single" w:sz="4" w:space="0" w:color="auto"/>
              <w:bottom w:val="nil"/>
              <w:right w:val="nil"/>
            </w:tcBorders>
            <w:shd w:val="clear" w:color="auto" w:fill="FFFFFF"/>
          </w:tcPr>
          <w:p w14:paraId="0097F0EB" w14:textId="77777777" w:rsidR="009601AE" w:rsidRPr="00690428" w:rsidRDefault="009601AE" w:rsidP="009E3730">
            <w:pPr>
              <w:widowControl w:val="0"/>
              <w:suppressAutoHyphens/>
              <w:spacing w:line="276" w:lineRule="auto"/>
              <w:jc w:val="center"/>
              <w:rPr>
                <w:sz w:val="20"/>
                <w:szCs w:val="20"/>
              </w:rPr>
            </w:pPr>
            <w:r w:rsidRPr="00690428">
              <w:rPr>
                <w:sz w:val="20"/>
                <w:szCs w:val="20"/>
              </w:rPr>
              <w:t>4</w:t>
            </w:r>
            <w:r w:rsidRPr="00690428">
              <w:rPr>
                <w:sz w:val="20"/>
                <w:szCs w:val="20"/>
                <w:vertAlign w:val="superscript"/>
              </w:rPr>
              <w:t>th</w:t>
            </w:r>
            <w:r w:rsidRPr="00690428">
              <w:rPr>
                <w:sz w:val="20"/>
                <w:szCs w:val="20"/>
              </w:rPr>
              <w:t xml:space="preserve"> instalment</w:t>
            </w:r>
          </w:p>
        </w:tc>
        <w:tc>
          <w:tcPr>
            <w:tcW w:w="1480" w:type="dxa"/>
            <w:tcBorders>
              <w:top w:val="single" w:sz="4" w:space="0" w:color="auto"/>
              <w:left w:val="single" w:sz="4" w:space="0" w:color="auto"/>
              <w:bottom w:val="nil"/>
              <w:right w:val="single" w:sz="4" w:space="0" w:color="auto"/>
            </w:tcBorders>
            <w:shd w:val="clear" w:color="auto" w:fill="FFFFFF"/>
          </w:tcPr>
          <w:p w14:paraId="60020C29" w14:textId="77777777" w:rsidR="009601AE" w:rsidRPr="00690428" w:rsidRDefault="009601AE" w:rsidP="009E3730">
            <w:pPr>
              <w:widowControl w:val="0"/>
              <w:suppressAutoHyphens/>
              <w:spacing w:line="276" w:lineRule="auto"/>
              <w:rPr>
                <w:sz w:val="20"/>
                <w:szCs w:val="20"/>
              </w:rPr>
            </w:pPr>
          </w:p>
        </w:tc>
      </w:tr>
      <w:tr w:rsidR="009601AE" w:rsidRPr="00690428" w14:paraId="2F1209AA" w14:textId="77777777" w:rsidTr="00C90833">
        <w:trPr>
          <w:jc w:val="center"/>
        </w:trPr>
        <w:tc>
          <w:tcPr>
            <w:tcW w:w="3931" w:type="dxa"/>
            <w:tcBorders>
              <w:top w:val="single" w:sz="4" w:space="0" w:color="auto"/>
              <w:left w:val="single" w:sz="4" w:space="0" w:color="auto"/>
              <w:bottom w:val="nil"/>
              <w:right w:val="nil"/>
            </w:tcBorders>
            <w:shd w:val="clear" w:color="auto" w:fill="FFFFFF"/>
          </w:tcPr>
          <w:p w14:paraId="1C4BCF26" w14:textId="77777777" w:rsidR="009601AE" w:rsidRPr="00690428" w:rsidRDefault="009601AE" w:rsidP="009E3730">
            <w:pPr>
              <w:widowControl w:val="0"/>
              <w:suppressAutoHyphens/>
              <w:spacing w:line="276" w:lineRule="auto"/>
              <w:rPr>
                <w:sz w:val="20"/>
                <w:szCs w:val="20"/>
              </w:rPr>
            </w:pPr>
          </w:p>
        </w:tc>
        <w:tc>
          <w:tcPr>
            <w:tcW w:w="900" w:type="dxa"/>
            <w:tcBorders>
              <w:top w:val="single" w:sz="4" w:space="0" w:color="auto"/>
              <w:left w:val="single" w:sz="4" w:space="0" w:color="auto"/>
              <w:bottom w:val="nil"/>
              <w:right w:val="nil"/>
            </w:tcBorders>
            <w:shd w:val="clear" w:color="auto" w:fill="FFFFFF"/>
          </w:tcPr>
          <w:p w14:paraId="2356AE50" w14:textId="77777777" w:rsidR="009601AE" w:rsidRPr="00690428" w:rsidRDefault="009601AE" w:rsidP="009E3730">
            <w:pPr>
              <w:widowControl w:val="0"/>
              <w:suppressAutoHyphens/>
              <w:spacing w:line="276" w:lineRule="auto"/>
              <w:jc w:val="center"/>
              <w:rPr>
                <w:sz w:val="20"/>
                <w:szCs w:val="20"/>
              </w:rPr>
            </w:pPr>
            <w:r w:rsidRPr="00690428">
              <w:rPr>
                <w:sz w:val="20"/>
                <w:szCs w:val="20"/>
              </w:rPr>
              <w:t>% total</w:t>
            </w:r>
          </w:p>
        </w:tc>
        <w:tc>
          <w:tcPr>
            <w:tcW w:w="1080" w:type="dxa"/>
            <w:tcBorders>
              <w:top w:val="single" w:sz="4" w:space="0" w:color="auto"/>
              <w:left w:val="single" w:sz="4" w:space="0" w:color="auto"/>
              <w:bottom w:val="nil"/>
              <w:right w:val="nil"/>
            </w:tcBorders>
            <w:shd w:val="clear" w:color="auto" w:fill="FFFFFF"/>
          </w:tcPr>
          <w:p w14:paraId="4F69EDCE" w14:textId="77777777" w:rsidR="009601AE" w:rsidRPr="00690428" w:rsidRDefault="009601AE" w:rsidP="009E3730">
            <w:pPr>
              <w:widowControl w:val="0"/>
              <w:suppressAutoHyphens/>
              <w:spacing w:line="276" w:lineRule="auto"/>
              <w:jc w:val="center"/>
              <w:rPr>
                <w:sz w:val="20"/>
                <w:szCs w:val="20"/>
              </w:rPr>
            </w:pPr>
            <w:r w:rsidRPr="00690428">
              <w:rPr>
                <w:sz w:val="20"/>
                <w:szCs w:val="20"/>
              </w:rPr>
              <w:t>Maximum</w:t>
            </w:r>
          </w:p>
          <w:p w14:paraId="2DD4E143" w14:textId="77777777" w:rsidR="009601AE" w:rsidRPr="00690428" w:rsidRDefault="009601AE" w:rsidP="009E3730">
            <w:pPr>
              <w:widowControl w:val="0"/>
              <w:suppressAutoHyphens/>
              <w:spacing w:line="276" w:lineRule="auto"/>
              <w:jc w:val="center"/>
              <w:rPr>
                <w:sz w:val="20"/>
                <w:szCs w:val="20"/>
              </w:rPr>
            </w:pPr>
            <w:r w:rsidRPr="00690428">
              <w:rPr>
                <w:sz w:val="20"/>
                <w:szCs w:val="20"/>
              </w:rPr>
              <w:t>(€ million)</w:t>
            </w:r>
          </w:p>
        </w:tc>
        <w:tc>
          <w:tcPr>
            <w:tcW w:w="900" w:type="dxa"/>
            <w:tcBorders>
              <w:top w:val="single" w:sz="4" w:space="0" w:color="auto"/>
              <w:left w:val="single" w:sz="4" w:space="0" w:color="auto"/>
              <w:bottom w:val="nil"/>
              <w:right w:val="nil"/>
            </w:tcBorders>
            <w:shd w:val="clear" w:color="auto" w:fill="FFFFFF"/>
          </w:tcPr>
          <w:p w14:paraId="5AD2909E" w14:textId="77777777" w:rsidR="009601AE" w:rsidRPr="00690428" w:rsidRDefault="009601AE" w:rsidP="009E3730">
            <w:pPr>
              <w:widowControl w:val="0"/>
              <w:suppressAutoHyphens/>
              <w:spacing w:line="276" w:lineRule="auto"/>
              <w:jc w:val="center"/>
              <w:rPr>
                <w:sz w:val="20"/>
                <w:szCs w:val="20"/>
              </w:rPr>
            </w:pPr>
            <w:r w:rsidRPr="00690428">
              <w:rPr>
                <w:sz w:val="20"/>
                <w:szCs w:val="20"/>
              </w:rPr>
              <w:t>% total</w:t>
            </w:r>
          </w:p>
        </w:tc>
        <w:tc>
          <w:tcPr>
            <w:tcW w:w="1260" w:type="dxa"/>
            <w:tcBorders>
              <w:top w:val="single" w:sz="4" w:space="0" w:color="auto"/>
              <w:left w:val="single" w:sz="4" w:space="0" w:color="auto"/>
              <w:bottom w:val="nil"/>
              <w:right w:val="nil"/>
            </w:tcBorders>
            <w:shd w:val="clear" w:color="auto" w:fill="FFFFFF"/>
          </w:tcPr>
          <w:p w14:paraId="5B02EFF6" w14:textId="77777777" w:rsidR="009601AE" w:rsidRPr="00690428" w:rsidRDefault="009601AE" w:rsidP="009E3730">
            <w:pPr>
              <w:widowControl w:val="0"/>
              <w:suppressAutoHyphens/>
              <w:spacing w:line="276" w:lineRule="auto"/>
              <w:jc w:val="center"/>
              <w:rPr>
                <w:sz w:val="20"/>
                <w:szCs w:val="20"/>
              </w:rPr>
            </w:pPr>
            <w:r w:rsidRPr="00690428">
              <w:rPr>
                <w:sz w:val="20"/>
                <w:szCs w:val="20"/>
              </w:rPr>
              <w:t>Maximum</w:t>
            </w:r>
          </w:p>
          <w:p w14:paraId="1ABCA628" w14:textId="77777777" w:rsidR="009601AE" w:rsidRPr="00690428" w:rsidRDefault="009601AE" w:rsidP="009E3730">
            <w:pPr>
              <w:widowControl w:val="0"/>
              <w:suppressAutoHyphens/>
              <w:spacing w:line="276" w:lineRule="auto"/>
              <w:jc w:val="center"/>
              <w:rPr>
                <w:sz w:val="20"/>
                <w:szCs w:val="20"/>
              </w:rPr>
            </w:pPr>
            <w:r w:rsidRPr="00690428">
              <w:rPr>
                <w:sz w:val="20"/>
                <w:szCs w:val="20"/>
              </w:rPr>
              <w:t>(€ million)</w:t>
            </w:r>
          </w:p>
        </w:tc>
        <w:tc>
          <w:tcPr>
            <w:tcW w:w="900" w:type="dxa"/>
            <w:tcBorders>
              <w:top w:val="single" w:sz="4" w:space="0" w:color="auto"/>
              <w:left w:val="single" w:sz="4" w:space="0" w:color="auto"/>
              <w:bottom w:val="nil"/>
              <w:right w:val="nil"/>
            </w:tcBorders>
            <w:shd w:val="clear" w:color="auto" w:fill="FFFFFF"/>
          </w:tcPr>
          <w:p w14:paraId="523F14B0" w14:textId="77777777" w:rsidR="009601AE" w:rsidRPr="00690428" w:rsidRDefault="009601AE" w:rsidP="009E3730">
            <w:pPr>
              <w:widowControl w:val="0"/>
              <w:suppressAutoHyphens/>
              <w:spacing w:line="276" w:lineRule="auto"/>
              <w:jc w:val="center"/>
              <w:rPr>
                <w:sz w:val="20"/>
                <w:szCs w:val="20"/>
              </w:rPr>
            </w:pPr>
            <w:r w:rsidRPr="00690428">
              <w:rPr>
                <w:sz w:val="20"/>
                <w:szCs w:val="20"/>
              </w:rPr>
              <w:t>% total</w:t>
            </w:r>
          </w:p>
        </w:tc>
        <w:tc>
          <w:tcPr>
            <w:tcW w:w="1260" w:type="dxa"/>
            <w:tcBorders>
              <w:top w:val="single" w:sz="4" w:space="0" w:color="auto"/>
              <w:left w:val="single" w:sz="4" w:space="0" w:color="auto"/>
              <w:bottom w:val="nil"/>
              <w:right w:val="nil"/>
            </w:tcBorders>
            <w:shd w:val="clear" w:color="auto" w:fill="FFFFFF"/>
          </w:tcPr>
          <w:p w14:paraId="59097AB4" w14:textId="77777777" w:rsidR="009601AE" w:rsidRPr="00690428" w:rsidRDefault="009601AE" w:rsidP="009E3730">
            <w:pPr>
              <w:widowControl w:val="0"/>
              <w:suppressAutoHyphens/>
              <w:spacing w:line="276" w:lineRule="auto"/>
              <w:jc w:val="center"/>
              <w:rPr>
                <w:sz w:val="20"/>
                <w:szCs w:val="20"/>
              </w:rPr>
            </w:pPr>
            <w:r w:rsidRPr="00690428">
              <w:rPr>
                <w:sz w:val="20"/>
                <w:szCs w:val="20"/>
              </w:rPr>
              <w:t>Maximum</w:t>
            </w:r>
          </w:p>
          <w:p w14:paraId="5BB53244" w14:textId="77777777" w:rsidR="009601AE" w:rsidRPr="00690428" w:rsidRDefault="009601AE" w:rsidP="009E3730">
            <w:pPr>
              <w:widowControl w:val="0"/>
              <w:suppressAutoHyphens/>
              <w:spacing w:line="276" w:lineRule="auto"/>
              <w:jc w:val="center"/>
              <w:rPr>
                <w:sz w:val="20"/>
                <w:szCs w:val="20"/>
              </w:rPr>
            </w:pPr>
            <w:r w:rsidRPr="00690428">
              <w:rPr>
                <w:sz w:val="20"/>
                <w:szCs w:val="20"/>
              </w:rPr>
              <w:t>(€ million)</w:t>
            </w:r>
          </w:p>
        </w:tc>
        <w:tc>
          <w:tcPr>
            <w:tcW w:w="900" w:type="dxa"/>
            <w:tcBorders>
              <w:top w:val="single" w:sz="4" w:space="0" w:color="auto"/>
              <w:left w:val="single" w:sz="4" w:space="0" w:color="auto"/>
              <w:bottom w:val="nil"/>
              <w:right w:val="nil"/>
            </w:tcBorders>
            <w:shd w:val="clear" w:color="auto" w:fill="FFFFFF"/>
          </w:tcPr>
          <w:p w14:paraId="5156439A" w14:textId="77777777" w:rsidR="009601AE" w:rsidRPr="00690428" w:rsidRDefault="009601AE" w:rsidP="009E3730">
            <w:pPr>
              <w:widowControl w:val="0"/>
              <w:suppressAutoHyphens/>
              <w:spacing w:line="276" w:lineRule="auto"/>
              <w:jc w:val="center"/>
              <w:rPr>
                <w:sz w:val="20"/>
                <w:szCs w:val="20"/>
              </w:rPr>
            </w:pPr>
            <w:r w:rsidRPr="00690428">
              <w:rPr>
                <w:sz w:val="20"/>
                <w:szCs w:val="20"/>
              </w:rPr>
              <w:t>% total</w:t>
            </w:r>
          </w:p>
        </w:tc>
        <w:tc>
          <w:tcPr>
            <w:tcW w:w="1260" w:type="dxa"/>
            <w:tcBorders>
              <w:top w:val="single" w:sz="4" w:space="0" w:color="auto"/>
              <w:left w:val="single" w:sz="4" w:space="0" w:color="auto"/>
              <w:bottom w:val="nil"/>
              <w:right w:val="nil"/>
            </w:tcBorders>
            <w:shd w:val="clear" w:color="auto" w:fill="FFFFFF"/>
          </w:tcPr>
          <w:p w14:paraId="756C502C" w14:textId="77777777" w:rsidR="009601AE" w:rsidRPr="00690428" w:rsidRDefault="009601AE" w:rsidP="009E3730">
            <w:pPr>
              <w:widowControl w:val="0"/>
              <w:suppressAutoHyphens/>
              <w:spacing w:line="276" w:lineRule="auto"/>
              <w:jc w:val="center"/>
              <w:rPr>
                <w:sz w:val="20"/>
                <w:szCs w:val="20"/>
              </w:rPr>
            </w:pPr>
            <w:r w:rsidRPr="00690428">
              <w:rPr>
                <w:sz w:val="20"/>
                <w:szCs w:val="20"/>
              </w:rPr>
              <w:t>Maximum</w:t>
            </w:r>
          </w:p>
          <w:p w14:paraId="574C9108" w14:textId="77777777" w:rsidR="009601AE" w:rsidRPr="00690428" w:rsidRDefault="009601AE" w:rsidP="009E3730">
            <w:pPr>
              <w:widowControl w:val="0"/>
              <w:suppressAutoHyphens/>
              <w:spacing w:line="276" w:lineRule="auto"/>
              <w:jc w:val="center"/>
              <w:rPr>
                <w:sz w:val="20"/>
                <w:szCs w:val="20"/>
              </w:rPr>
            </w:pPr>
            <w:r w:rsidRPr="00690428">
              <w:rPr>
                <w:sz w:val="20"/>
                <w:szCs w:val="20"/>
              </w:rPr>
              <w:t>(€ million)</w:t>
            </w:r>
          </w:p>
        </w:tc>
        <w:tc>
          <w:tcPr>
            <w:tcW w:w="1480" w:type="dxa"/>
            <w:tcBorders>
              <w:top w:val="single" w:sz="4" w:space="0" w:color="auto"/>
              <w:left w:val="single" w:sz="4" w:space="0" w:color="auto"/>
              <w:bottom w:val="nil"/>
              <w:right w:val="single" w:sz="4" w:space="0" w:color="auto"/>
            </w:tcBorders>
            <w:shd w:val="clear" w:color="auto" w:fill="FFFFFF"/>
          </w:tcPr>
          <w:p w14:paraId="2F64D339" w14:textId="77777777" w:rsidR="009601AE" w:rsidRPr="00690428" w:rsidRDefault="009601AE" w:rsidP="009E3730">
            <w:pPr>
              <w:widowControl w:val="0"/>
              <w:suppressAutoHyphens/>
              <w:spacing w:line="276" w:lineRule="auto"/>
              <w:jc w:val="center"/>
              <w:rPr>
                <w:sz w:val="20"/>
                <w:szCs w:val="20"/>
              </w:rPr>
            </w:pPr>
            <w:r w:rsidRPr="00690428">
              <w:rPr>
                <w:sz w:val="20"/>
                <w:szCs w:val="20"/>
              </w:rPr>
              <w:t>Total</w:t>
            </w:r>
          </w:p>
          <w:p w14:paraId="4A07FA16" w14:textId="77777777" w:rsidR="009601AE" w:rsidRPr="00690428" w:rsidRDefault="009601AE" w:rsidP="009E3730">
            <w:pPr>
              <w:widowControl w:val="0"/>
              <w:suppressAutoHyphens/>
              <w:spacing w:line="276" w:lineRule="auto"/>
              <w:ind w:left="380"/>
              <w:jc w:val="center"/>
              <w:rPr>
                <w:sz w:val="20"/>
                <w:szCs w:val="20"/>
              </w:rPr>
            </w:pPr>
            <w:r w:rsidRPr="00690428">
              <w:rPr>
                <w:sz w:val="20"/>
                <w:szCs w:val="20"/>
              </w:rPr>
              <w:t>(€ million)</w:t>
            </w:r>
          </w:p>
        </w:tc>
      </w:tr>
      <w:tr w:rsidR="009601AE" w:rsidRPr="00690428" w14:paraId="0FB31505" w14:textId="77777777" w:rsidTr="00C90833">
        <w:trPr>
          <w:jc w:val="center"/>
        </w:trPr>
        <w:tc>
          <w:tcPr>
            <w:tcW w:w="3931" w:type="dxa"/>
            <w:tcBorders>
              <w:top w:val="single" w:sz="4" w:space="0" w:color="auto"/>
              <w:left w:val="single" w:sz="4" w:space="0" w:color="auto"/>
              <w:bottom w:val="nil"/>
              <w:right w:val="nil"/>
            </w:tcBorders>
            <w:shd w:val="clear" w:color="auto" w:fill="FFFFFF"/>
          </w:tcPr>
          <w:p w14:paraId="62099945" w14:textId="77777777" w:rsidR="009601AE" w:rsidRPr="00690428" w:rsidRDefault="009601AE" w:rsidP="009E3730">
            <w:pPr>
              <w:widowControl w:val="0"/>
              <w:suppressAutoHyphens/>
              <w:spacing w:line="276" w:lineRule="auto"/>
              <w:ind w:left="120"/>
              <w:jc w:val="left"/>
              <w:rPr>
                <w:sz w:val="20"/>
                <w:szCs w:val="20"/>
              </w:rPr>
            </w:pPr>
            <w:r w:rsidRPr="00690428">
              <w:rPr>
                <w:sz w:val="20"/>
                <w:szCs w:val="20"/>
              </w:rPr>
              <w:t>TOTAL</w:t>
            </w:r>
          </w:p>
        </w:tc>
        <w:tc>
          <w:tcPr>
            <w:tcW w:w="900" w:type="dxa"/>
            <w:tcBorders>
              <w:top w:val="single" w:sz="4" w:space="0" w:color="auto"/>
              <w:left w:val="single" w:sz="4" w:space="0" w:color="auto"/>
              <w:bottom w:val="nil"/>
              <w:right w:val="nil"/>
            </w:tcBorders>
            <w:shd w:val="clear" w:color="auto" w:fill="FFFFFF"/>
          </w:tcPr>
          <w:p w14:paraId="2549D618" w14:textId="77777777" w:rsidR="009601AE" w:rsidRPr="00690428" w:rsidRDefault="009601AE" w:rsidP="009E3730">
            <w:pPr>
              <w:widowControl w:val="0"/>
              <w:suppressAutoHyphens/>
              <w:spacing w:line="276" w:lineRule="auto"/>
              <w:jc w:val="center"/>
              <w:rPr>
                <w:sz w:val="20"/>
                <w:szCs w:val="20"/>
              </w:rPr>
            </w:pPr>
            <w:r w:rsidRPr="00690428">
              <w:rPr>
                <w:sz w:val="20"/>
                <w:szCs w:val="20"/>
              </w:rPr>
              <w:t>100</w:t>
            </w:r>
          </w:p>
        </w:tc>
        <w:tc>
          <w:tcPr>
            <w:tcW w:w="1080" w:type="dxa"/>
            <w:tcBorders>
              <w:top w:val="single" w:sz="4" w:space="0" w:color="auto"/>
              <w:left w:val="single" w:sz="4" w:space="0" w:color="auto"/>
              <w:bottom w:val="nil"/>
              <w:right w:val="nil"/>
            </w:tcBorders>
            <w:shd w:val="clear" w:color="auto" w:fill="FFFFFF"/>
          </w:tcPr>
          <w:p w14:paraId="1CA70B05" w14:textId="77777777" w:rsidR="009601AE" w:rsidRPr="00690428" w:rsidRDefault="009601AE" w:rsidP="009E3730">
            <w:pPr>
              <w:widowControl w:val="0"/>
              <w:suppressAutoHyphens/>
              <w:spacing w:line="276" w:lineRule="auto"/>
              <w:jc w:val="center"/>
              <w:rPr>
                <w:sz w:val="20"/>
                <w:szCs w:val="20"/>
              </w:rPr>
            </w:pPr>
            <w:r w:rsidRPr="00690428">
              <w:rPr>
                <w:sz w:val="20"/>
                <w:szCs w:val="20"/>
              </w:rPr>
              <w:t>3.0</w:t>
            </w:r>
          </w:p>
        </w:tc>
        <w:tc>
          <w:tcPr>
            <w:tcW w:w="900" w:type="dxa"/>
            <w:tcBorders>
              <w:top w:val="single" w:sz="4" w:space="0" w:color="auto"/>
              <w:left w:val="single" w:sz="4" w:space="0" w:color="auto"/>
              <w:bottom w:val="nil"/>
              <w:right w:val="nil"/>
            </w:tcBorders>
            <w:shd w:val="clear" w:color="auto" w:fill="FFFFFF"/>
          </w:tcPr>
          <w:p w14:paraId="4F5E906A" w14:textId="77777777" w:rsidR="009601AE" w:rsidRPr="00690428" w:rsidRDefault="009601AE" w:rsidP="009E3730">
            <w:pPr>
              <w:widowControl w:val="0"/>
              <w:suppressAutoHyphens/>
              <w:spacing w:line="276" w:lineRule="auto"/>
              <w:jc w:val="center"/>
              <w:rPr>
                <w:sz w:val="20"/>
                <w:szCs w:val="20"/>
              </w:rPr>
            </w:pPr>
            <w:r w:rsidRPr="00690428">
              <w:rPr>
                <w:sz w:val="20"/>
                <w:szCs w:val="20"/>
              </w:rPr>
              <w:t>100</w:t>
            </w:r>
          </w:p>
        </w:tc>
        <w:tc>
          <w:tcPr>
            <w:tcW w:w="1260" w:type="dxa"/>
            <w:tcBorders>
              <w:top w:val="single" w:sz="4" w:space="0" w:color="auto"/>
              <w:left w:val="single" w:sz="4" w:space="0" w:color="auto"/>
              <w:bottom w:val="nil"/>
              <w:right w:val="nil"/>
            </w:tcBorders>
            <w:shd w:val="clear" w:color="auto" w:fill="FFFFFF"/>
          </w:tcPr>
          <w:p w14:paraId="79D704ED" w14:textId="77777777" w:rsidR="009601AE" w:rsidRPr="00690428" w:rsidRDefault="009601AE" w:rsidP="009E3730">
            <w:pPr>
              <w:widowControl w:val="0"/>
              <w:suppressAutoHyphens/>
              <w:spacing w:line="276" w:lineRule="auto"/>
              <w:jc w:val="center"/>
              <w:rPr>
                <w:sz w:val="20"/>
                <w:szCs w:val="20"/>
              </w:rPr>
            </w:pPr>
            <w:r w:rsidRPr="00690428">
              <w:rPr>
                <w:sz w:val="20"/>
                <w:szCs w:val="20"/>
              </w:rPr>
              <w:t>4.0</w:t>
            </w:r>
          </w:p>
        </w:tc>
        <w:tc>
          <w:tcPr>
            <w:tcW w:w="900" w:type="dxa"/>
            <w:tcBorders>
              <w:top w:val="single" w:sz="4" w:space="0" w:color="auto"/>
              <w:left w:val="single" w:sz="4" w:space="0" w:color="auto"/>
              <w:bottom w:val="nil"/>
              <w:right w:val="nil"/>
            </w:tcBorders>
            <w:shd w:val="clear" w:color="auto" w:fill="FFFFFF"/>
          </w:tcPr>
          <w:p w14:paraId="48E4F0CF" w14:textId="77777777" w:rsidR="009601AE" w:rsidRPr="00690428" w:rsidRDefault="009601AE" w:rsidP="009E3730">
            <w:pPr>
              <w:widowControl w:val="0"/>
              <w:suppressAutoHyphens/>
              <w:spacing w:line="276" w:lineRule="auto"/>
              <w:jc w:val="center"/>
              <w:rPr>
                <w:sz w:val="20"/>
                <w:szCs w:val="20"/>
              </w:rPr>
            </w:pPr>
            <w:r w:rsidRPr="00690428">
              <w:rPr>
                <w:sz w:val="20"/>
                <w:szCs w:val="20"/>
              </w:rPr>
              <w:t>100</w:t>
            </w:r>
          </w:p>
        </w:tc>
        <w:tc>
          <w:tcPr>
            <w:tcW w:w="1260" w:type="dxa"/>
            <w:tcBorders>
              <w:top w:val="single" w:sz="4" w:space="0" w:color="auto"/>
              <w:left w:val="single" w:sz="4" w:space="0" w:color="auto"/>
              <w:bottom w:val="nil"/>
              <w:right w:val="nil"/>
            </w:tcBorders>
            <w:shd w:val="clear" w:color="auto" w:fill="FFFFFF"/>
          </w:tcPr>
          <w:p w14:paraId="11F700A8" w14:textId="77777777" w:rsidR="009601AE" w:rsidRPr="00690428" w:rsidRDefault="009601AE" w:rsidP="009E3730">
            <w:pPr>
              <w:widowControl w:val="0"/>
              <w:suppressAutoHyphens/>
              <w:spacing w:line="276" w:lineRule="auto"/>
              <w:jc w:val="center"/>
              <w:rPr>
                <w:sz w:val="20"/>
                <w:szCs w:val="20"/>
              </w:rPr>
            </w:pPr>
            <w:r w:rsidRPr="00690428">
              <w:rPr>
                <w:sz w:val="20"/>
                <w:szCs w:val="20"/>
              </w:rPr>
              <w:t>5.5</w:t>
            </w:r>
          </w:p>
        </w:tc>
        <w:tc>
          <w:tcPr>
            <w:tcW w:w="900" w:type="dxa"/>
            <w:tcBorders>
              <w:top w:val="single" w:sz="4" w:space="0" w:color="auto"/>
              <w:left w:val="single" w:sz="4" w:space="0" w:color="auto"/>
              <w:bottom w:val="nil"/>
              <w:right w:val="nil"/>
            </w:tcBorders>
            <w:shd w:val="clear" w:color="auto" w:fill="FFFFFF"/>
          </w:tcPr>
          <w:p w14:paraId="4BE0DD23" w14:textId="77777777" w:rsidR="009601AE" w:rsidRPr="00690428" w:rsidRDefault="009601AE" w:rsidP="009E3730">
            <w:pPr>
              <w:widowControl w:val="0"/>
              <w:suppressAutoHyphens/>
              <w:spacing w:line="276" w:lineRule="auto"/>
              <w:jc w:val="center"/>
              <w:rPr>
                <w:sz w:val="20"/>
                <w:szCs w:val="20"/>
              </w:rPr>
            </w:pPr>
            <w:r w:rsidRPr="00690428">
              <w:rPr>
                <w:sz w:val="20"/>
                <w:szCs w:val="20"/>
              </w:rPr>
              <w:t>100</w:t>
            </w:r>
          </w:p>
        </w:tc>
        <w:tc>
          <w:tcPr>
            <w:tcW w:w="1260" w:type="dxa"/>
            <w:tcBorders>
              <w:top w:val="single" w:sz="4" w:space="0" w:color="auto"/>
              <w:left w:val="single" w:sz="4" w:space="0" w:color="auto"/>
              <w:bottom w:val="nil"/>
              <w:right w:val="nil"/>
            </w:tcBorders>
            <w:shd w:val="clear" w:color="auto" w:fill="FFFFFF"/>
          </w:tcPr>
          <w:p w14:paraId="0C9052B9" w14:textId="77777777" w:rsidR="009601AE" w:rsidRPr="00690428" w:rsidRDefault="009601AE" w:rsidP="009E3730">
            <w:pPr>
              <w:widowControl w:val="0"/>
              <w:suppressAutoHyphens/>
              <w:spacing w:line="276" w:lineRule="auto"/>
              <w:jc w:val="center"/>
              <w:rPr>
                <w:sz w:val="20"/>
                <w:szCs w:val="20"/>
              </w:rPr>
            </w:pPr>
            <w:r w:rsidRPr="00690428">
              <w:rPr>
                <w:sz w:val="20"/>
                <w:szCs w:val="20"/>
              </w:rPr>
              <w:t>7.5</w:t>
            </w:r>
          </w:p>
        </w:tc>
        <w:tc>
          <w:tcPr>
            <w:tcW w:w="1480" w:type="dxa"/>
            <w:tcBorders>
              <w:top w:val="single" w:sz="4" w:space="0" w:color="auto"/>
              <w:left w:val="single" w:sz="4" w:space="0" w:color="auto"/>
              <w:bottom w:val="nil"/>
              <w:right w:val="single" w:sz="4" w:space="0" w:color="auto"/>
            </w:tcBorders>
            <w:shd w:val="clear" w:color="auto" w:fill="FFFFFF"/>
          </w:tcPr>
          <w:p w14:paraId="17C22FDE" w14:textId="77777777" w:rsidR="009601AE" w:rsidRPr="00690428" w:rsidRDefault="009601AE" w:rsidP="009E3730">
            <w:pPr>
              <w:widowControl w:val="0"/>
              <w:suppressAutoHyphens/>
              <w:spacing w:line="276" w:lineRule="auto"/>
              <w:jc w:val="center"/>
              <w:rPr>
                <w:sz w:val="20"/>
                <w:szCs w:val="20"/>
              </w:rPr>
            </w:pPr>
            <w:r w:rsidRPr="00690428">
              <w:rPr>
                <w:sz w:val="20"/>
                <w:szCs w:val="20"/>
              </w:rPr>
              <w:t>20.0</w:t>
            </w:r>
          </w:p>
        </w:tc>
      </w:tr>
      <w:tr w:rsidR="009601AE" w:rsidRPr="00690428" w14:paraId="3BFBBCDB" w14:textId="77777777" w:rsidTr="00C90833">
        <w:trPr>
          <w:jc w:val="center"/>
        </w:trPr>
        <w:tc>
          <w:tcPr>
            <w:tcW w:w="3931" w:type="dxa"/>
            <w:tcBorders>
              <w:top w:val="single" w:sz="4" w:space="0" w:color="auto"/>
              <w:left w:val="single" w:sz="4" w:space="0" w:color="auto"/>
              <w:bottom w:val="nil"/>
              <w:right w:val="nil"/>
            </w:tcBorders>
            <w:shd w:val="clear" w:color="auto" w:fill="FFFFFF"/>
          </w:tcPr>
          <w:p w14:paraId="643A0B39" w14:textId="77777777" w:rsidR="009601AE" w:rsidRPr="00690428" w:rsidRDefault="009601AE" w:rsidP="009E3730">
            <w:pPr>
              <w:widowControl w:val="0"/>
              <w:suppressAutoHyphens/>
              <w:spacing w:line="276" w:lineRule="auto"/>
              <w:ind w:left="120"/>
              <w:jc w:val="left"/>
              <w:rPr>
                <w:sz w:val="20"/>
                <w:szCs w:val="20"/>
              </w:rPr>
            </w:pPr>
            <w:r w:rsidRPr="00690428">
              <w:rPr>
                <w:sz w:val="20"/>
                <w:szCs w:val="20"/>
              </w:rPr>
              <w:t>Fixed tranches</w:t>
            </w:r>
          </w:p>
        </w:tc>
        <w:tc>
          <w:tcPr>
            <w:tcW w:w="900" w:type="dxa"/>
            <w:tcBorders>
              <w:top w:val="single" w:sz="4" w:space="0" w:color="auto"/>
              <w:left w:val="single" w:sz="4" w:space="0" w:color="auto"/>
              <w:bottom w:val="nil"/>
              <w:right w:val="nil"/>
            </w:tcBorders>
            <w:shd w:val="clear" w:color="auto" w:fill="FFFFFF"/>
          </w:tcPr>
          <w:p w14:paraId="21CD8292" w14:textId="77777777" w:rsidR="009601AE" w:rsidRPr="00690428" w:rsidRDefault="009601AE" w:rsidP="009E3730">
            <w:pPr>
              <w:widowControl w:val="0"/>
              <w:suppressAutoHyphens/>
              <w:spacing w:line="276" w:lineRule="auto"/>
              <w:jc w:val="center"/>
              <w:rPr>
                <w:sz w:val="20"/>
                <w:szCs w:val="20"/>
              </w:rPr>
            </w:pPr>
            <w:r w:rsidRPr="00690428">
              <w:t>100</w:t>
            </w:r>
          </w:p>
        </w:tc>
        <w:tc>
          <w:tcPr>
            <w:tcW w:w="1080" w:type="dxa"/>
            <w:tcBorders>
              <w:top w:val="single" w:sz="4" w:space="0" w:color="auto"/>
              <w:left w:val="single" w:sz="4" w:space="0" w:color="auto"/>
              <w:bottom w:val="nil"/>
              <w:right w:val="nil"/>
            </w:tcBorders>
            <w:shd w:val="clear" w:color="auto" w:fill="FFFFFF"/>
          </w:tcPr>
          <w:p w14:paraId="6416CDFD" w14:textId="77777777" w:rsidR="009601AE" w:rsidRPr="00690428" w:rsidRDefault="009601AE" w:rsidP="009E3730">
            <w:pPr>
              <w:widowControl w:val="0"/>
              <w:suppressAutoHyphens/>
              <w:spacing w:line="276" w:lineRule="auto"/>
              <w:jc w:val="center"/>
              <w:rPr>
                <w:sz w:val="20"/>
                <w:szCs w:val="20"/>
              </w:rPr>
            </w:pPr>
            <w:r w:rsidRPr="00690428">
              <w:t>3.0</w:t>
            </w:r>
          </w:p>
        </w:tc>
        <w:tc>
          <w:tcPr>
            <w:tcW w:w="900" w:type="dxa"/>
            <w:tcBorders>
              <w:top w:val="single" w:sz="4" w:space="0" w:color="auto"/>
              <w:left w:val="single" w:sz="4" w:space="0" w:color="auto"/>
              <w:bottom w:val="nil"/>
              <w:right w:val="nil"/>
            </w:tcBorders>
            <w:shd w:val="clear" w:color="auto" w:fill="FFFFFF"/>
          </w:tcPr>
          <w:p w14:paraId="59E95087" w14:textId="77777777" w:rsidR="009601AE" w:rsidRPr="00690428" w:rsidRDefault="009601AE" w:rsidP="009E3730">
            <w:pPr>
              <w:widowControl w:val="0"/>
              <w:suppressAutoHyphens/>
              <w:spacing w:line="276" w:lineRule="auto"/>
              <w:jc w:val="center"/>
              <w:rPr>
                <w:sz w:val="20"/>
                <w:szCs w:val="20"/>
              </w:rPr>
            </w:pPr>
            <w:r w:rsidRPr="00690428">
              <w:t>25.0</w:t>
            </w:r>
          </w:p>
        </w:tc>
        <w:tc>
          <w:tcPr>
            <w:tcW w:w="1260" w:type="dxa"/>
            <w:tcBorders>
              <w:top w:val="single" w:sz="4" w:space="0" w:color="auto"/>
              <w:left w:val="single" w:sz="4" w:space="0" w:color="auto"/>
              <w:bottom w:val="nil"/>
              <w:right w:val="nil"/>
            </w:tcBorders>
            <w:shd w:val="clear" w:color="auto" w:fill="FFFFFF"/>
          </w:tcPr>
          <w:p w14:paraId="66C34147" w14:textId="77777777" w:rsidR="009601AE" w:rsidRPr="00690428" w:rsidRDefault="009601AE" w:rsidP="009E3730">
            <w:pPr>
              <w:widowControl w:val="0"/>
              <w:suppressAutoHyphens/>
              <w:spacing w:line="276" w:lineRule="auto"/>
              <w:jc w:val="center"/>
              <w:rPr>
                <w:sz w:val="20"/>
                <w:szCs w:val="20"/>
              </w:rPr>
            </w:pPr>
            <w:r w:rsidRPr="00690428">
              <w:rPr>
                <w:sz w:val="20"/>
                <w:szCs w:val="20"/>
              </w:rPr>
              <w:t>1.0</w:t>
            </w:r>
          </w:p>
        </w:tc>
        <w:tc>
          <w:tcPr>
            <w:tcW w:w="900" w:type="dxa"/>
            <w:tcBorders>
              <w:top w:val="single" w:sz="4" w:space="0" w:color="auto"/>
              <w:left w:val="single" w:sz="4" w:space="0" w:color="auto"/>
              <w:bottom w:val="nil"/>
              <w:right w:val="nil"/>
            </w:tcBorders>
            <w:shd w:val="clear" w:color="auto" w:fill="FFFFFF"/>
          </w:tcPr>
          <w:p w14:paraId="6BAC32C2" w14:textId="77777777" w:rsidR="009601AE" w:rsidRPr="00690428" w:rsidRDefault="009601AE" w:rsidP="009E3730">
            <w:pPr>
              <w:widowControl w:val="0"/>
              <w:suppressAutoHyphens/>
              <w:spacing w:line="276" w:lineRule="auto"/>
              <w:jc w:val="center"/>
              <w:rPr>
                <w:sz w:val="20"/>
                <w:szCs w:val="20"/>
              </w:rPr>
            </w:pPr>
            <w:r w:rsidRPr="00690428">
              <w:t>18.2</w:t>
            </w:r>
          </w:p>
        </w:tc>
        <w:tc>
          <w:tcPr>
            <w:tcW w:w="1260" w:type="dxa"/>
            <w:tcBorders>
              <w:top w:val="single" w:sz="4" w:space="0" w:color="auto"/>
              <w:left w:val="single" w:sz="4" w:space="0" w:color="auto"/>
              <w:bottom w:val="nil"/>
              <w:right w:val="nil"/>
            </w:tcBorders>
            <w:shd w:val="clear" w:color="auto" w:fill="FFFFFF"/>
          </w:tcPr>
          <w:p w14:paraId="482420E1" w14:textId="77777777" w:rsidR="009601AE" w:rsidRPr="00690428" w:rsidRDefault="009601AE" w:rsidP="009E3730">
            <w:pPr>
              <w:widowControl w:val="0"/>
              <w:suppressAutoHyphens/>
              <w:spacing w:line="276" w:lineRule="auto"/>
              <w:jc w:val="center"/>
              <w:rPr>
                <w:sz w:val="20"/>
                <w:szCs w:val="20"/>
              </w:rPr>
            </w:pPr>
            <w:r w:rsidRPr="00690428">
              <w:t>1.0</w:t>
            </w:r>
          </w:p>
        </w:tc>
        <w:tc>
          <w:tcPr>
            <w:tcW w:w="900" w:type="dxa"/>
            <w:tcBorders>
              <w:top w:val="single" w:sz="4" w:space="0" w:color="auto"/>
              <w:left w:val="single" w:sz="4" w:space="0" w:color="auto"/>
              <w:bottom w:val="nil"/>
              <w:right w:val="nil"/>
            </w:tcBorders>
            <w:shd w:val="clear" w:color="auto" w:fill="FFFFFF"/>
          </w:tcPr>
          <w:p w14:paraId="2D0E40DD" w14:textId="77777777" w:rsidR="009601AE" w:rsidRPr="00690428" w:rsidRDefault="009601AE" w:rsidP="009E3730">
            <w:pPr>
              <w:widowControl w:val="0"/>
              <w:suppressAutoHyphens/>
              <w:spacing w:line="276" w:lineRule="auto"/>
              <w:jc w:val="center"/>
              <w:rPr>
                <w:sz w:val="20"/>
                <w:szCs w:val="20"/>
              </w:rPr>
            </w:pPr>
            <w:r w:rsidRPr="00690428">
              <w:t>13.3</w:t>
            </w:r>
          </w:p>
        </w:tc>
        <w:tc>
          <w:tcPr>
            <w:tcW w:w="1260" w:type="dxa"/>
            <w:tcBorders>
              <w:top w:val="single" w:sz="4" w:space="0" w:color="auto"/>
              <w:left w:val="single" w:sz="4" w:space="0" w:color="auto"/>
              <w:bottom w:val="nil"/>
              <w:right w:val="nil"/>
            </w:tcBorders>
            <w:shd w:val="clear" w:color="auto" w:fill="FFFFFF"/>
          </w:tcPr>
          <w:p w14:paraId="16DB320F" w14:textId="77777777" w:rsidR="009601AE" w:rsidRPr="00690428" w:rsidRDefault="009601AE" w:rsidP="009E3730">
            <w:pPr>
              <w:widowControl w:val="0"/>
              <w:suppressAutoHyphens/>
              <w:spacing w:line="276" w:lineRule="auto"/>
              <w:jc w:val="center"/>
              <w:rPr>
                <w:sz w:val="20"/>
                <w:szCs w:val="20"/>
              </w:rPr>
            </w:pPr>
            <w:r w:rsidRPr="00690428">
              <w:t>1.0</w:t>
            </w:r>
          </w:p>
        </w:tc>
        <w:tc>
          <w:tcPr>
            <w:tcW w:w="1480" w:type="dxa"/>
            <w:tcBorders>
              <w:top w:val="single" w:sz="4" w:space="0" w:color="auto"/>
              <w:left w:val="single" w:sz="4" w:space="0" w:color="auto"/>
              <w:bottom w:val="nil"/>
              <w:right w:val="single" w:sz="4" w:space="0" w:color="auto"/>
            </w:tcBorders>
            <w:shd w:val="clear" w:color="auto" w:fill="FFFFFF"/>
          </w:tcPr>
          <w:p w14:paraId="721C1FC5" w14:textId="77777777" w:rsidR="009601AE" w:rsidRPr="00690428" w:rsidRDefault="009601AE" w:rsidP="009E3730">
            <w:pPr>
              <w:widowControl w:val="0"/>
              <w:suppressAutoHyphens/>
              <w:spacing w:line="276" w:lineRule="auto"/>
              <w:jc w:val="center"/>
              <w:rPr>
                <w:sz w:val="20"/>
                <w:szCs w:val="20"/>
              </w:rPr>
            </w:pPr>
            <w:r w:rsidRPr="00690428">
              <w:t>6.0</w:t>
            </w:r>
          </w:p>
        </w:tc>
      </w:tr>
      <w:tr w:rsidR="009601AE" w:rsidRPr="00690428" w14:paraId="52A5924D" w14:textId="77777777" w:rsidTr="00C90833">
        <w:trPr>
          <w:jc w:val="center"/>
        </w:trPr>
        <w:tc>
          <w:tcPr>
            <w:tcW w:w="3931" w:type="dxa"/>
            <w:tcBorders>
              <w:top w:val="single" w:sz="4" w:space="0" w:color="auto"/>
              <w:left w:val="single" w:sz="4" w:space="0" w:color="auto"/>
              <w:bottom w:val="nil"/>
              <w:right w:val="nil"/>
            </w:tcBorders>
            <w:shd w:val="clear" w:color="auto" w:fill="FFFFFF"/>
          </w:tcPr>
          <w:p w14:paraId="4388F3CD" w14:textId="77777777" w:rsidR="009601AE" w:rsidRPr="00690428" w:rsidRDefault="009601AE" w:rsidP="009E3730">
            <w:pPr>
              <w:widowControl w:val="0"/>
              <w:suppressAutoHyphens/>
              <w:spacing w:line="276" w:lineRule="auto"/>
              <w:ind w:left="120"/>
              <w:jc w:val="left"/>
              <w:rPr>
                <w:sz w:val="20"/>
                <w:szCs w:val="20"/>
              </w:rPr>
            </w:pPr>
            <w:r w:rsidRPr="00690428">
              <w:rPr>
                <w:sz w:val="20"/>
                <w:szCs w:val="20"/>
              </w:rPr>
              <w:t>Variable tranches up to a maximum</w:t>
            </w:r>
          </w:p>
        </w:tc>
        <w:tc>
          <w:tcPr>
            <w:tcW w:w="900" w:type="dxa"/>
            <w:tcBorders>
              <w:top w:val="single" w:sz="4" w:space="0" w:color="auto"/>
              <w:left w:val="single" w:sz="4" w:space="0" w:color="auto"/>
              <w:bottom w:val="nil"/>
              <w:right w:val="nil"/>
            </w:tcBorders>
            <w:shd w:val="clear" w:color="auto" w:fill="FFFFFF"/>
          </w:tcPr>
          <w:p w14:paraId="77FDDBEE" w14:textId="77777777" w:rsidR="009601AE" w:rsidRPr="00690428" w:rsidRDefault="009601AE" w:rsidP="009E3730">
            <w:pPr>
              <w:widowControl w:val="0"/>
              <w:suppressAutoHyphens/>
              <w:spacing w:line="276" w:lineRule="auto"/>
              <w:jc w:val="center"/>
              <w:rPr>
                <w:sz w:val="20"/>
                <w:szCs w:val="20"/>
              </w:rPr>
            </w:pPr>
            <w:r w:rsidRPr="00690428">
              <w:t>0.0</w:t>
            </w:r>
          </w:p>
        </w:tc>
        <w:tc>
          <w:tcPr>
            <w:tcW w:w="1080" w:type="dxa"/>
            <w:tcBorders>
              <w:top w:val="single" w:sz="4" w:space="0" w:color="auto"/>
              <w:left w:val="single" w:sz="4" w:space="0" w:color="auto"/>
              <w:bottom w:val="nil"/>
              <w:right w:val="nil"/>
            </w:tcBorders>
            <w:shd w:val="clear" w:color="auto" w:fill="FFFFFF"/>
          </w:tcPr>
          <w:p w14:paraId="60EB3F35" w14:textId="77777777" w:rsidR="009601AE" w:rsidRPr="00690428" w:rsidRDefault="009601AE" w:rsidP="009E3730">
            <w:pPr>
              <w:widowControl w:val="0"/>
              <w:suppressAutoHyphens/>
              <w:spacing w:line="276" w:lineRule="auto"/>
              <w:jc w:val="center"/>
              <w:rPr>
                <w:sz w:val="20"/>
                <w:szCs w:val="20"/>
              </w:rPr>
            </w:pPr>
            <w:r w:rsidRPr="00690428">
              <w:t>0.0</w:t>
            </w:r>
          </w:p>
        </w:tc>
        <w:tc>
          <w:tcPr>
            <w:tcW w:w="900" w:type="dxa"/>
            <w:tcBorders>
              <w:top w:val="single" w:sz="4" w:space="0" w:color="auto"/>
              <w:left w:val="single" w:sz="4" w:space="0" w:color="auto"/>
              <w:bottom w:val="nil"/>
              <w:right w:val="nil"/>
            </w:tcBorders>
            <w:shd w:val="clear" w:color="auto" w:fill="FFFFFF"/>
          </w:tcPr>
          <w:p w14:paraId="3BE4B6EF" w14:textId="77777777" w:rsidR="009601AE" w:rsidRPr="00690428" w:rsidRDefault="009601AE" w:rsidP="009E3730">
            <w:pPr>
              <w:widowControl w:val="0"/>
              <w:suppressAutoHyphens/>
              <w:spacing w:line="276" w:lineRule="auto"/>
              <w:jc w:val="center"/>
              <w:rPr>
                <w:sz w:val="20"/>
                <w:szCs w:val="20"/>
              </w:rPr>
            </w:pPr>
            <w:r w:rsidRPr="00690428">
              <w:t>75.0</w:t>
            </w:r>
          </w:p>
        </w:tc>
        <w:tc>
          <w:tcPr>
            <w:tcW w:w="1260" w:type="dxa"/>
            <w:tcBorders>
              <w:top w:val="single" w:sz="4" w:space="0" w:color="auto"/>
              <w:left w:val="single" w:sz="4" w:space="0" w:color="auto"/>
              <w:bottom w:val="nil"/>
              <w:right w:val="nil"/>
            </w:tcBorders>
            <w:shd w:val="clear" w:color="auto" w:fill="FFFFFF"/>
          </w:tcPr>
          <w:p w14:paraId="504AD121" w14:textId="77777777" w:rsidR="009601AE" w:rsidRPr="00690428" w:rsidRDefault="009601AE" w:rsidP="009E3730">
            <w:pPr>
              <w:widowControl w:val="0"/>
              <w:suppressAutoHyphens/>
              <w:spacing w:line="276" w:lineRule="auto"/>
              <w:jc w:val="center"/>
              <w:rPr>
                <w:sz w:val="20"/>
                <w:szCs w:val="20"/>
              </w:rPr>
            </w:pPr>
            <w:r w:rsidRPr="00690428">
              <w:t>3.0</w:t>
            </w:r>
          </w:p>
        </w:tc>
        <w:tc>
          <w:tcPr>
            <w:tcW w:w="900" w:type="dxa"/>
            <w:tcBorders>
              <w:top w:val="single" w:sz="4" w:space="0" w:color="auto"/>
              <w:left w:val="single" w:sz="4" w:space="0" w:color="auto"/>
              <w:bottom w:val="nil"/>
              <w:right w:val="nil"/>
            </w:tcBorders>
            <w:shd w:val="clear" w:color="auto" w:fill="FFFFFF"/>
          </w:tcPr>
          <w:p w14:paraId="6145C4D0" w14:textId="77777777" w:rsidR="009601AE" w:rsidRPr="00690428" w:rsidRDefault="009601AE" w:rsidP="009E3730">
            <w:pPr>
              <w:widowControl w:val="0"/>
              <w:suppressAutoHyphens/>
              <w:spacing w:line="276" w:lineRule="auto"/>
              <w:jc w:val="center"/>
              <w:rPr>
                <w:sz w:val="20"/>
                <w:szCs w:val="20"/>
              </w:rPr>
            </w:pPr>
            <w:r w:rsidRPr="00690428">
              <w:t>81.8</w:t>
            </w:r>
          </w:p>
        </w:tc>
        <w:tc>
          <w:tcPr>
            <w:tcW w:w="1260" w:type="dxa"/>
            <w:tcBorders>
              <w:top w:val="single" w:sz="4" w:space="0" w:color="auto"/>
              <w:left w:val="single" w:sz="4" w:space="0" w:color="auto"/>
              <w:bottom w:val="nil"/>
              <w:right w:val="nil"/>
            </w:tcBorders>
            <w:shd w:val="clear" w:color="auto" w:fill="FFFFFF"/>
          </w:tcPr>
          <w:p w14:paraId="4C9C59FF" w14:textId="77777777" w:rsidR="009601AE" w:rsidRPr="00690428" w:rsidRDefault="009601AE" w:rsidP="009E3730">
            <w:pPr>
              <w:widowControl w:val="0"/>
              <w:suppressAutoHyphens/>
              <w:spacing w:line="276" w:lineRule="auto"/>
              <w:jc w:val="center"/>
              <w:rPr>
                <w:sz w:val="20"/>
                <w:szCs w:val="20"/>
              </w:rPr>
            </w:pPr>
            <w:r w:rsidRPr="00690428">
              <w:t>4.5</w:t>
            </w:r>
          </w:p>
        </w:tc>
        <w:tc>
          <w:tcPr>
            <w:tcW w:w="900" w:type="dxa"/>
            <w:tcBorders>
              <w:top w:val="single" w:sz="4" w:space="0" w:color="auto"/>
              <w:left w:val="single" w:sz="4" w:space="0" w:color="auto"/>
              <w:bottom w:val="nil"/>
              <w:right w:val="nil"/>
            </w:tcBorders>
            <w:shd w:val="clear" w:color="auto" w:fill="FFFFFF"/>
          </w:tcPr>
          <w:p w14:paraId="25355DD6" w14:textId="77777777" w:rsidR="009601AE" w:rsidRPr="00690428" w:rsidRDefault="009601AE" w:rsidP="009E3730">
            <w:pPr>
              <w:widowControl w:val="0"/>
              <w:suppressAutoHyphens/>
              <w:spacing w:line="276" w:lineRule="auto"/>
              <w:jc w:val="center"/>
              <w:rPr>
                <w:sz w:val="20"/>
                <w:szCs w:val="20"/>
              </w:rPr>
            </w:pPr>
            <w:r w:rsidRPr="00690428">
              <w:t>86.7</w:t>
            </w:r>
          </w:p>
        </w:tc>
        <w:tc>
          <w:tcPr>
            <w:tcW w:w="1260" w:type="dxa"/>
            <w:tcBorders>
              <w:top w:val="single" w:sz="4" w:space="0" w:color="auto"/>
              <w:left w:val="single" w:sz="4" w:space="0" w:color="auto"/>
              <w:bottom w:val="nil"/>
              <w:right w:val="nil"/>
            </w:tcBorders>
            <w:shd w:val="clear" w:color="auto" w:fill="FFFFFF"/>
          </w:tcPr>
          <w:p w14:paraId="0B5D9830" w14:textId="77777777" w:rsidR="009601AE" w:rsidRPr="00690428" w:rsidRDefault="009601AE" w:rsidP="009E3730">
            <w:pPr>
              <w:widowControl w:val="0"/>
              <w:suppressAutoHyphens/>
              <w:spacing w:line="276" w:lineRule="auto"/>
              <w:jc w:val="center"/>
              <w:rPr>
                <w:sz w:val="20"/>
                <w:szCs w:val="20"/>
              </w:rPr>
            </w:pPr>
            <w:r w:rsidRPr="00690428">
              <w:t>6.5</w:t>
            </w:r>
          </w:p>
        </w:tc>
        <w:tc>
          <w:tcPr>
            <w:tcW w:w="1480" w:type="dxa"/>
            <w:tcBorders>
              <w:top w:val="single" w:sz="4" w:space="0" w:color="auto"/>
              <w:left w:val="single" w:sz="4" w:space="0" w:color="auto"/>
              <w:bottom w:val="nil"/>
              <w:right w:val="single" w:sz="4" w:space="0" w:color="auto"/>
            </w:tcBorders>
            <w:shd w:val="clear" w:color="auto" w:fill="FFFFFF"/>
          </w:tcPr>
          <w:p w14:paraId="20A41AD1" w14:textId="77777777" w:rsidR="009601AE" w:rsidRPr="00690428" w:rsidRDefault="009601AE" w:rsidP="009E3730">
            <w:pPr>
              <w:widowControl w:val="0"/>
              <w:suppressAutoHyphens/>
              <w:spacing w:line="276" w:lineRule="auto"/>
              <w:jc w:val="center"/>
              <w:rPr>
                <w:sz w:val="20"/>
                <w:szCs w:val="20"/>
              </w:rPr>
            </w:pPr>
            <w:r w:rsidRPr="00690428">
              <w:t>14.0</w:t>
            </w:r>
          </w:p>
        </w:tc>
      </w:tr>
      <w:tr w:rsidR="009601AE" w:rsidRPr="00690428" w14:paraId="2C201323" w14:textId="77777777" w:rsidTr="00C90833">
        <w:trPr>
          <w:jc w:val="center"/>
        </w:trPr>
        <w:tc>
          <w:tcPr>
            <w:tcW w:w="3931" w:type="dxa"/>
            <w:tcBorders>
              <w:top w:val="single" w:sz="4" w:space="0" w:color="auto"/>
              <w:left w:val="single" w:sz="4" w:space="0" w:color="auto"/>
              <w:bottom w:val="nil"/>
              <w:right w:val="nil"/>
            </w:tcBorders>
            <w:shd w:val="clear" w:color="auto" w:fill="FFFFFF"/>
          </w:tcPr>
          <w:p w14:paraId="34EA6DAA" w14:textId="77777777" w:rsidR="009601AE" w:rsidRPr="00690428" w:rsidRDefault="009601AE" w:rsidP="009E3730">
            <w:pPr>
              <w:widowControl w:val="0"/>
              <w:suppressAutoHyphens/>
              <w:spacing w:line="276" w:lineRule="auto"/>
              <w:ind w:left="120"/>
              <w:jc w:val="left"/>
              <w:rPr>
                <w:sz w:val="20"/>
                <w:szCs w:val="20"/>
              </w:rPr>
            </w:pPr>
            <w:r w:rsidRPr="00690428">
              <w:rPr>
                <w:sz w:val="20"/>
                <w:szCs w:val="20"/>
              </w:rPr>
              <w:t>COMPONENT 1: Effective Labour Market Management</w:t>
            </w:r>
          </w:p>
        </w:tc>
        <w:tc>
          <w:tcPr>
            <w:tcW w:w="900" w:type="dxa"/>
            <w:tcBorders>
              <w:top w:val="single" w:sz="4" w:space="0" w:color="auto"/>
              <w:left w:val="single" w:sz="4" w:space="0" w:color="auto"/>
              <w:bottom w:val="nil"/>
              <w:right w:val="nil"/>
            </w:tcBorders>
            <w:shd w:val="clear" w:color="auto" w:fill="FFFFFF"/>
          </w:tcPr>
          <w:p w14:paraId="207DD67F" w14:textId="77777777" w:rsidR="009601AE" w:rsidRPr="00690428" w:rsidRDefault="009601AE" w:rsidP="009E3730">
            <w:pPr>
              <w:widowControl w:val="0"/>
              <w:suppressAutoHyphens/>
              <w:spacing w:line="276" w:lineRule="auto"/>
              <w:rPr>
                <w:sz w:val="20"/>
                <w:szCs w:val="20"/>
              </w:rPr>
            </w:pPr>
          </w:p>
        </w:tc>
        <w:tc>
          <w:tcPr>
            <w:tcW w:w="1080" w:type="dxa"/>
            <w:tcBorders>
              <w:top w:val="single" w:sz="4" w:space="0" w:color="auto"/>
              <w:left w:val="single" w:sz="4" w:space="0" w:color="auto"/>
              <w:bottom w:val="nil"/>
              <w:right w:val="nil"/>
            </w:tcBorders>
            <w:shd w:val="clear" w:color="auto" w:fill="FFFFFF"/>
          </w:tcPr>
          <w:p w14:paraId="169A8168" w14:textId="77777777" w:rsidR="009601AE" w:rsidRPr="00690428" w:rsidRDefault="009601AE" w:rsidP="009E3730">
            <w:pPr>
              <w:widowControl w:val="0"/>
              <w:suppressAutoHyphens/>
              <w:spacing w:line="276" w:lineRule="auto"/>
              <w:rPr>
                <w:sz w:val="20"/>
                <w:szCs w:val="20"/>
              </w:rPr>
            </w:pPr>
          </w:p>
        </w:tc>
        <w:tc>
          <w:tcPr>
            <w:tcW w:w="900" w:type="dxa"/>
            <w:tcBorders>
              <w:top w:val="single" w:sz="4" w:space="0" w:color="auto"/>
              <w:left w:val="single" w:sz="4" w:space="0" w:color="auto"/>
              <w:bottom w:val="nil"/>
              <w:right w:val="nil"/>
            </w:tcBorders>
            <w:shd w:val="clear" w:color="auto" w:fill="FFFFFF"/>
          </w:tcPr>
          <w:p w14:paraId="40634042" w14:textId="77777777" w:rsidR="009601AE" w:rsidRPr="00690428" w:rsidRDefault="009601AE" w:rsidP="009E3730">
            <w:pPr>
              <w:widowControl w:val="0"/>
              <w:suppressAutoHyphens/>
              <w:spacing w:line="276" w:lineRule="auto"/>
              <w:jc w:val="center"/>
              <w:rPr>
                <w:sz w:val="20"/>
                <w:szCs w:val="20"/>
              </w:rPr>
            </w:pPr>
            <w:r w:rsidRPr="00690428">
              <w:rPr>
                <w:sz w:val="20"/>
                <w:szCs w:val="20"/>
              </w:rPr>
              <w:t>12.5</w:t>
            </w:r>
          </w:p>
        </w:tc>
        <w:tc>
          <w:tcPr>
            <w:tcW w:w="1260" w:type="dxa"/>
            <w:tcBorders>
              <w:top w:val="single" w:sz="4" w:space="0" w:color="auto"/>
              <w:left w:val="single" w:sz="4" w:space="0" w:color="auto"/>
              <w:bottom w:val="nil"/>
              <w:right w:val="nil"/>
            </w:tcBorders>
            <w:shd w:val="clear" w:color="auto" w:fill="FFFFFF"/>
          </w:tcPr>
          <w:p w14:paraId="3AA4F6C6" w14:textId="77777777" w:rsidR="009601AE" w:rsidRPr="00690428" w:rsidRDefault="009601AE" w:rsidP="009E3730">
            <w:pPr>
              <w:widowControl w:val="0"/>
              <w:suppressAutoHyphens/>
              <w:spacing w:line="276" w:lineRule="auto"/>
              <w:jc w:val="center"/>
              <w:rPr>
                <w:sz w:val="20"/>
                <w:szCs w:val="20"/>
              </w:rPr>
            </w:pPr>
            <w:r w:rsidRPr="00690428">
              <w:rPr>
                <w:sz w:val="20"/>
                <w:szCs w:val="20"/>
              </w:rPr>
              <w:t>0.5</w:t>
            </w:r>
          </w:p>
        </w:tc>
        <w:tc>
          <w:tcPr>
            <w:tcW w:w="900" w:type="dxa"/>
            <w:tcBorders>
              <w:top w:val="single" w:sz="4" w:space="0" w:color="auto"/>
              <w:left w:val="single" w:sz="4" w:space="0" w:color="auto"/>
              <w:bottom w:val="nil"/>
              <w:right w:val="nil"/>
            </w:tcBorders>
            <w:shd w:val="clear" w:color="auto" w:fill="FFFFFF"/>
          </w:tcPr>
          <w:p w14:paraId="659BD8C1" w14:textId="77777777" w:rsidR="009601AE" w:rsidRPr="00690428" w:rsidRDefault="009601AE" w:rsidP="009E3730">
            <w:pPr>
              <w:widowControl w:val="0"/>
              <w:suppressAutoHyphens/>
              <w:spacing w:line="276" w:lineRule="auto"/>
              <w:jc w:val="center"/>
              <w:rPr>
                <w:sz w:val="20"/>
                <w:szCs w:val="20"/>
              </w:rPr>
            </w:pPr>
            <w:r w:rsidRPr="00690428">
              <w:rPr>
                <w:sz w:val="20"/>
                <w:szCs w:val="20"/>
              </w:rPr>
              <w:t>18.2</w:t>
            </w:r>
          </w:p>
        </w:tc>
        <w:tc>
          <w:tcPr>
            <w:tcW w:w="1260" w:type="dxa"/>
            <w:tcBorders>
              <w:top w:val="single" w:sz="4" w:space="0" w:color="auto"/>
              <w:left w:val="single" w:sz="4" w:space="0" w:color="auto"/>
              <w:bottom w:val="nil"/>
              <w:right w:val="nil"/>
            </w:tcBorders>
            <w:shd w:val="clear" w:color="auto" w:fill="FFFFFF"/>
          </w:tcPr>
          <w:p w14:paraId="26D74140" w14:textId="77777777" w:rsidR="009601AE" w:rsidRPr="00690428" w:rsidRDefault="009601AE" w:rsidP="009E3730">
            <w:pPr>
              <w:widowControl w:val="0"/>
              <w:suppressAutoHyphens/>
              <w:spacing w:line="276" w:lineRule="auto"/>
              <w:jc w:val="center"/>
              <w:rPr>
                <w:sz w:val="20"/>
                <w:szCs w:val="20"/>
              </w:rPr>
            </w:pPr>
            <w:r w:rsidRPr="00690428">
              <w:rPr>
                <w:sz w:val="20"/>
                <w:szCs w:val="20"/>
              </w:rPr>
              <w:t>1.0</w:t>
            </w:r>
          </w:p>
        </w:tc>
        <w:tc>
          <w:tcPr>
            <w:tcW w:w="900" w:type="dxa"/>
            <w:tcBorders>
              <w:top w:val="single" w:sz="4" w:space="0" w:color="auto"/>
              <w:left w:val="single" w:sz="4" w:space="0" w:color="auto"/>
              <w:bottom w:val="nil"/>
              <w:right w:val="nil"/>
            </w:tcBorders>
            <w:shd w:val="clear" w:color="auto" w:fill="FFFFFF"/>
          </w:tcPr>
          <w:p w14:paraId="2AEF05A0" w14:textId="77777777" w:rsidR="009601AE" w:rsidRPr="00690428" w:rsidRDefault="009601AE" w:rsidP="009E3730">
            <w:pPr>
              <w:widowControl w:val="0"/>
              <w:suppressAutoHyphens/>
              <w:spacing w:line="276" w:lineRule="auto"/>
              <w:jc w:val="center"/>
              <w:rPr>
                <w:sz w:val="20"/>
                <w:szCs w:val="20"/>
              </w:rPr>
            </w:pPr>
            <w:r w:rsidRPr="00690428">
              <w:rPr>
                <w:sz w:val="20"/>
                <w:szCs w:val="20"/>
              </w:rPr>
              <w:t>26.7</w:t>
            </w:r>
          </w:p>
        </w:tc>
        <w:tc>
          <w:tcPr>
            <w:tcW w:w="1260" w:type="dxa"/>
            <w:tcBorders>
              <w:top w:val="single" w:sz="4" w:space="0" w:color="auto"/>
              <w:left w:val="single" w:sz="4" w:space="0" w:color="auto"/>
              <w:bottom w:val="nil"/>
              <w:right w:val="nil"/>
            </w:tcBorders>
            <w:shd w:val="clear" w:color="auto" w:fill="FFFFFF"/>
          </w:tcPr>
          <w:p w14:paraId="2EB788A4" w14:textId="77777777" w:rsidR="009601AE" w:rsidRPr="00690428" w:rsidRDefault="009601AE" w:rsidP="009E3730">
            <w:pPr>
              <w:widowControl w:val="0"/>
              <w:suppressAutoHyphens/>
              <w:spacing w:line="276" w:lineRule="auto"/>
              <w:jc w:val="center"/>
              <w:rPr>
                <w:sz w:val="20"/>
                <w:szCs w:val="20"/>
              </w:rPr>
            </w:pPr>
            <w:r w:rsidRPr="00690428">
              <w:rPr>
                <w:sz w:val="20"/>
                <w:szCs w:val="20"/>
              </w:rPr>
              <w:t>2.0</w:t>
            </w:r>
          </w:p>
        </w:tc>
        <w:tc>
          <w:tcPr>
            <w:tcW w:w="1480" w:type="dxa"/>
            <w:tcBorders>
              <w:top w:val="single" w:sz="4" w:space="0" w:color="auto"/>
              <w:left w:val="single" w:sz="4" w:space="0" w:color="auto"/>
              <w:bottom w:val="nil"/>
              <w:right w:val="single" w:sz="4" w:space="0" w:color="auto"/>
            </w:tcBorders>
            <w:shd w:val="clear" w:color="auto" w:fill="FFFFFF"/>
          </w:tcPr>
          <w:p w14:paraId="5201DA49" w14:textId="77777777" w:rsidR="009601AE" w:rsidRPr="00690428" w:rsidRDefault="009601AE" w:rsidP="009E3730">
            <w:pPr>
              <w:widowControl w:val="0"/>
              <w:suppressAutoHyphens/>
              <w:spacing w:line="276" w:lineRule="auto"/>
              <w:jc w:val="center"/>
              <w:rPr>
                <w:sz w:val="20"/>
                <w:szCs w:val="20"/>
              </w:rPr>
            </w:pPr>
            <w:r w:rsidRPr="00690428">
              <w:rPr>
                <w:sz w:val="20"/>
                <w:szCs w:val="20"/>
              </w:rPr>
              <w:t>3.5</w:t>
            </w:r>
          </w:p>
        </w:tc>
      </w:tr>
      <w:tr w:rsidR="009601AE" w:rsidRPr="00690428" w14:paraId="2729B0D7" w14:textId="77777777" w:rsidTr="00C90833">
        <w:trPr>
          <w:jc w:val="center"/>
        </w:trPr>
        <w:tc>
          <w:tcPr>
            <w:tcW w:w="3931" w:type="dxa"/>
            <w:tcBorders>
              <w:top w:val="single" w:sz="4" w:space="0" w:color="auto"/>
              <w:left w:val="single" w:sz="4" w:space="0" w:color="auto"/>
              <w:bottom w:val="nil"/>
              <w:right w:val="nil"/>
            </w:tcBorders>
            <w:shd w:val="clear" w:color="auto" w:fill="FFFFFF"/>
          </w:tcPr>
          <w:p w14:paraId="658AFFC7" w14:textId="77777777" w:rsidR="009601AE" w:rsidRPr="00690428" w:rsidRDefault="009601AE" w:rsidP="009E3730">
            <w:pPr>
              <w:widowControl w:val="0"/>
              <w:suppressAutoHyphens/>
              <w:spacing w:line="276" w:lineRule="auto"/>
              <w:ind w:left="120"/>
              <w:jc w:val="left"/>
              <w:rPr>
                <w:sz w:val="20"/>
                <w:szCs w:val="20"/>
              </w:rPr>
            </w:pPr>
            <w:r w:rsidRPr="00690428">
              <w:rPr>
                <w:sz w:val="20"/>
                <w:szCs w:val="20"/>
              </w:rPr>
              <w:t>Rl.l Reliable and sustainable labour market Information and forecasting</w:t>
            </w:r>
          </w:p>
        </w:tc>
        <w:tc>
          <w:tcPr>
            <w:tcW w:w="900" w:type="dxa"/>
            <w:tcBorders>
              <w:top w:val="single" w:sz="4" w:space="0" w:color="auto"/>
              <w:left w:val="single" w:sz="4" w:space="0" w:color="auto"/>
              <w:bottom w:val="nil"/>
              <w:right w:val="nil"/>
            </w:tcBorders>
            <w:shd w:val="clear" w:color="auto" w:fill="FFFFFF"/>
          </w:tcPr>
          <w:p w14:paraId="20835BDF" w14:textId="77777777" w:rsidR="009601AE" w:rsidRPr="00690428" w:rsidRDefault="009601AE" w:rsidP="009E3730">
            <w:pPr>
              <w:widowControl w:val="0"/>
              <w:suppressAutoHyphens/>
              <w:spacing w:line="276" w:lineRule="auto"/>
              <w:rPr>
                <w:sz w:val="20"/>
                <w:szCs w:val="20"/>
              </w:rPr>
            </w:pPr>
          </w:p>
        </w:tc>
        <w:tc>
          <w:tcPr>
            <w:tcW w:w="1080" w:type="dxa"/>
            <w:tcBorders>
              <w:top w:val="single" w:sz="4" w:space="0" w:color="auto"/>
              <w:left w:val="single" w:sz="4" w:space="0" w:color="auto"/>
              <w:bottom w:val="nil"/>
              <w:right w:val="nil"/>
            </w:tcBorders>
            <w:shd w:val="clear" w:color="auto" w:fill="FFFFFF"/>
          </w:tcPr>
          <w:p w14:paraId="6A684709" w14:textId="77777777" w:rsidR="009601AE" w:rsidRPr="00690428" w:rsidRDefault="009601AE" w:rsidP="009E3730">
            <w:pPr>
              <w:widowControl w:val="0"/>
              <w:suppressAutoHyphens/>
              <w:spacing w:line="276" w:lineRule="auto"/>
              <w:rPr>
                <w:sz w:val="20"/>
                <w:szCs w:val="20"/>
              </w:rPr>
            </w:pPr>
          </w:p>
        </w:tc>
        <w:tc>
          <w:tcPr>
            <w:tcW w:w="900" w:type="dxa"/>
            <w:tcBorders>
              <w:top w:val="single" w:sz="4" w:space="0" w:color="auto"/>
              <w:left w:val="single" w:sz="4" w:space="0" w:color="auto"/>
              <w:bottom w:val="nil"/>
              <w:right w:val="nil"/>
            </w:tcBorders>
            <w:shd w:val="clear" w:color="auto" w:fill="FFFFFF"/>
          </w:tcPr>
          <w:p w14:paraId="3D7A19FB"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104399BD" w14:textId="77777777" w:rsidR="009601AE" w:rsidRPr="00690428" w:rsidRDefault="009601AE" w:rsidP="009E3730">
            <w:pPr>
              <w:widowControl w:val="0"/>
              <w:suppressAutoHyphens/>
              <w:spacing w:line="276" w:lineRule="auto"/>
              <w:jc w:val="center"/>
              <w:rPr>
                <w:sz w:val="20"/>
                <w:szCs w:val="20"/>
              </w:rPr>
            </w:pPr>
            <w:r w:rsidRPr="00690428">
              <w:rPr>
                <w:sz w:val="20"/>
                <w:szCs w:val="20"/>
              </w:rPr>
              <w:t>0.3</w:t>
            </w:r>
          </w:p>
        </w:tc>
        <w:tc>
          <w:tcPr>
            <w:tcW w:w="900" w:type="dxa"/>
            <w:tcBorders>
              <w:top w:val="single" w:sz="4" w:space="0" w:color="auto"/>
              <w:left w:val="single" w:sz="4" w:space="0" w:color="auto"/>
              <w:bottom w:val="nil"/>
              <w:right w:val="nil"/>
            </w:tcBorders>
            <w:shd w:val="clear" w:color="auto" w:fill="FFFFFF"/>
          </w:tcPr>
          <w:p w14:paraId="0C6D9C30"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640D9D93" w14:textId="77777777" w:rsidR="009601AE" w:rsidRPr="00690428" w:rsidRDefault="009601AE" w:rsidP="009E3730">
            <w:pPr>
              <w:widowControl w:val="0"/>
              <w:suppressAutoHyphens/>
              <w:spacing w:line="276" w:lineRule="auto"/>
              <w:jc w:val="center"/>
              <w:rPr>
                <w:sz w:val="20"/>
                <w:szCs w:val="20"/>
              </w:rPr>
            </w:pPr>
            <w:r w:rsidRPr="00690428">
              <w:rPr>
                <w:sz w:val="20"/>
                <w:szCs w:val="20"/>
              </w:rPr>
              <w:t>0.5</w:t>
            </w:r>
          </w:p>
        </w:tc>
        <w:tc>
          <w:tcPr>
            <w:tcW w:w="900" w:type="dxa"/>
            <w:tcBorders>
              <w:top w:val="single" w:sz="4" w:space="0" w:color="auto"/>
              <w:left w:val="single" w:sz="4" w:space="0" w:color="auto"/>
              <w:bottom w:val="nil"/>
              <w:right w:val="nil"/>
            </w:tcBorders>
            <w:shd w:val="clear" w:color="auto" w:fill="FFFFFF"/>
          </w:tcPr>
          <w:p w14:paraId="7962FCD2"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6589FE1F" w14:textId="77777777" w:rsidR="009601AE" w:rsidRPr="00690428" w:rsidRDefault="009601AE" w:rsidP="009E3730">
            <w:pPr>
              <w:widowControl w:val="0"/>
              <w:suppressAutoHyphens/>
              <w:spacing w:line="276" w:lineRule="auto"/>
              <w:jc w:val="center"/>
              <w:rPr>
                <w:sz w:val="20"/>
                <w:szCs w:val="20"/>
              </w:rPr>
            </w:pPr>
            <w:r w:rsidRPr="00690428">
              <w:rPr>
                <w:sz w:val="20"/>
                <w:szCs w:val="20"/>
              </w:rPr>
              <w:t>1.0</w:t>
            </w:r>
          </w:p>
        </w:tc>
        <w:tc>
          <w:tcPr>
            <w:tcW w:w="1480" w:type="dxa"/>
            <w:tcBorders>
              <w:top w:val="single" w:sz="4" w:space="0" w:color="auto"/>
              <w:left w:val="single" w:sz="4" w:space="0" w:color="auto"/>
              <w:bottom w:val="nil"/>
              <w:right w:val="single" w:sz="4" w:space="0" w:color="auto"/>
            </w:tcBorders>
            <w:shd w:val="clear" w:color="auto" w:fill="FFFFFF"/>
          </w:tcPr>
          <w:p w14:paraId="79E6D296" w14:textId="77777777" w:rsidR="009601AE" w:rsidRPr="00690428" w:rsidRDefault="009601AE" w:rsidP="009E3730">
            <w:pPr>
              <w:widowControl w:val="0"/>
              <w:suppressAutoHyphens/>
              <w:spacing w:line="276" w:lineRule="auto"/>
              <w:jc w:val="center"/>
              <w:rPr>
                <w:sz w:val="20"/>
                <w:szCs w:val="20"/>
              </w:rPr>
            </w:pPr>
            <w:r w:rsidRPr="00690428">
              <w:rPr>
                <w:sz w:val="20"/>
                <w:szCs w:val="20"/>
              </w:rPr>
              <w:t>1.8</w:t>
            </w:r>
          </w:p>
        </w:tc>
      </w:tr>
      <w:tr w:rsidR="009601AE" w:rsidRPr="00690428" w14:paraId="4DB148F0" w14:textId="77777777" w:rsidTr="00C90833">
        <w:trPr>
          <w:jc w:val="center"/>
        </w:trPr>
        <w:tc>
          <w:tcPr>
            <w:tcW w:w="3931" w:type="dxa"/>
            <w:tcBorders>
              <w:top w:val="single" w:sz="4" w:space="0" w:color="auto"/>
              <w:left w:val="single" w:sz="4" w:space="0" w:color="auto"/>
              <w:bottom w:val="nil"/>
              <w:right w:val="nil"/>
            </w:tcBorders>
            <w:shd w:val="clear" w:color="auto" w:fill="FFFFFF"/>
          </w:tcPr>
          <w:p w14:paraId="0571F4C3" w14:textId="77777777" w:rsidR="009601AE" w:rsidRPr="00690428" w:rsidRDefault="009601AE" w:rsidP="009E3730">
            <w:pPr>
              <w:widowControl w:val="0"/>
              <w:suppressAutoHyphens/>
              <w:spacing w:line="276" w:lineRule="auto"/>
              <w:ind w:left="120"/>
              <w:jc w:val="left"/>
              <w:rPr>
                <w:sz w:val="20"/>
                <w:szCs w:val="20"/>
              </w:rPr>
            </w:pPr>
            <w:r w:rsidRPr="00690428">
              <w:rPr>
                <w:sz w:val="20"/>
                <w:szCs w:val="20"/>
              </w:rPr>
              <w:t>R1.2 Improved quality of Employment Support Services</w:t>
            </w:r>
          </w:p>
        </w:tc>
        <w:tc>
          <w:tcPr>
            <w:tcW w:w="900" w:type="dxa"/>
            <w:tcBorders>
              <w:top w:val="single" w:sz="4" w:space="0" w:color="auto"/>
              <w:left w:val="single" w:sz="4" w:space="0" w:color="auto"/>
              <w:bottom w:val="nil"/>
              <w:right w:val="nil"/>
            </w:tcBorders>
            <w:shd w:val="clear" w:color="auto" w:fill="FFFFFF"/>
          </w:tcPr>
          <w:p w14:paraId="7FC78958" w14:textId="77777777" w:rsidR="009601AE" w:rsidRPr="00690428" w:rsidRDefault="009601AE" w:rsidP="009E3730">
            <w:pPr>
              <w:widowControl w:val="0"/>
              <w:suppressAutoHyphens/>
              <w:spacing w:line="276" w:lineRule="auto"/>
              <w:rPr>
                <w:sz w:val="20"/>
                <w:szCs w:val="20"/>
              </w:rPr>
            </w:pPr>
          </w:p>
        </w:tc>
        <w:tc>
          <w:tcPr>
            <w:tcW w:w="1080" w:type="dxa"/>
            <w:tcBorders>
              <w:top w:val="single" w:sz="4" w:space="0" w:color="auto"/>
              <w:left w:val="single" w:sz="4" w:space="0" w:color="auto"/>
              <w:bottom w:val="nil"/>
              <w:right w:val="nil"/>
            </w:tcBorders>
            <w:shd w:val="clear" w:color="auto" w:fill="FFFFFF"/>
          </w:tcPr>
          <w:p w14:paraId="24ECF120" w14:textId="77777777" w:rsidR="009601AE" w:rsidRPr="00690428" w:rsidRDefault="009601AE" w:rsidP="009E3730">
            <w:pPr>
              <w:widowControl w:val="0"/>
              <w:suppressAutoHyphens/>
              <w:spacing w:line="276" w:lineRule="auto"/>
              <w:rPr>
                <w:sz w:val="20"/>
                <w:szCs w:val="20"/>
              </w:rPr>
            </w:pPr>
          </w:p>
        </w:tc>
        <w:tc>
          <w:tcPr>
            <w:tcW w:w="900" w:type="dxa"/>
            <w:tcBorders>
              <w:top w:val="single" w:sz="4" w:space="0" w:color="auto"/>
              <w:left w:val="single" w:sz="4" w:space="0" w:color="auto"/>
              <w:bottom w:val="nil"/>
              <w:right w:val="nil"/>
            </w:tcBorders>
            <w:shd w:val="clear" w:color="auto" w:fill="FFFFFF"/>
          </w:tcPr>
          <w:p w14:paraId="30EB31B7"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49DF1232" w14:textId="77777777" w:rsidR="009601AE" w:rsidRPr="00690428" w:rsidRDefault="009601AE" w:rsidP="009E3730">
            <w:pPr>
              <w:widowControl w:val="0"/>
              <w:suppressAutoHyphens/>
              <w:spacing w:line="276" w:lineRule="auto"/>
              <w:jc w:val="center"/>
              <w:rPr>
                <w:sz w:val="20"/>
                <w:szCs w:val="20"/>
              </w:rPr>
            </w:pPr>
            <w:r w:rsidRPr="00690428">
              <w:rPr>
                <w:sz w:val="20"/>
                <w:szCs w:val="20"/>
              </w:rPr>
              <w:t>0.2</w:t>
            </w:r>
          </w:p>
        </w:tc>
        <w:tc>
          <w:tcPr>
            <w:tcW w:w="900" w:type="dxa"/>
            <w:tcBorders>
              <w:top w:val="single" w:sz="4" w:space="0" w:color="auto"/>
              <w:left w:val="single" w:sz="4" w:space="0" w:color="auto"/>
              <w:bottom w:val="nil"/>
              <w:right w:val="nil"/>
            </w:tcBorders>
            <w:shd w:val="clear" w:color="auto" w:fill="FFFFFF"/>
          </w:tcPr>
          <w:p w14:paraId="0DC9E467"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154C0DE6" w14:textId="77777777" w:rsidR="009601AE" w:rsidRPr="00690428" w:rsidRDefault="009601AE" w:rsidP="009E3730">
            <w:pPr>
              <w:widowControl w:val="0"/>
              <w:suppressAutoHyphens/>
              <w:spacing w:line="276" w:lineRule="auto"/>
              <w:jc w:val="center"/>
              <w:rPr>
                <w:sz w:val="20"/>
                <w:szCs w:val="20"/>
              </w:rPr>
            </w:pPr>
            <w:r w:rsidRPr="00690428">
              <w:rPr>
                <w:sz w:val="20"/>
                <w:szCs w:val="20"/>
              </w:rPr>
              <w:t>0.5</w:t>
            </w:r>
          </w:p>
        </w:tc>
        <w:tc>
          <w:tcPr>
            <w:tcW w:w="900" w:type="dxa"/>
            <w:tcBorders>
              <w:top w:val="single" w:sz="4" w:space="0" w:color="auto"/>
              <w:left w:val="single" w:sz="4" w:space="0" w:color="auto"/>
              <w:bottom w:val="nil"/>
              <w:right w:val="nil"/>
            </w:tcBorders>
            <w:shd w:val="clear" w:color="auto" w:fill="FFFFFF"/>
          </w:tcPr>
          <w:p w14:paraId="21BDF92A"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100C741D" w14:textId="77777777" w:rsidR="009601AE" w:rsidRPr="00690428" w:rsidRDefault="009601AE" w:rsidP="009E3730">
            <w:pPr>
              <w:widowControl w:val="0"/>
              <w:suppressAutoHyphens/>
              <w:spacing w:line="276" w:lineRule="auto"/>
              <w:jc w:val="center"/>
              <w:rPr>
                <w:sz w:val="20"/>
                <w:szCs w:val="20"/>
              </w:rPr>
            </w:pPr>
            <w:r w:rsidRPr="00690428">
              <w:rPr>
                <w:sz w:val="20"/>
                <w:szCs w:val="20"/>
              </w:rPr>
              <w:t>1.0</w:t>
            </w:r>
          </w:p>
        </w:tc>
        <w:tc>
          <w:tcPr>
            <w:tcW w:w="1480" w:type="dxa"/>
            <w:tcBorders>
              <w:top w:val="single" w:sz="4" w:space="0" w:color="auto"/>
              <w:left w:val="single" w:sz="4" w:space="0" w:color="auto"/>
              <w:bottom w:val="nil"/>
              <w:right w:val="single" w:sz="4" w:space="0" w:color="auto"/>
            </w:tcBorders>
            <w:shd w:val="clear" w:color="auto" w:fill="FFFFFF"/>
          </w:tcPr>
          <w:p w14:paraId="48CF2452" w14:textId="77777777" w:rsidR="009601AE" w:rsidRPr="00690428" w:rsidRDefault="009601AE" w:rsidP="009E3730">
            <w:pPr>
              <w:widowControl w:val="0"/>
              <w:suppressAutoHyphens/>
              <w:spacing w:line="276" w:lineRule="auto"/>
              <w:jc w:val="center"/>
              <w:rPr>
                <w:sz w:val="20"/>
                <w:szCs w:val="20"/>
              </w:rPr>
            </w:pPr>
            <w:r w:rsidRPr="00690428">
              <w:rPr>
                <w:sz w:val="20"/>
                <w:szCs w:val="20"/>
              </w:rPr>
              <w:t>1.7</w:t>
            </w:r>
          </w:p>
        </w:tc>
      </w:tr>
      <w:tr w:rsidR="009601AE" w:rsidRPr="00690428" w14:paraId="2C0FDD58" w14:textId="77777777" w:rsidTr="00C90833">
        <w:trPr>
          <w:jc w:val="center"/>
        </w:trPr>
        <w:tc>
          <w:tcPr>
            <w:tcW w:w="3931" w:type="dxa"/>
            <w:tcBorders>
              <w:top w:val="single" w:sz="4" w:space="0" w:color="auto"/>
              <w:left w:val="single" w:sz="4" w:space="0" w:color="auto"/>
              <w:bottom w:val="nil"/>
              <w:right w:val="nil"/>
            </w:tcBorders>
            <w:shd w:val="clear" w:color="auto" w:fill="FFFFFF"/>
          </w:tcPr>
          <w:p w14:paraId="2547EF4A" w14:textId="77777777" w:rsidR="009601AE" w:rsidRPr="00690428" w:rsidRDefault="009601AE" w:rsidP="009E3730">
            <w:pPr>
              <w:widowControl w:val="0"/>
              <w:suppressAutoHyphens/>
              <w:spacing w:line="276" w:lineRule="auto"/>
              <w:ind w:left="120"/>
              <w:jc w:val="left"/>
              <w:rPr>
                <w:sz w:val="20"/>
                <w:szCs w:val="20"/>
              </w:rPr>
            </w:pPr>
            <w:r w:rsidRPr="00690428">
              <w:rPr>
                <w:sz w:val="20"/>
                <w:szCs w:val="20"/>
              </w:rPr>
              <w:t>COMPONENT 2: Enhanced quality and relevance of VET system</w:t>
            </w:r>
          </w:p>
        </w:tc>
        <w:tc>
          <w:tcPr>
            <w:tcW w:w="900" w:type="dxa"/>
            <w:tcBorders>
              <w:top w:val="single" w:sz="4" w:space="0" w:color="auto"/>
              <w:left w:val="single" w:sz="4" w:space="0" w:color="auto"/>
              <w:bottom w:val="nil"/>
              <w:right w:val="nil"/>
            </w:tcBorders>
            <w:shd w:val="clear" w:color="auto" w:fill="FFFFFF"/>
          </w:tcPr>
          <w:p w14:paraId="53B3A407" w14:textId="77777777" w:rsidR="009601AE" w:rsidRPr="00690428" w:rsidRDefault="009601AE" w:rsidP="009E3730">
            <w:pPr>
              <w:widowControl w:val="0"/>
              <w:suppressAutoHyphens/>
              <w:spacing w:line="276" w:lineRule="auto"/>
              <w:rPr>
                <w:sz w:val="20"/>
                <w:szCs w:val="20"/>
              </w:rPr>
            </w:pPr>
          </w:p>
        </w:tc>
        <w:tc>
          <w:tcPr>
            <w:tcW w:w="1080" w:type="dxa"/>
            <w:tcBorders>
              <w:top w:val="single" w:sz="4" w:space="0" w:color="auto"/>
              <w:left w:val="single" w:sz="4" w:space="0" w:color="auto"/>
              <w:bottom w:val="nil"/>
              <w:right w:val="nil"/>
            </w:tcBorders>
            <w:shd w:val="clear" w:color="auto" w:fill="FFFFFF"/>
          </w:tcPr>
          <w:p w14:paraId="2DA87896" w14:textId="77777777" w:rsidR="009601AE" w:rsidRPr="00690428" w:rsidRDefault="009601AE" w:rsidP="009E3730">
            <w:pPr>
              <w:widowControl w:val="0"/>
              <w:suppressAutoHyphens/>
              <w:spacing w:line="276" w:lineRule="auto"/>
              <w:rPr>
                <w:sz w:val="20"/>
                <w:szCs w:val="20"/>
              </w:rPr>
            </w:pPr>
          </w:p>
        </w:tc>
        <w:tc>
          <w:tcPr>
            <w:tcW w:w="900" w:type="dxa"/>
            <w:tcBorders>
              <w:top w:val="single" w:sz="4" w:space="0" w:color="auto"/>
              <w:left w:val="single" w:sz="4" w:space="0" w:color="auto"/>
              <w:bottom w:val="nil"/>
              <w:right w:val="nil"/>
            </w:tcBorders>
            <w:shd w:val="clear" w:color="auto" w:fill="FFFFFF"/>
          </w:tcPr>
          <w:p w14:paraId="3326D661" w14:textId="77777777" w:rsidR="009601AE" w:rsidRPr="00690428" w:rsidRDefault="009601AE" w:rsidP="009E3730">
            <w:pPr>
              <w:widowControl w:val="0"/>
              <w:suppressAutoHyphens/>
              <w:spacing w:line="276" w:lineRule="auto"/>
              <w:jc w:val="center"/>
              <w:rPr>
                <w:sz w:val="20"/>
                <w:szCs w:val="20"/>
              </w:rPr>
            </w:pPr>
            <w:r w:rsidRPr="00690428">
              <w:rPr>
                <w:sz w:val="20"/>
                <w:szCs w:val="20"/>
              </w:rPr>
              <w:t>25.0</w:t>
            </w:r>
          </w:p>
        </w:tc>
        <w:tc>
          <w:tcPr>
            <w:tcW w:w="1260" w:type="dxa"/>
            <w:tcBorders>
              <w:top w:val="single" w:sz="4" w:space="0" w:color="auto"/>
              <w:left w:val="single" w:sz="4" w:space="0" w:color="auto"/>
              <w:bottom w:val="nil"/>
              <w:right w:val="nil"/>
            </w:tcBorders>
            <w:shd w:val="clear" w:color="auto" w:fill="FFFFFF"/>
          </w:tcPr>
          <w:p w14:paraId="73FB1071" w14:textId="77777777" w:rsidR="009601AE" w:rsidRPr="00690428" w:rsidRDefault="009601AE" w:rsidP="009E3730">
            <w:pPr>
              <w:widowControl w:val="0"/>
              <w:suppressAutoHyphens/>
              <w:spacing w:line="276" w:lineRule="auto"/>
              <w:jc w:val="center"/>
              <w:rPr>
                <w:sz w:val="20"/>
                <w:szCs w:val="20"/>
              </w:rPr>
            </w:pPr>
            <w:r w:rsidRPr="00690428">
              <w:rPr>
                <w:sz w:val="20"/>
                <w:szCs w:val="20"/>
              </w:rPr>
              <w:t>1.0</w:t>
            </w:r>
          </w:p>
        </w:tc>
        <w:tc>
          <w:tcPr>
            <w:tcW w:w="900" w:type="dxa"/>
            <w:tcBorders>
              <w:top w:val="single" w:sz="4" w:space="0" w:color="auto"/>
              <w:left w:val="single" w:sz="4" w:space="0" w:color="auto"/>
              <w:bottom w:val="nil"/>
              <w:right w:val="nil"/>
            </w:tcBorders>
            <w:shd w:val="clear" w:color="auto" w:fill="FFFFFF"/>
          </w:tcPr>
          <w:p w14:paraId="01B2AAA7" w14:textId="77777777" w:rsidR="009601AE" w:rsidRPr="00690428" w:rsidRDefault="009601AE" w:rsidP="009E3730">
            <w:pPr>
              <w:widowControl w:val="0"/>
              <w:suppressAutoHyphens/>
              <w:spacing w:line="276" w:lineRule="auto"/>
              <w:jc w:val="center"/>
              <w:rPr>
                <w:i/>
                <w:iCs/>
                <w:sz w:val="20"/>
                <w:szCs w:val="20"/>
              </w:rPr>
            </w:pPr>
            <w:r w:rsidRPr="00690428">
              <w:rPr>
                <w:i/>
                <w:iCs/>
                <w:sz w:val="20"/>
                <w:szCs w:val="20"/>
                <w:lang w:eastAsia="en-GB"/>
              </w:rPr>
              <w:t>27.3</w:t>
            </w:r>
          </w:p>
        </w:tc>
        <w:tc>
          <w:tcPr>
            <w:tcW w:w="1260" w:type="dxa"/>
            <w:tcBorders>
              <w:top w:val="single" w:sz="4" w:space="0" w:color="auto"/>
              <w:left w:val="single" w:sz="4" w:space="0" w:color="auto"/>
              <w:bottom w:val="nil"/>
              <w:right w:val="nil"/>
            </w:tcBorders>
            <w:shd w:val="clear" w:color="auto" w:fill="FFFFFF"/>
          </w:tcPr>
          <w:p w14:paraId="3E4975DA" w14:textId="77777777" w:rsidR="009601AE" w:rsidRPr="00690428" w:rsidRDefault="009601AE" w:rsidP="009E3730">
            <w:pPr>
              <w:widowControl w:val="0"/>
              <w:suppressAutoHyphens/>
              <w:spacing w:line="276" w:lineRule="auto"/>
              <w:jc w:val="center"/>
              <w:rPr>
                <w:sz w:val="20"/>
                <w:szCs w:val="20"/>
              </w:rPr>
            </w:pPr>
            <w:r w:rsidRPr="00690428">
              <w:rPr>
                <w:sz w:val="20"/>
                <w:szCs w:val="20"/>
              </w:rPr>
              <w:t>1.5</w:t>
            </w:r>
          </w:p>
        </w:tc>
        <w:tc>
          <w:tcPr>
            <w:tcW w:w="900" w:type="dxa"/>
            <w:tcBorders>
              <w:top w:val="single" w:sz="4" w:space="0" w:color="auto"/>
              <w:left w:val="single" w:sz="4" w:space="0" w:color="auto"/>
              <w:bottom w:val="nil"/>
              <w:right w:val="nil"/>
            </w:tcBorders>
            <w:shd w:val="clear" w:color="auto" w:fill="FFFFFF"/>
          </w:tcPr>
          <w:p w14:paraId="233AF3FB" w14:textId="77777777" w:rsidR="009601AE" w:rsidRPr="00690428" w:rsidRDefault="009601AE" w:rsidP="009E3730">
            <w:pPr>
              <w:widowControl w:val="0"/>
              <w:suppressAutoHyphens/>
              <w:spacing w:line="276" w:lineRule="auto"/>
              <w:jc w:val="center"/>
              <w:rPr>
                <w:sz w:val="20"/>
                <w:szCs w:val="20"/>
              </w:rPr>
            </w:pPr>
            <w:r w:rsidRPr="00690428">
              <w:rPr>
                <w:sz w:val="20"/>
                <w:szCs w:val="20"/>
              </w:rPr>
              <w:t>26.7</w:t>
            </w:r>
          </w:p>
        </w:tc>
        <w:tc>
          <w:tcPr>
            <w:tcW w:w="1260" w:type="dxa"/>
            <w:tcBorders>
              <w:top w:val="single" w:sz="4" w:space="0" w:color="auto"/>
              <w:left w:val="single" w:sz="4" w:space="0" w:color="auto"/>
              <w:bottom w:val="nil"/>
              <w:right w:val="nil"/>
            </w:tcBorders>
            <w:shd w:val="clear" w:color="auto" w:fill="FFFFFF"/>
          </w:tcPr>
          <w:p w14:paraId="27AEAF1D" w14:textId="77777777" w:rsidR="009601AE" w:rsidRPr="00690428" w:rsidRDefault="009601AE" w:rsidP="009E3730">
            <w:pPr>
              <w:widowControl w:val="0"/>
              <w:suppressAutoHyphens/>
              <w:spacing w:line="276" w:lineRule="auto"/>
              <w:jc w:val="center"/>
              <w:rPr>
                <w:sz w:val="20"/>
                <w:szCs w:val="20"/>
              </w:rPr>
            </w:pPr>
            <w:r w:rsidRPr="00690428">
              <w:rPr>
                <w:sz w:val="20"/>
                <w:szCs w:val="20"/>
              </w:rPr>
              <w:t>2.0</w:t>
            </w:r>
          </w:p>
        </w:tc>
        <w:tc>
          <w:tcPr>
            <w:tcW w:w="1480" w:type="dxa"/>
            <w:tcBorders>
              <w:top w:val="single" w:sz="4" w:space="0" w:color="auto"/>
              <w:left w:val="single" w:sz="4" w:space="0" w:color="auto"/>
              <w:bottom w:val="nil"/>
              <w:right w:val="single" w:sz="4" w:space="0" w:color="auto"/>
            </w:tcBorders>
            <w:shd w:val="clear" w:color="auto" w:fill="FFFFFF"/>
          </w:tcPr>
          <w:p w14:paraId="7380B796" w14:textId="77777777" w:rsidR="009601AE" w:rsidRPr="00690428" w:rsidRDefault="009601AE" w:rsidP="009E3730">
            <w:pPr>
              <w:widowControl w:val="0"/>
              <w:suppressAutoHyphens/>
              <w:spacing w:line="276" w:lineRule="auto"/>
              <w:jc w:val="center"/>
              <w:rPr>
                <w:sz w:val="20"/>
                <w:szCs w:val="20"/>
              </w:rPr>
            </w:pPr>
            <w:r w:rsidRPr="00690428">
              <w:rPr>
                <w:sz w:val="20"/>
                <w:szCs w:val="20"/>
              </w:rPr>
              <w:t>4.5</w:t>
            </w:r>
          </w:p>
        </w:tc>
      </w:tr>
      <w:tr w:rsidR="009601AE" w:rsidRPr="00690428" w14:paraId="5A69C6BC" w14:textId="77777777" w:rsidTr="00C90833">
        <w:trPr>
          <w:jc w:val="center"/>
        </w:trPr>
        <w:tc>
          <w:tcPr>
            <w:tcW w:w="3931" w:type="dxa"/>
            <w:tcBorders>
              <w:top w:val="single" w:sz="4" w:space="0" w:color="auto"/>
              <w:left w:val="single" w:sz="4" w:space="0" w:color="auto"/>
              <w:bottom w:val="nil"/>
              <w:right w:val="nil"/>
            </w:tcBorders>
            <w:shd w:val="clear" w:color="auto" w:fill="FFFFFF"/>
          </w:tcPr>
          <w:p w14:paraId="77AB4983" w14:textId="77777777" w:rsidR="009601AE" w:rsidRPr="00690428" w:rsidRDefault="009601AE" w:rsidP="009E3730">
            <w:pPr>
              <w:widowControl w:val="0"/>
              <w:suppressAutoHyphens/>
              <w:spacing w:line="276" w:lineRule="auto"/>
              <w:ind w:left="120"/>
              <w:jc w:val="left"/>
              <w:rPr>
                <w:sz w:val="20"/>
                <w:szCs w:val="20"/>
              </w:rPr>
            </w:pPr>
            <w:r w:rsidRPr="00690428">
              <w:rPr>
                <w:sz w:val="20"/>
                <w:szCs w:val="20"/>
              </w:rPr>
              <w:t>R2.1. Enhanced matching of skills provided by the VET system with the needs of labour market</w:t>
            </w:r>
          </w:p>
        </w:tc>
        <w:tc>
          <w:tcPr>
            <w:tcW w:w="900" w:type="dxa"/>
            <w:tcBorders>
              <w:top w:val="single" w:sz="4" w:space="0" w:color="auto"/>
              <w:left w:val="single" w:sz="4" w:space="0" w:color="auto"/>
              <w:bottom w:val="nil"/>
              <w:right w:val="nil"/>
            </w:tcBorders>
            <w:shd w:val="clear" w:color="auto" w:fill="FFFFFF"/>
          </w:tcPr>
          <w:p w14:paraId="013030E9" w14:textId="77777777" w:rsidR="009601AE" w:rsidRPr="00690428" w:rsidRDefault="009601AE" w:rsidP="009E3730">
            <w:pPr>
              <w:widowControl w:val="0"/>
              <w:suppressAutoHyphens/>
              <w:spacing w:line="276" w:lineRule="auto"/>
              <w:rPr>
                <w:sz w:val="20"/>
                <w:szCs w:val="20"/>
              </w:rPr>
            </w:pPr>
          </w:p>
        </w:tc>
        <w:tc>
          <w:tcPr>
            <w:tcW w:w="1080" w:type="dxa"/>
            <w:tcBorders>
              <w:top w:val="single" w:sz="4" w:space="0" w:color="auto"/>
              <w:left w:val="single" w:sz="4" w:space="0" w:color="auto"/>
              <w:bottom w:val="nil"/>
              <w:right w:val="nil"/>
            </w:tcBorders>
            <w:shd w:val="clear" w:color="auto" w:fill="FFFFFF"/>
          </w:tcPr>
          <w:p w14:paraId="30D11A1C" w14:textId="77777777" w:rsidR="009601AE" w:rsidRPr="00690428" w:rsidRDefault="009601AE" w:rsidP="009E3730">
            <w:pPr>
              <w:widowControl w:val="0"/>
              <w:suppressAutoHyphens/>
              <w:spacing w:line="276" w:lineRule="auto"/>
              <w:rPr>
                <w:sz w:val="20"/>
                <w:szCs w:val="20"/>
              </w:rPr>
            </w:pPr>
          </w:p>
        </w:tc>
        <w:tc>
          <w:tcPr>
            <w:tcW w:w="900" w:type="dxa"/>
            <w:tcBorders>
              <w:top w:val="single" w:sz="4" w:space="0" w:color="auto"/>
              <w:left w:val="single" w:sz="4" w:space="0" w:color="auto"/>
              <w:bottom w:val="nil"/>
              <w:right w:val="nil"/>
            </w:tcBorders>
            <w:shd w:val="clear" w:color="auto" w:fill="FFFFFF"/>
          </w:tcPr>
          <w:p w14:paraId="60E3783E"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1188C039" w14:textId="77777777" w:rsidR="009601AE" w:rsidRPr="00690428" w:rsidRDefault="009601AE" w:rsidP="009E3730">
            <w:pPr>
              <w:widowControl w:val="0"/>
              <w:suppressAutoHyphens/>
              <w:spacing w:line="276" w:lineRule="auto"/>
              <w:jc w:val="center"/>
              <w:rPr>
                <w:sz w:val="20"/>
                <w:szCs w:val="20"/>
              </w:rPr>
            </w:pPr>
            <w:r w:rsidRPr="00690428">
              <w:rPr>
                <w:sz w:val="20"/>
                <w:szCs w:val="20"/>
              </w:rPr>
              <w:t>0.5</w:t>
            </w:r>
          </w:p>
        </w:tc>
        <w:tc>
          <w:tcPr>
            <w:tcW w:w="900" w:type="dxa"/>
            <w:tcBorders>
              <w:top w:val="single" w:sz="4" w:space="0" w:color="auto"/>
              <w:left w:val="single" w:sz="4" w:space="0" w:color="auto"/>
              <w:bottom w:val="nil"/>
              <w:right w:val="nil"/>
            </w:tcBorders>
            <w:shd w:val="clear" w:color="auto" w:fill="FFFFFF"/>
          </w:tcPr>
          <w:p w14:paraId="464316D6"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16CFD833" w14:textId="77777777" w:rsidR="009601AE" w:rsidRPr="00690428" w:rsidRDefault="009601AE" w:rsidP="009E3730">
            <w:pPr>
              <w:widowControl w:val="0"/>
              <w:suppressAutoHyphens/>
              <w:spacing w:line="276" w:lineRule="auto"/>
              <w:jc w:val="center"/>
              <w:rPr>
                <w:sz w:val="20"/>
                <w:szCs w:val="20"/>
              </w:rPr>
            </w:pPr>
            <w:r w:rsidRPr="00690428">
              <w:rPr>
                <w:sz w:val="20"/>
                <w:szCs w:val="20"/>
              </w:rPr>
              <w:t>0.5</w:t>
            </w:r>
          </w:p>
        </w:tc>
        <w:tc>
          <w:tcPr>
            <w:tcW w:w="900" w:type="dxa"/>
            <w:tcBorders>
              <w:top w:val="single" w:sz="4" w:space="0" w:color="auto"/>
              <w:left w:val="single" w:sz="4" w:space="0" w:color="auto"/>
              <w:bottom w:val="nil"/>
              <w:right w:val="nil"/>
            </w:tcBorders>
            <w:shd w:val="clear" w:color="auto" w:fill="FFFFFF"/>
          </w:tcPr>
          <w:p w14:paraId="3EA5E8CE"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7DE0FD3A" w14:textId="77777777" w:rsidR="009601AE" w:rsidRPr="00690428" w:rsidRDefault="009601AE" w:rsidP="009E3730">
            <w:pPr>
              <w:widowControl w:val="0"/>
              <w:suppressAutoHyphens/>
              <w:spacing w:line="276" w:lineRule="auto"/>
              <w:jc w:val="center"/>
              <w:rPr>
                <w:sz w:val="20"/>
                <w:szCs w:val="20"/>
              </w:rPr>
            </w:pPr>
            <w:r w:rsidRPr="00690428">
              <w:rPr>
                <w:sz w:val="20"/>
                <w:szCs w:val="20"/>
              </w:rPr>
              <w:t>1.0</w:t>
            </w:r>
          </w:p>
        </w:tc>
        <w:tc>
          <w:tcPr>
            <w:tcW w:w="1480" w:type="dxa"/>
            <w:tcBorders>
              <w:top w:val="single" w:sz="4" w:space="0" w:color="auto"/>
              <w:left w:val="single" w:sz="4" w:space="0" w:color="auto"/>
              <w:bottom w:val="nil"/>
              <w:right w:val="single" w:sz="4" w:space="0" w:color="auto"/>
            </w:tcBorders>
            <w:shd w:val="clear" w:color="auto" w:fill="FFFFFF"/>
          </w:tcPr>
          <w:p w14:paraId="3B5F8478" w14:textId="77777777" w:rsidR="009601AE" w:rsidRPr="00690428" w:rsidRDefault="009601AE" w:rsidP="009E3730">
            <w:pPr>
              <w:widowControl w:val="0"/>
              <w:suppressAutoHyphens/>
              <w:spacing w:line="276" w:lineRule="auto"/>
              <w:jc w:val="center"/>
              <w:rPr>
                <w:sz w:val="20"/>
                <w:szCs w:val="20"/>
              </w:rPr>
            </w:pPr>
            <w:r w:rsidRPr="00690428">
              <w:rPr>
                <w:sz w:val="20"/>
                <w:szCs w:val="20"/>
              </w:rPr>
              <w:t>2.0</w:t>
            </w:r>
          </w:p>
        </w:tc>
      </w:tr>
      <w:tr w:rsidR="009601AE" w:rsidRPr="00690428" w14:paraId="0826CDFA" w14:textId="77777777" w:rsidTr="00C90833">
        <w:trPr>
          <w:jc w:val="center"/>
        </w:trPr>
        <w:tc>
          <w:tcPr>
            <w:tcW w:w="3931" w:type="dxa"/>
            <w:tcBorders>
              <w:top w:val="single" w:sz="4" w:space="0" w:color="auto"/>
              <w:left w:val="single" w:sz="4" w:space="0" w:color="auto"/>
              <w:bottom w:val="nil"/>
              <w:right w:val="nil"/>
            </w:tcBorders>
            <w:shd w:val="clear" w:color="auto" w:fill="FFFFFF"/>
          </w:tcPr>
          <w:p w14:paraId="26F9FDA7" w14:textId="77777777" w:rsidR="009601AE" w:rsidRPr="00690428" w:rsidRDefault="009601AE" w:rsidP="009E3730">
            <w:pPr>
              <w:widowControl w:val="0"/>
              <w:suppressAutoHyphens/>
              <w:spacing w:line="276" w:lineRule="auto"/>
              <w:ind w:left="120"/>
              <w:jc w:val="left"/>
              <w:rPr>
                <w:sz w:val="20"/>
                <w:szCs w:val="20"/>
              </w:rPr>
            </w:pPr>
            <w:r w:rsidRPr="00690428">
              <w:rPr>
                <w:sz w:val="20"/>
                <w:szCs w:val="20"/>
              </w:rPr>
              <w:t>R2.2 Improved quality of VET qualifications</w:t>
            </w:r>
          </w:p>
        </w:tc>
        <w:tc>
          <w:tcPr>
            <w:tcW w:w="900" w:type="dxa"/>
            <w:tcBorders>
              <w:top w:val="single" w:sz="4" w:space="0" w:color="auto"/>
              <w:left w:val="single" w:sz="4" w:space="0" w:color="auto"/>
              <w:bottom w:val="nil"/>
              <w:right w:val="nil"/>
            </w:tcBorders>
            <w:shd w:val="clear" w:color="auto" w:fill="FFFFFF"/>
          </w:tcPr>
          <w:p w14:paraId="5F84C3F6" w14:textId="77777777" w:rsidR="009601AE" w:rsidRPr="00690428" w:rsidRDefault="009601AE" w:rsidP="009E3730">
            <w:pPr>
              <w:widowControl w:val="0"/>
              <w:suppressAutoHyphens/>
              <w:spacing w:line="276" w:lineRule="auto"/>
              <w:rPr>
                <w:sz w:val="20"/>
                <w:szCs w:val="20"/>
              </w:rPr>
            </w:pPr>
          </w:p>
        </w:tc>
        <w:tc>
          <w:tcPr>
            <w:tcW w:w="1080" w:type="dxa"/>
            <w:tcBorders>
              <w:top w:val="single" w:sz="4" w:space="0" w:color="auto"/>
              <w:left w:val="single" w:sz="4" w:space="0" w:color="auto"/>
              <w:bottom w:val="nil"/>
              <w:right w:val="nil"/>
            </w:tcBorders>
            <w:shd w:val="clear" w:color="auto" w:fill="FFFFFF"/>
          </w:tcPr>
          <w:p w14:paraId="035E9B79" w14:textId="77777777" w:rsidR="009601AE" w:rsidRPr="00690428" w:rsidRDefault="009601AE" w:rsidP="009E3730">
            <w:pPr>
              <w:widowControl w:val="0"/>
              <w:suppressAutoHyphens/>
              <w:spacing w:line="276" w:lineRule="auto"/>
              <w:rPr>
                <w:sz w:val="20"/>
                <w:szCs w:val="20"/>
              </w:rPr>
            </w:pPr>
          </w:p>
        </w:tc>
        <w:tc>
          <w:tcPr>
            <w:tcW w:w="900" w:type="dxa"/>
            <w:tcBorders>
              <w:top w:val="single" w:sz="4" w:space="0" w:color="auto"/>
              <w:left w:val="single" w:sz="4" w:space="0" w:color="auto"/>
              <w:bottom w:val="nil"/>
              <w:right w:val="nil"/>
            </w:tcBorders>
            <w:shd w:val="clear" w:color="auto" w:fill="FFFFFF"/>
          </w:tcPr>
          <w:p w14:paraId="5F7F2209"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2B498C23" w14:textId="77777777" w:rsidR="009601AE" w:rsidRPr="00690428" w:rsidRDefault="009601AE" w:rsidP="009E3730">
            <w:pPr>
              <w:widowControl w:val="0"/>
              <w:suppressAutoHyphens/>
              <w:spacing w:line="276" w:lineRule="auto"/>
              <w:jc w:val="center"/>
              <w:rPr>
                <w:sz w:val="20"/>
                <w:szCs w:val="20"/>
              </w:rPr>
            </w:pPr>
            <w:r w:rsidRPr="00690428">
              <w:rPr>
                <w:sz w:val="20"/>
                <w:szCs w:val="20"/>
              </w:rPr>
              <w:t>0.5</w:t>
            </w:r>
          </w:p>
        </w:tc>
        <w:tc>
          <w:tcPr>
            <w:tcW w:w="900" w:type="dxa"/>
            <w:tcBorders>
              <w:top w:val="single" w:sz="4" w:space="0" w:color="auto"/>
              <w:left w:val="single" w:sz="4" w:space="0" w:color="auto"/>
              <w:bottom w:val="nil"/>
              <w:right w:val="nil"/>
            </w:tcBorders>
            <w:shd w:val="clear" w:color="auto" w:fill="FFFFFF"/>
          </w:tcPr>
          <w:p w14:paraId="3F91DE86"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5A12A347" w14:textId="77777777" w:rsidR="009601AE" w:rsidRPr="00690428" w:rsidRDefault="009601AE" w:rsidP="009E3730">
            <w:pPr>
              <w:widowControl w:val="0"/>
              <w:suppressAutoHyphens/>
              <w:spacing w:line="276" w:lineRule="auto"/>
              <w:jc w:val="center"/>
              <w:rPr>
                <w:sz w:val="20"/>
                <w:szCs w:val="20"/>
              </w:rPr>
            </w:pPr>
            <w:r w:rsidRPr="00690428">
              <w:rPr>
                <w:sz w:val="20"/>
                <w:szCs w:val="20"/>
              </w:rPr>
              <w:t>1.0</w:t>
            </w:r>
          </w:p>
        </w:tc>
        <w:tc>
          <w:tcPr>
            <w:tcW w:w="900" w:type="dxa"/>
            <w:tcBorders>
              <w:top w:val="single" w:sz="4" w:space="0" w:color="auto"/>
              <w:left w:val="single" w:sz="4" w:space="0" w:color="auto"/>
              <w:bottom w:val="nil"/>
              <w:right w:val="nil"/>
            </w:tcBorders>
            <w:shd w:val="clear" w:color="auto" w:fill="FFFFFF"/>
          </w:tcPr>
          <w:p w14:paraId="180ECA84"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0A7BD6C4" w14:textId="77777777" w:rsidR="009601AE" w:rsidRPr="00690428" w:rsidRDefault="009601AE" w:rsidP="009E3730">
            <w:pPr>
              <w:widowControl w:val="0"/>
              <w:suppressAutoHyphens/>
              <w:spacing w:line="276" w:lineRule="auto"/>
              <w:jc w:val="center"/>
              <w:rPr>
                <w:sz w:val="20"/>
                <w:szCs w:val="20"/>
              </w:rPr>
            </w:pPr>
            <w:r w:rsidRPr="00690428">
              <w:rPr>
                <w:sz w:val="20"/>
                <w:szCs w:val="20"/>
              </w:rPr>
              <w:t>1.0</w:t>
            </w:r>
          </w:p>
        </w:tc>
        <w:tc>
          <w:tcPr>
            <w:tcW w:w="1480" w:type="dxa"/>
            <w:tcBorders>
              <w:top w:val="single" w:sz="4" w:space="0" w:color="auto"/>
              <w:left w:val="single" w:sz="4" w:space="0" w:color="auto"/>
              <w:bottom w:val="nil"/>
              <w:right w:val="single" w:sz="4" w:space="0" w:color="auto"/>
            </w:tcBorders>
            <w:shd w:val="clear" w:color="auto" w:fill="FFFFFF"/>
          </w:tcPr>
          <w:p w14:paraId="4BEAC224" w14:textId="77777777" w:rsidR="009601AE" w:rsidRPr="00690428" w:rsidRDefault="009601AE" w:rsidP="009E3730">
            <w:pPr>
              <w:widowControl w:val="0"/>
              <w:suppressAutoHyphens/>
              <w:spacing w:line="276" w:lineRule="auto"/>
              <w:jc w:val="center"/>
              <w:rPr>
                <w:sz w:val="20"/>
                <w:szCs w:val="20"/>
              </w:rPr>
            </w:pPr>
            <w:r w:rsidRPr="00690428">
              <w:rPr>
                <w:sz w:val="20"/>
                <w:szCs w:val="20"/>
              </w:rPr>
              <w:t>2.5</w:t>
            </w:r>
          </w:p>
        </w:tc>
      </w:tr>
      <w:tr w:rsidR="009601AE" w:rsidRPr="00690428" w14:paraId="7F2EE747" w14:textId="77777777" w:rsidTr="00C90833">
        <w:trPr>
          <w:jc w:val="center"/>
        </w:trPr>
        <w:tc>
          <w:tcPr>
            <w:tcW w:w="3931" w:type="dxa"/>
            <w:tcBorders>
              <w:top w:val="single" w:sz="4" w:space="0" w:color="auto"/>
              <w:left w:val="single" w:sz="4" w:space="0" w:color="auto"/>
              <w:bottom w:val="nil"/>
              <w:right w:val="nil"/>
            </w:tcBorders>
            <w:shd w:val="clear" w:color="auto" w:fill="FFFFFF"/>
          </w:tcPr>
          <w:p w14:paraId="53B89CB4" w14:textId="77777777" w:rsidR="009601AE" w:rsidRPr="00690428" w:rsidRDefault="009601AE" w:rsidP="009E3730">
            <w:pPr>
              <w:widowControl w:val="0"/>
              <w:suppressAutoHyphens/>
              <w:spacing w:line="276" w:lineRule="auto"/>
              <w:ind w:left="120"/>
              <w:jc w:val="left"/>
              <w:rPr>
                <w:sz w:val="20"/>
                <w:szCs w:val="20"/>
              </w:rPr>
            </w:pPr>
            <w:r w:rsidRPr="00690428">
              <w:rPr>
                <w:sz w:val="20"/>
                <w:szCs w:val="20"/>
              </w:rPr>
              <w:t>COMPONENT 3: Efficient transition from training to employment</w:t>
            </w:r>
          </w:p>
        </w:tc>
        <w:tc>
          <w:tcPr>
            <w:tcW w:w="900" w:type="dxa"/>
            <w:tcBorders>
              <w:top w:val="single" w:sz="4" w:space="0" w:color="auto"/>
              <w:left w:val="single" w:sz="4" w:space="0" w:color="auto"/>
              <w:bottom w:val="nil"/>
              <w:right w:val="nil"/>
            </w:tcBorders>
            <w:shd w:val="clear" w:color="auto" w:fill="FFFFFF"/>
          </w:tcPr>
          <w:p w14:paraId="6C6077A9" w14:textId="77777777" w:rsidR="009601AE" w:rsidRPr="00690428" w:rsidRDefault="009601AE" w:rsidP="009E3730">
            <w:pPr>
              <w:widowControl w:val="0"/>
              <w:suppressAutoHyphens/>
              <w:spacing w:line="276" w:lineRule="auto"/>
              <w:rPr>
                <w:sz w:val="20"/>
                <w:szCs w:val="20"/>
              </w:rPr>
            </w:pPr>
          </w:p>
        </w:tc>
        <w:tc>
          <w:tcPr>
            <w:tcW w:w="1080" w:type="dxa"/>
            <w:tcBorders>
              <w:top w:val="single" w:sz="4" w:space="0" w:color="auto"/>
              <w:left w:val="single" w:sz="4" w:space="0" w:color="auto"/>
              <w:bottom w:val="nil"/>
              <w:right w:val="nil"/>
            </w:tcBorders>
            <w:shd w:val="clear" w:color="auto" w:fill="FFFFFF"/>
          </w:tcPr>
          <w:p w14:paraId="4BDB792B" w14:textId="77777777" w:rsidR="009601AE" w:rsidRPr="00690428" w:rsidRDefault="009601AE" w:rsidP="009E3730">
            <w:pPr>
              <w:widowControl w:val="0"/>
              <w:suppressAutoHyphens/>
              <w:spacing w:line="276" w:lineRule="auto"/>
              <w:rPr>
                <w:sz w:val="20"/>
                <w:szCs w:val="20"/>
              </w:rPr>
            </w:pPr>
          </w:p>
        </w:tc>
        <w:tc>
          <w:tcPr>
            <w:tcW w:w="900" w:type="dxa"/>
            <w:tcBorders>
              <w:top w:val="single" w:sz="4" w:space="0" w:color="auto"/>
              <w:left w:val="single" w:sz="4" w:space="0" w:color="auto"/>
              <w:bottom w:val="nil"/>
              <w:right w:val="nil"/>
            </w:tcBorders>
            <w:shd w:val="clear" w:color="auto" w:fill="FFFFFF"/>
          </w:tcPr>
          <w:p w14:paraId="3DC43A51" w14:textId="77777777" w:rsidR="009601AE" w:rsidRPr="00690428" w:rsidRDefault="009601AE" w:rsidP="009E3730">
            <w:pPr>
              <w:widowControl w:val="0"/>
              <w:suppressAutoHyphens/>
              <w:spacing w:line="276" w:lineRule="auto"/>
              <w:jc w:val="center"/>
              <w:rPr>
                <w:sz w:val="20"/>
                <w:szCs w:val="20"/>
              </w:rPr>
            </w:pPr>
            <w:r w:rsidRPr="00690428">
              <w:rPr>
                <w:sz w:val="20"/>
                <w:szCs w:val="20"/>
              </w:rPr>
              <w:t>37.5</w:t>
            </w:r>
          </w:p>
        </w:tc>
        <w:tc>
          <w:tcPr>
            <w:tcW w:w="1260" w:type="dxa"/>
            <w:tcBorders>
              <w:top w:val="single" w:sz="4" w:space="0" w:color="auto"/>
              <w:left w:val="single" w:sz="4" w:space="0" w:color="auto"/>
              <w:bottom w:val="nil"/>
              <w:right w:val="nil"/>
            </w:tcBorders>
            <w:shd w:val="clear" w:color="auto" w:fill="FFFFFF"/>
          </w:tcPr>
          <w:p w14:paraId="2BFE0B25" w14:textId="77777777" w:rsidR="009601AE" w:rsidRPr="00690428" w:rsidRDefault="009601AE" w:rsidP="009E3730">
            <w:pPr>
              <w:widowControl w:val="0"/>
              <w:suppressAutoHyphens/>
              <w:spacing w:line="276" w:lineRule="auto"/>
              <w:jc w:val="center"/>
              <w:rPr>
                <w:sz w:val="20"/>
                <w:szCs w:val="20"/>
              </w:rPr>
            </w:pPr>
            <w:r w:rsidRPr="00690428">
              <w:rPr>
                <w:sz w:val="20"/>
                <w:szCs w:val="20"/>
              </w:rPr>
              <w:t>1.5</w:t>
            </w:r>
          </w:p>
        </w:tc>
        <w:tc>
          <w:tcPr>
            <w:tcW w:w="900" w:type="dxa"/>
            <w:tcBorders>
              <w:top w:val="single" w:sz="4" w:space="0" w:color="auto"/>
              <w:left w:val="single" w:sz="4" w:space="0" w:color="auto"/>
              <w:bottom w:val="nil"/>
              <w:right w:val="nil"/>
            </w:tcBorders>
            <w:shd w:val="clear" w:color="auto" w:fill="FFFFFF"/>
          </w:tcPr>
          <w:p w14:paraId="4BFE5C7D" w14:textId="77777777" w:rsidR="009601AE" w:rsidRPr="00690428" w:rsidRDefault="009601AE" w:rsidP="009E3730">
            <w:pPr>
              <w:widowControl w:val="0"/>
              <w:suppressAutoHyphens/>
              <w:spacing w:line="276" w:lineRule="auto"/>
              <w:jc w:val="center"/>
              <w:rPr>
                <w:sz w:val="20"/>
                <w:szCs w:val="20"/>
              </w:rPr>
            </w:pPr>
            <w:r w:rsidRPr="00690428">
              <w:rPr>
                <w:sz w:val="20"/>
                <w:szCs w:val="20"/>
              </w:rPr>
              <w:t>36.3</w:t>
            </w:r>
          </w:p>
        </w:tc>
        <w:tc>
          <w:tcPr>
            <w:tcW w:w="1260" w:type="dxa"/>
            <w:tcBorders>
              <w:top w:val="single" w:sz="4" w:space="0" w:color="auto"/>
              <w:left w:val="single" w:sz="4" w:space="0" w:color="auto"/>
              <w:bottom w:val="nil"/>
              <w:right w:val="nil"/>
            </w:tcBorders>
            <w:shd w:val="clear" w:color="auto" w:fill="FFFFFF"/>
          </w:tcPr>
          <w:p w14:paraId="782EFD46" w14:textId="77777777" w:rsidR="009601AE" w:rsidRPr="00690428" w:rsidRDefault="009601AE" w:rsidP="009E3730">
            <w:pPr>
              <w:widowControl w:val="0"/>
              <w:suppressAutoHyphens/>
              <w:spacing w:line="276" w:lineRule="auto"/>
              <w:jc w:val="center"/>
              <w:rPr>
                <w:sz w:val="20"/>
                <w:szCs w:val="20"/>
              </w:rPr>
            </w:pPr>
            <w:r w:rsidRPr="00690428">
              <w:rPr>
                <w:sz w:val="20"/>
                <w:szCs w:val="20"/>
              </w:rPr>
              <w:t>2.0</w:t>
            </w:r>
          </w:p>
        </w:tc>
        <w:tc>
          <w:tcPr>
            <w:tcW w:w="900" w:type="dxa"/>
            <w:tcBorders>
              <w:top w:val="single" w:sz="4" w:space="0" w:color="auto"/>
              <w:left w:val="single" w:sz="4" w:space="0" w:color="auto"/>
              <w:bottom w:val="nil"/>
              <w:right w:val="nil"/>
            </w:tcBorders>
            <w:shd w:val="clear" w:color="auto" w:fill="FFFFFF"/>
          </w:tcPr>
          <w:p w14:paraId="3DB76CC7" w14:textId="77777777" w:rsidR="009601AE" w:rsidRPr="00690428" w:rsidRDefault="009601AE" w:rsidP="009E3730">
            <w:pPr>
              <w:widowControl w:val="0"/>
              <w:suppressAutoHyphens/>
              <w:spacing w:line="276" w:lineRule="auto"/>
              <w:jc w:val="center"/>
              <w:rPr>
                <w:sz w:val="20"/>
                <w:szCs w:val="20"/>
              </w:rPr>
            </w:pPr>
            <w:r w:rsidRPr="00690428">
              <w:rPr>
                <w:sz w:val="20"/>
                <w:szCs w:val="20"/>
              </w:rPr>
              <w:t>33.3</w:t>
            </w:r>
          </w:p>
        </w:tc>
        <w:tc>
          <w:tcPr>
            <w:tcW w:w="1260" w:type="dxa"/>
            <w:tcBorders>
              <w:top w:val="single" w:sz="4" w:space="0" w:color="auto"/>
              <w:left w:val="single" w:sz="4" w:space="0" w:color="auto"/>
              <w:bottom w:val="nil"/>
              <w:right w:val="nil"/>
            </w:tcBorders>
            <w:shd w:val="clear" w:color="auto" w:fill="FFFFFF"/>
          </w:tcPr>
          <w:p w14:paraId="40D4DBFE" w14:textId="77777777" w:rsidR="009601AE" w:rsidRPr="00690428" w:rsidRDefault="009601AE" w:rsidP="009E3730">
            <w:pPr>
              <w:widowControl w:val="0"/>
              <w:suppressAutoHyphens/>
              <w:spacing w:line="276" w:lineRule="auto"/>
              <w:jc w:val="center"/>
              <w:rPr>
                <w:sz w:val="20"/>
                <w:szCs w:val="20"/>
              </w:rPr>
            </w:pPr>
            <w:r w:rsidRPr="00690428">
              <w:rPr>
                <w:sz w:val="20"/>
                <w:szCs w:val="20"/>
              </w:rPr>
              <w:t>2.5</w:t>
            </w:r>
          </w:p>
        </w:tc>
        <w:tc>
          <w:tcPr>
            <w:tcW w:w="1480" w:type="dxa"/>
            <w:tcBorders>
              <w:top w:val="single" w:sz="4" w:space="0" w:color="auto"/>
              <w:left w:val="single" w:sz="4" w:space="0" w:color="auto"/>
              <w:bottom w:val="nil"/>
              <w:right w:val="single" w:sz="4" w:space="0" w:color="auto"/>
            </w:tcBorders>
            <w:shd w:val="clear" w:color="auto" w:fill="FFFFFF"/>
          </w:tcPr>
          <w:p w14:paraId="410886F9" w14:textId="77777777" w:rsidR="009601AE" w:rsidRPr="00690428" w:rsidRDefault="009601AE" w:rsidP="009E3730">
            <w:pPr>
              <w:widowControl w:val="0"/>
              <w:suppressAutoHyphens/>
              <w:spacing w:line="276" w:lineRule="auto"/>
              <w:jc w:val="center"/>
              <w:rPr>
                <w:sz w:val="20"/>
                <w:szCs w:val="20"/>
              </w:rPr>
            </w:pPr>
            <w:r w:rsidRPr="00690428">
              <w:rPr>
                <w:sz w:val="20"/>
                <w:szCs w:val="20"/>
              </w:rPr>
              <w:t>6.0</w:t>
            </w:r>
          </w:p>
        </w:tc>
      </w:tr>
      <w:tr w:rsidR="009601AE" w:rsidRPr="00690428" w14:paraId="6F721ABD" w14:textId="77777777" w:rsidTr="00C90833">
        <w:trPr>
          <w:jc w:val="center"/>
        </w:trPr>
        <w:tc>
          <w:tcPr>
            <w:tcW w:w="3931" w:type="dxa"/>
            <w:tcBorders>
              <w:top w:val="single" w:sz="4" w:space="0" w:color="auto"/>
              <w:left w:val="single" w:sz="4" w:space="0" w:color="auto"/>
              <w:bottom w:val="nil"/>
              <w:right w:val="nil"/>
            </w:tcBorders>
            <w:shd w:val="clear" w:color="auto" w:fill="FFFFFF"/>
          </w:tcPr>
          <w:p w14:paraId="456B936B" w14:textId="77777777" w:rsidR="009601AE" w:rsidRPr="00690428" w:rsidRDefault="009601AE" w:rsidP="009E3730">
            <w:pPr>
              <w:widowControl w:val="0"/>
              <w:suppressAutoHyphens/>
              <w:spacing w:line="276" w:lineRule="auto"/>
              <w:ind w:left="120"/>
              <w:jc w:val="left"/>
              <w:rPr>
                <w:sz w:val="20"/>
                <w:szCs w:val="20"/>
              </w:rPr>
            </w:pPr>
            <w:r w:rsidRPr="00690428">
              <w:rPr>
                <w:sz w:val="20"/>
                <w:szCs w:val="20"/>
              </w:rPr>
              <w:t>R3.1 Efficient transition from training to employment</w:t>
            </w:r>
          </w:p>
        </w:tc>
        <w:tc>
          <w:tcPr>
            <w:tcW w:w="900" w:type="dxa"/>
            <w:tcBorders>
              <w:top w:val="single" w:sz="4" w:space="0" w:color="auto"/>
              <w:left w:val="single" w:sz="4" w:space="0" w:color="auto"/>
              <w:bottom w:val="nil"/>
              <w:right w:val="nil"/>
            </w:tcBorders>
            <w:shd w:val="clear" w:color="auto" w:fill="FFFFFF"/>
          </w:tcPr>
          <w:p w14:paraId="4B0336D4" w14:textId="77777777" w:rsidR="009601AE" w:rsidRPr="00690428" w:rsidRDefault="009601AE" w:rsidP="009E3730">
            <w:pPr>
              <w:widowControl w:val="0"/>
              <w:suppressAutoHyphens/>
              <w:spacing w:line="276" w:lineRule="auto"/>
              <w:rPr>
                <w:sz w:val="20"/>
                <w:szCs w:val="20"/>
              </w:rPr>
            </w:pPr>
          </w:p>
        </w:tc>
        <w:tc>
          <w:tcPr>
            <w:tcW w:w="1080" w:type="dxa"/>
            <w:tcBorders>
              <w:top w:val="single" w:sz="4" w:space="0" w:color="auto"/>
              <w:left w:val="single" w:sz="4" w:space="0" w:color="auto"/>
              <w:bottom w:val="nil"/>
              <w:right w:val="nil"/>
            </w:tcBorders>
            <w:shd w:val="clear" w:color="auto" w:fill="FFFFFF"/>
          </w:tcPr>
          <w:p w14:paraId="555B3D61" w14:textId="77777777" w:rsidR="009601AE" w:rsidRPr="00690428" w:rsidRDefault="009601AE" w:rsidP="009E3730">
            <w:pPr>
              <w:widowControl w:val="0"/>
              <w:suppressAutoHyphens/>
              <w:spacing w:line="276" w:lineRule="auto"/>
              <w:rPr>
                <w:sz w:val="20"/>
                <w:szCs w:val="20"/>
              </w:rPr>
            </w:pPr>
          </w:p>
        </w:tc>
        <w:tc>
          <w:tcPr>
            <w:tcW w:w="900" w:type="dxa"/>
            <w:tcBorders>
              <w:top w:val="single" w:sz="4" w:space="0" w:color="auto"/>
              <w:left w:val="single" w:sz="4" w:space="0" w:color="auto"/>
              <w:bottom w:val="nil"/>
              <w:right w:val="nil"/>
            </w:tcBorders>
            <w:shd w:val="clear" w:color="auto" w:fill="FFFFFF"/>
          </w:tcPr>
          <w:p w14:paraId="284E8E54"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68B6E90E" w14:textId="77777777" w:rsidR="009601AE" w:rsidRPr="00690428" w:rsidRDefault="009601AE" w:rsidP="009E3730">
            <w:pPr>
              <w:widowControl w:val="0"/>
              <w:suppressAutoHyphens/>
              <w:spacing w:line="276" w:lineRule="auto"/>
              <w:jc w:val="center"/>
              <w:rPr>
                <w:sz w:val="20"/>
                <w:szCs w:val="20"/>
              </w:rPr>
            </w:pPr>
            <w:r w:rsidRPr="00690428">
              <w:rPr>
                <w:sz w:val="20"/>
                <w:szCs w:val="20"/>
              </w:rPr>
              <w:t>0.5</w:t>
            </w:r>
          </w:p>
        </w:tc>
        <w:tc>
          <w:tcPr>
            <w:tcW w:w="900" w:type="dxa"/>
            <w:tcBorders>
              <w:top w:val="single" w:sz="4" w:space="0" w:color="auto"/>
              <w:left w:val="single" w:sz="4" w:space="0" w:color="auto"/>
              <w:bottom w:val="nil"/>
              <w:right w:val="nil"/>
            </w:tcBorders>
            <w:shd w:val="clear" w:color="auto" w:fill="FFFFFF"/>
          </w:tcPr>
          <w:p w14:paraId="4C17B54C"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4492FE13" w14:textId="77777777" w:rsidR="009601AE" w:rsidRPr="00690428" w:rsidRDefault="009601AE" w:rsidP="009E3730">
            <w:pPr>
              <w:widowControl w:val="0"/>
              <w:suppressAutoHyphens/>
              <w:spacing w:line="276" w:lineRule="auto"/>
              <w:jc w:val="center"/>
              <w:rPr>
                <w:sz w:val="20"/>
                <w:szCs w:val="20"/>
              </w:rPr>
            </w:pPr>
            <w:r w:rsidRPr="00690428">
              <w:rPr>
                <w:sz w:val="20"/>
                <w:szCs w:val="20"/>
              </w:rPr>
              <w:t>0.5</w:t>
            </w:r>
          </w:p>
        </w:tc>
        <w:tc>
          <w:tcPr>
            <w:tcW w:w="900" w:type="dxa"/>
            <w:tcBorders>
              <w:top w:val="single" w:sz="4" w:space="0" w:color="auto"/>
              <w:left w:val="single" w:sz="4" w:space="0" w:color="auto"/>
              <w:bottom w:val="nil"/>
              <w:right w:val="nil"/>
            </w:tcBorders>
            <w:shd w:val="clear" w:color="auto" w:fill="FFFFFF"/>
          </w:tcPr>
          <w:p w14:paraId="5629F418"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22862AB7" w14:textId="77777777" w:rsidR="009601AE" w:rsidRPr="00690428" w:rsidRDefault="009601AE" w:rsidP="009E3730">
            <w:pPr>
              <w:widowControl w:val="0"/>
              <w:suppressAutoHyphens/>
              <w:spacing w:line="276" w:lineRule="auto"/>
              <w:jc w:val="center"/>
              <w:rPr>
                <w:sz w:val="20"/>
                <w:szCs w:val="20"/>
              </w:rPr>
            </w:pPr>
            <w:r w:rsidRPr="00690428">
              <w:rPr>
                <w:sz w:val="20"/>
                <w:szCs w:val="20"/>
              </w:rPr>
              <w:t>1.0</w:t>
            </w:r>
          </w:p>
        </w:tc>
        <w:tc>
          <w:tcPr>
            <w:tcW w:w="1480" w:type="dxa"/>
            <w:tcBorders>
              <w:top w:val="single" w:sz="4" w:space="0" w:color="auto"/>
              <w:left w:val="single" w:sz="4" w:space="0" w:color="auto"/>
              <w:bottom w:val="nil"/>
              <w:right w:val="single" w:sz="4" w:space="0" w:color="auto"/>
            </w:tcBorders>
            <w:shd w:val="clear" w:color="auto" w:fill="FFFFFF"/>
          </w:tcPr>
          <w:p w14:paraId="10217AD6" w14:textId="77777777" w:rsidR="009601AE" w:rsidRPr="00690428" w:rsidRDefault="009601AE" w:rsidP="009E3730">
            <w:pPr>
              <w:widowControl w:val="0"/>
              <w:suppressAutoHyphens/>
              <w:spacing w:line="276" w:lineRule="auto"/>
              <w:jc w:val="center"/>
              <w:rPr>
                <w:sz w:val="20"/>
                <w:szCs w:val="20"/>
              </w:rPr>
            </w:pPr>
            <w:r w:rsidRPr="00690428">
              <w:rPr>
                <w:sz w:val="20"/>
                <w:szCs w:val="20"/>
              </w:rPr>
              <w:t>2.0</w:t>
            </w:r>
          </w:p>
        </w:tc>
      </w:tr>
      <w:tr w:rsidR="009601AE" w:rsidRPr="00690428" w14:paraId="2783D6A5" w14:textId="77777777" w:rsidTr="00C90833">
        <w:trPr>
          <w:jc w:val="center"/>
        </w:trPr>
        <w:tc>
          <w:tcPr>
            <w:tcW w:w="3931" w:type="dxa"/>
            <w:tcBorders>
              <w:top w:val="single" w:sz="4" w:space="0" w:color="auto"/>
              <w:left w:val="single" w:sz="4" w:space="0" w:color="auto"/>
              <w:bottom w:val="nil"/>
              <w:right w:val="nil"/>
            </w:tcBorders>
            <w:shd w:val="clear" w:color="auto" w:fill="FFFFFF"/>
          </w:tcPr>
          <w:p w14:paraId="0778AAF1" w14:textId="77777777" w:rsidR="009601AE" w:rsidRPr="00690428" w:rsidRDefault="009601AE" w:rsidP="009E3730">
            <w:pPr>
              <w:widowControl w:val="0"/>
              <w:suppressAutoHyphens/>
              <w:spacing w:line="276" w:lineRule="auto"/>
              <w:ind w:left="120"/>
              <w:jc w:val="left"/>
              <w:rPr>
                <w:sz w:val="20"/>
                <w:szCs w:val="20"/>
              </w:rPr>
            </w:pPr>
            <w:r w:rsidRPr="00690428">
              <w:rPr>
                <w:sz w:val="20"/>
                <w:szCs w:val="20"/>
              </w:rPr>
              <w:t>R3.2 Increased awareness of VET amongst potential students and employers</w:t>
            </w:r>
          </w:p>
        </w:tc>
        <w:tc>
          <w:tcPr>
            <w:tcW w:w="900" w:type="dxa"/>
            <w:tcBorders>
              <w:top w:val="single" w:sz="4" w:space="0" w:color="auto"/>
              <w:left w:val="single" w:sz="4" w:space="0" w:color="auto"/>
              <w:bottom w:val="nil"/>
              <w:right w:val="nil"/>
            </w:tcBorders>
            <w:shd w:val="clear" w:color="auto" w:fill="FFFFFF"/>
          </w:tcPr>
          <w:p w14:paraId="3B4290C7" w14:textId="77777777" w:rsidR="009601AE" w:rsidRPr="00690428" w:rsidRDefault="009601AE" w:rsidP="009E3730">
            <w:pPr>
              <w:widowControl w:val="0"/>
              <w:suppressAutoHyphens/>
              <w:spacing w:line="276" w:lineRule="auto"/>
              <w:rPr>
                <w:sz w:val="20"/>
                <w:szCs w:val="20"/>
              </w:rPr>
            </w:pPr>
          </w:p>
        </w:tc>
        <w:tc>
          <w:tcPr>
            <w:tcW w:w="1080" w:type="dxa"/>
            <w:tcBorders>
              <w:top w:val="single" w:sz="4" w:space="0" w:color="auto"/>
              <w:left w:val="single" w:sz="4" w:space="0" w:color="auto"/>
              <w:bottom w:val="nil"/>
              <w:right w:val="nil"/>
            </w:tcBorders>
            <w:shd w:val="clear" w:color="auto" w:fill="FFFFFF"/>
          </w:tcPr>
          <w:p w14:paraId="03B90919" w14:textId="77777777" w:rsidR="009601AE" w:rsidRPr="00690428" w:rsidRDefault="009601AE" w:rsidP="009E3730">
            <w:pPr>
              <w:widowControl w:val="0"/>
              <w:suppressAutoHyphens/>
              <w:spacing w:line="276" w:lineRule="auto"/>
              <w:rPr>
                <w:sz w:val="20"/>
                <w:szCs w:val="20"/>
              </w:rPr>
            </w:pPr>
          </w:p>
        </w:tc>
        <w:tc>
          <w:tcPr>
            <w:tcW w:w="900" w:type="dxa"/>
            <w:tcBorders>
              <w:top w:val="single" w:sz="4" w:space="0" w:color="auto"/>
              <w:left w:val="single" w:sz="4" w:space="0" w:color="auto"/>
              <w:bottom w:val="nil"/>
              <w:right w:val="nil"/>
            </w:tcBorders>
            <w:shd w:val="clear" w:color="auto" w:fill="FFFFFF"/>
          </w:tcPr>
          <w:p w14:paraId="6C9EBFA6"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212B2CA8" w14:textId="77777777" w:rsidR="009601AE" w:rsidRPr="00690428" w:rsidRDefault="009601AE" w:rsidP="009E3730">
            <w:pPr>
              <w:widowControl w:val="0"/>
              <w:suppressAutoHyphens/>
              <w:spacing w:line="276" w:lineRule="auto"/>
              <w:jc w:val="center"/>
              <w:rPr>
                <w:sz w:val="20"/>
                <w:szCs w:val="20"/>
              </w:rPr>
            </w:pPr>
            <w:r w:rsidRPr="00690428">
              <w:rPr>
                <w:sz w:val="20"/>
                <w:szCs w:val="20"/>
              </w:rPr>
              <w:t>0</w:t>
            </w:r>
            <w:r w:rsidRPr="00690428">
              <w:rPr>
                <w:sz w:val="20"/>
                <w:szCs w:val="20"/>
                <w:lang w:eastAsia="en-GB"/>
              </w:rPr>
              <w:t xml:space="preserve">. </w:t>
            </w:r>
            <w:r w:rsidRPr="00690428">
              <w:rPr>
                <w:sz w:val="20"/>
                <w:szCs w:val="20"/>
              </w:rPr>
              <w:t>5</w:t>
            </w:r>
          </w:p>
        </w:tc>
        <w:tc>
          <w:tcPr>
            <w:tcW w:w="900" w:type="dxa"/>
            <w:tcBorders>
              <w:top w:val="single" w:sz="4" w:space="0" w:color="auto"/>
              <w:left w:val="single" w:sz="4" w:space="0" w:color="auto"/>
              <w:bottom w:val="nil"/>
              <w:right w:val="nil"/>
            </w:tcBorders>
            <w:shd w:val="clear" w:color="auto" w:fill="FFFFFF"/>
          </w:tcPr>
          <w:p w14:paraId="105CEB7F"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57C31F08" w14:textId="77777777" w:rsidR="009601AE" w:rsidRPr="00690428" w:rsidRDefault="009601AE" w:rsidP="009E3730">
            <w:pPr>
              <w:widowControl w:val="0"/>
              <w:suppressAutoHyphens/>
              <w:spacing w:line="276" w:lineRule="auto"/>
              <w:jc w:val="center"/>
              <w:rPr>
                <w:sz w:val="20"/>
                <w:szCs w:val="20"/>
              </w:rPr>
            </w:pPr>
            <w:r w:rsidRPr="00690428">
              <w:rPr>
                <w:sz w:val="20"/>
                <w:szCs w:val="20"/>
              </w:rPr>
              <w:t>1.0</w:t>
            </w:r>
          </w:p>
        </w:tc>
        <w:tc>
          <w:tcPr>
            <w:tcW w:w="900" w:type="dxa"/>
            <w:tcBorders>
              <w:top w:val="single" w:sz="4" w:space="0" w:color="auto"/>
              <w:left w:val="single" w:sz="4" w:space="0" w:color="auto"/>
              <w:bottom w:val="nil"/>
              <w:right w:val="nil"/>
            </w:tcBorders>
            <w:shd w:val="clear" w:color="auto" w:fill="FFFFFF"/>
          </w:tcPr>
          <w:p w14:paraId="738A6313"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nil"/>
              <w:right w:val="nil"/>
            </w:tcBorders>
            <w:shd w:val="clear" w:color="auto" w:fill="FFFFFF"/>
          </w:tcPr>
          <w:p w14:paraId="1F07C2B2" w14:textId="77777777" w:rsidR="009601AE" w:rsidRPr="00690428" w:rsidRDefault="009601AE" w:rsidP="009E3730">
            <w:pPr>
              <w:widowControl w:val="0"/>
              <w:suppressAutoHyphens/>
              <w:spacing w:line="276" w:lineRule="auto"/>
              <w:jc w:val="center"/>
              <w:rPr>
                <w:sz w:val="20"/>
                <w:szCs w:val="20"/>
              </w:rPr>
            </w:pPr>
            <w:r w:rsidRPr="00690428">
              <w:rPr>
                <w:sz w:val="20"/>
                <w:szCs w:val="20"/>
              </w:rPr>
              <w:t>1. 0</w:t>
            </w:r>
          </w:p>
        </w:tc>
        <w:tc>
          <w:tcPr>
            <w:tcW w:w="1480" w:type="dxa"/>
            <w:tcBorders>
              <w:top w:val="single" w:sz="4" w:space="0" w:color="auto"/>
              <w:left w:val="single" w:sz="4" w:space="0" w:color="auto"/>
              <w:bottom w:val="nil"/>
              <w:right w:val="single" w:sz="4" w:space="0" w:color="auto"/>
            </w:tcBorders>
            <w:shd w:val="clear" w:color="auto" w:fill="FFFFFF"/>
          </w:tcPr>
          <w:p w14:paraId="07C4E4A2" w14:textId="77777777" w:rsidR="009601AE" w:rsidRPr="00690428" w:rsidRDefault="009601AE" w:rsidP="009E3730">
            <w:pPr>
              <w:widowControl w:val="0"/>
              <w:suppressAutoHyphens/>
              <w:spacing w:line="276" w:lineRule="auto"/>
              <w:jc w:val="center"/>
              <w:rPr>
                <w:sz w:val="20"/>
                <w:szCs w:val="20"/>
              </w:rPr>
            </w:pPr>
            <w:r w:rsidRPr="00690428">
              <w:rPr>
                <w:sz w:val="20"/>
                <w:szCs w:val="20"/>
              </w:rPr>
              <w:t>2.5</w:t>
            </w:r>
          </w:p>
        </w:tc>
      </w:tr>
      <w:tr w:rsidR="009601AE" w:rsidRPr="00690428" w14:paraId="345549E1" w14:textId="77777777" w:rsidTr="00C90833">
        <w:trPr>
          <w:jc w:val="center"/>
        </w:trPr>
        <w:tc>
          <w:tcPr>
            <w:tcW w:w="3931" w:type="dxa"/>
            <w:tcBorders>
              <w:top w:val="single" w:sz="4" w:space="0" w:color="auto"/>
              <w:left w:val="single" w:sz="4" w:space="0" w:color="auto"/>
              <w:bottom w:val="single" w:sz="4" w:space="0" w:color="auto"/>
              <w:right w:val="nil"/>
            </w:tcBorders>
            <w:shd w:val="clear" w:color="auto" w:fill="FFFFFF"/>
          </w:tcPr>
          <w:p w14:paraId="07CE4FD6" w14:textId="77777777" w:rsidR="009601AE" w:rsidRPr="00690428" w:rsidRDefault="009601AE" w:rsidP="009E3730">
            <w:pPr>
              <w:widowControl w:val="0"/>
              <w:suppressAutoHyphens/>
              <w:spacing w:line="276" w:lineRule="auto"/>
              <w:ind w:left="120"/>
              <w:jc w:val="left"/>
              <w:rPr>
                <w:sz w:val="20"/>
                <w:szCs w:val="20"/>
              </w:rPr>
            </w:pPr>
            <w:r w:rsidRPr="00690428">
              <w:rPr>
                <w:sz w:val="20"/>
                <w:szCs w:val="20"/>
              </w:rPr>
              <w:t>R3.3 Enhanced social partnership</w:t>
            </w:r>
          </w:p>
        </w:tc>
        <w:tc>
          <w:tcPr>
            <w:tcW w:w="900" w:type="dxa"/>
            <w:tcBorders>
              <w:top w:val="single" w:sz="4" w:space="0" w:color="auto"/>
              <w:left w:val="single" w:sz="4" w:space="0" w:color="auto"/>
              <w:bottom w:val="single" w:sz="4" w:space="0" w:color="auto"/>
              <w:right w:val="nil"/>
            </w:tcBorders>
            <w:shd w:val="clear" w:color="auto" w:fill="FFFFFF"/>
          </w:tcPr>
          <w:p w14:paraId="10D97AB2" w14:textId="77777777" w:rsidR="009601AE" w:rsidRPr="00690428" w:rsidRDefault="009601AE" w:rsidP="009E3730">
            <w:pPr>
              <w:widowControl w:val="0"/>
              <w:suppressAutoHyphens/>
              <w:spacing w:line="276" w:lineRule="auto"/>
              <w:rPr>
                <w:sz w:val="20"/>
                <w:szCs w:val="20"/>
              </w:rPr>
            </w:pPr>
          </w:p>
        </w:tc>
        <w:tc>
          <w:tcPr>
            <w:tcW w:w="1080" w:type="dxa"/>
            <w:tcBorders>
              <w:top w:val="single" w:sz="4" w:space="0" w:color="auto"/>
              <w:left w:val="single" w:sz="4" w:space="0" w:color="auto"/>
              <w:bottom w:val="single" w:sz="4" w:space="0" w:color="auto"/>
              <w:right w:val="nil"/>
            </w:tcBorders>
            <w:shd w:val="clear" w:color="auto" w:fill="FFFFFF"/>
          </w:tcPr>
          <w:p w14:paraId="0244A9C0" w14:textId="77777777" w:rsidR="009601AE" w:rsidRPr="00690428" w:rsidRDefault="009601AE" w:rsidP="009E3730">
            <w:pPr>
              <w:widowControl w:val="0"/>
              <w:suppressAutoHyphens/>
              <w:spacing w:line="276" w:lineRule="auto"/>
              <w:rPr>
                <w:sz w:val="20"/>
                <w:szCs w:val="20"/>
              </w:rPr>
            </w:pPr>
          </w:p>
        </w:tc>
        <w:tc>
          <w:tcPr>
            <w:tcW w:w="900" w:type="dxa"/>
            <w:tcBorders>
              <w:top w:val="single" w:sz="4" w:space="0" w:color="auto"/>
              <w:left w:val="single" w:sz="4" w:space="0" w:color="auto"/>
              <w:bottom w:val="single" w:sz="4" w:space="0" w:color="auto"/>
              <w:right w:val="nil"/>
            </w:tcBorders>
            <w:shd w:val="clear" w:color="auto" w:fill="FFFFFF"/>
          </w:tcPr>
          <w:p w14:paraId="1F30EF3D"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single" w:sz="4" w:space="0" w:color="auto"/>
              <w:right w:val="nil"/>
            </w:tcBorders>
            <w:shd w:val="clear" w:color="auto" w:fill="FFFFFF"/>
          </w:tcPr>
          <w:p w14:paraId="3356AB63" w14:textId="77777777" w:rsidR="009601AE" w:rsidRPr="00690428" w:rsidRDefault="009601AE" w:rsidP="009E3730">
            <w:pPr>
              <w:widowControl w:val="0"/>
              <w:suppressAutoHyphens/>
              <w:spacing w:line="276" w:lineRule="auto"/>
              <w:jc w:val="center"/>
              <w:rPr>
                <w:sz w:val="20"/>
                <w:szCs w:val="20"/>
              </w:rPr>
            </w:pPr>
            <w:r w:rsidRPr="00690428">
              <w:rPr>
                <w:sz w:val="20"/>
                <w:szCs w:val="20"/>
              </w:rPr>
              <w:t>0</w:t>
            </w:r>
            <w:r w:rsidRPr="00690428">
              <w:rPr>
                <w:sz w:val="20"/>
                <w:szCs w:val="20"/>
                <w:lang w:eastAsia="en-GB"/>
              </w:rPr>
              <w:t xml:space="preserve">. </w:t>
            </w:r>
            <w:r w:rsidRPr="00690428">
              <w:rPr>
                <w:sz w:val="20"/>
                <w:szCs w:val="20"/>
              </w:rPr>
              <w:t>5</w:t>
            </w:r>
          </w:p>
        </w:tc>
        <w:tc>
          <w:tcPr>
            <w:tcW w:w="900" w:type="dxa"/>
            <w:tcBorders>
              <w:top w:val="single" w:sz="4" w:space="0" w:color="auto"/>
              <w:left w:val="single" w:sz="4" w:space="0" w:color="auto"/>
              <w:bottom w:val="single" w:sz="4" w:space="0" w:color="auto"/>
              <w:right w:val="nil"/>
            </w:tcBorders>
            <w:shd w:val="clear" w:color="auto" w:fill="FFFFFF"/>
          </w:tcPr>
          <w:p w14:paraId="1EF9D699"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single" w:sz="4" w:space="0" w:color="auto"/>
              <w:right w:val="nil"/>
            </w:tcBorders>
            <w:shd w:val="clear" w:color="auto" w:fill="FFFFFF"/>
          </w:tcPr>
          <w:p w14:paraId="71AA790E" w14:textId="77777777" w:rsidR="009601AE" w:rsidRPr="00690428" w:rsidRDefault="009601AE" w:rsidP="009E3730">
            <w:pPr>
              <w:widowControl w:val="0"/>
              <w:suppressAutoHyphens/>
              <w:spacing w:line="276" w:lineRule="auto"/>
              <w:jc w:val="center"/>
              <w:rPr>
                <w:sz w:val="20"/>
                <w:szCs w:val="20"/>
              </w:rPr>
            </w:pPr>
            <w:r w:rsidRPr="00690428">
              <w:rPr>
                <w:sz w:val="20"/>
                <w:szCs w:val="20"/>
              </w:rPr>
              <w:t>0</w:t>
            </w:r>
            <w:r w:rsidRPr="00690428">
              <w:rPr>
                <w:sz w:val="20"/>
                <w:szCs w:val="20"/>
                <w:lang w:eastAsia="en-GB"/>
              </w:rPr>
              <w:t xml:space="preserve">. </w:t>
            </w:r>
            <w:r w:rsidRPr="00690428">
              <w:rPr>
                <w:sz w:val="20"/>
                <w:szCs w:val="20"/>
              </w:rPr>
              <w:t>5</w:t>
            </w:r>
          </w:p>
        </w:tc>
        <w:tc>
          <w:tcPr>
            <w:tcW w:w="900" w:type="dxa"/>
            <w:tcBorders>
              <w:top w:val="single" w:sz="4" w:space="0" w:color="auto"/>
              <w:left w:val="single" w:sz="4" w:space="0" w:color="auto"/>
              <w:bottom w:val="single" w:sz="4" w:space="0" w:color="auto"/>
              <w:right w:val="nil"/>
            </w:tcBorders>
            <w:shd w:val="clear" w:color="auto" w:fill="FFFFFF"/>
          </w:tcPr>
          <w:p w14:paraId="33F3073F" w14:textId="77777777" w:rsidR="009601AE" w:rsidRPr="00690428" w:rsidRDefault="009601AE" w:rsidP="009E3730">
            <w:pPr>
              <w:widowControl w:val="0"/>
              <w:suppressAutoHyphens/>
              <w:spacing w:line="276" w:lineRule="auto"/>
              <w:jc w:val="center"/>
              <w:rPr>
                <w:sz w:val="20"/>
                <w:szCs w:val="20"/>
              </w:rPr>
            </w:pPr>
          </w:p>
        </w:tc>
        <w:tc>
          <w:tcPr>
            <w:tcW w:w="1260" w:type="dxa"/>
            <w:tcBorders>
              <w:top w:val="single" w:sz="4" w:space="0" w:color="auto"/>
              <w:left w:val="single" w:sz="4" w:space="0" w:color="auto"/>
              <w:bottom w:val="single" w:sz="4" w:space="0" w:color="auto"/>
              <w:right w:val="nil"/>
            </w:tcBorders>
            <w:shd w:val="clear" w:color="auto" w:fill="FFFFFF"/>
          </w:tcPr>
          <w:p w14:paraId="0D69CACA" w14:textId="77777777" w:rsidR="009601AE" w:rsidRPr="00690428" w:rsidRDefault="009601AE" w:rsidP="009E3730">
            <w:pPr>
              <w:widowControl w:val="0"/>
              <w:suppressAutoHyphens/>
              <w:spacing w:line="276" w:lineRule="auto"/>
              <w:jc w:val="center"/>
              <w:rPr>
                <w:sz w:val="20"/>
                <w:szCs w:val="20"/>
              </w:rPr>
            </w:pPr>
            <w:r w:rsidRPr="00690428">
              <w:rPr>
                <w:sz w:val="20"/>
                <w:szCs w:val="20"/>
              </w:rPr>
              <w:t>0</w:t>
            </w:r>
            <w:r w:rsidRPr="00690428">
              <w:rPr>
                <w:sz w:val="20"/>
                <w:szCs w:val="20"/>
                <w:lang w:eastAsia="en-GB"/>
              </w:rPr>
              <w:t xml:space="preserve">. </w:t>
            </w:r>
            <w:r w:rsidRPr="00690428">
              <w:rPr>
                <w:sz w:val="20"/>
                <w:szCs w:val="20"/>
              </w:rPr>
              <w:t>5</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14:paraId="2E956520" w14:textId="77777777" w:rsidR="009601AE" w:rsidRPr="00690428" w:rsidRDefault="009601AE" w:rsidP="009E3730">
            <w:pPr>
              <w:widowControl w:val="0"/>
              <w:suppressAutoHyphens/>
              <w:spacing w:line="276" w:lineRule="auto"/>
              <w:jc w:val="center"/>
              <w:rPr>
                <w:sz w:val="20"/>
                <w:szCs w:val="20"/>
              </w:rPr>
            </w:pPr>
            <w:r w:rsidRPr="00690428">
              <w:rPr>
                <w:sz w:val="20"/>
                <w:szCs w:val="20"/>
              </w:rPr>
              <w:t>1.5</w:t>
            </w:r>
          </w:p>
        </w:tc>
      </w:tr>
    </w:tbl>
    <w:p w14:paraId="46FFFAA1" w14:textId="77777777" w:rsidR="009601AE" w:rsidRDefault="009601AE" w:rsidP="009E3730">
      <w:pPr>
        <w:widowControl w:val="0"/>
        <w:suppressAutoHyphens/>
      </w:pPr>
    </w:p>
    <w:p w14:paraId="653ECDAD" w14:textId="77777777" w:rsidR="009601AE" w:rsidRDefault="009601AE" w:rsidP="009E3730">
      <w:pPr>
        <w:widowControl w:val="0"/>
        <w:tabs>
          <w:tab w:val="left" w:pos="511"/>
        </w:tabs>
        <w:suppressAutoHyphens/>
      </w:pPr>
    </w:p>
    <w:p w14:paraId="356541DC" w14:textId="77777777" w:rsidR="009601AE" w:rsidRDefault="009601AE" w:rsidP="009E3730">
      <w:pPr>
        <w:widowControl w:val="0"/>
        <w:tabs>
          <w:tab w:val="left" w:pos="511"/>
        </w:tabs>
        <w:suppressAutoHyphens/>
        <w:sectPr w:rsidR="009601AE">
          <w:pgSz w:w="16834" w:h="11909" w:orient="landscape" w:code="9"/>
          <w:pgMar w:top="1418" w:right="1418" w:bottom="1418" w:left="1418" w:header="709" w:footer="709" w:gutter="0"/>
          <w:cols w:space="709"/>
        </w:sectPr>
      </w:pPr>
    </w:p>
    <w:p w14:paraId="089C70DD" w14:textId="77777777" w:rsidR="009601AE" w:rsidRDefault="009601AE" w:rsidP="009E3730">
      <w:pPr>
        <w:widowControl w:val="0"/>
        <w:suppressAutoHyphens/>
        <w:rPr>
          <w:b/>
          <w:bCs/>
          <w:i/>
          <w:iCs/>
          <w:sz w:val="24"/>
          <w:szCs w:val="24"/>
        </w:rPr>
      </w:pPr>
      <w:r>
        <w:rPr>
          <w:b/>
          <w:bCs/>
          <w:i/>
          <w:iCs/>
          <w:sz w:val="24"/>
          <w:szCs w:val="24"/>
        </w:rPr>
        <w:t>e)</w:t>
      </w:r>
      <w:r>
        <w:rPr>
          <w:b/>
          <w:bCs/>
          <w:i/>
          <w:iCs/>
          <w:sz w:val="24"/>
          <w:szCs w:val="24"/>
        </w:rPr>
        <w:tab/>
        <w:t>Performance Monitoring Arrangements (TAPs 2.3.1)</w:t>
      </w:r>
    </w:p>
    <w:p w14:paraId="74A27CE3" w14:textId="77777777" w:rsidR="009601AE" w:rsidRDefault="009601AE" w:rsidP="009E3730">
      <w:pPr>
        <w:widowControl w:val="0"/>
        <w:suppressAutoHyphens/>
      </w:pPr>
    </w:p>
    <w:p w14:paraId="189E0FEC" w14:textId="77777777" w:rsidR="009601AE" w:rsidRDefault="009601AE" w:rsidP="009E3730">
      <w:pPr>
        <w:widowControl w:val="0"/>
        <w:suppressAutoHyphens/>
      </w:pPr>
      <w:r>
        <w:t>Performance monitoring of the proposed programme will be entrusted to an Employment and VET Sector Coordination Council under the co-chairmanship of the Ministry of Labour, Health and Social Affairs and the Ministry of Education and Science, which will consolidate the existing bilateral working groups set up to coordinate specific elements of the Labour Market, VET and Agriculture Development strategies, and which will include representatives from the National VET Council, from the world of work (e.g. employers and trade unions) and from Civil Society In addition, the Council will include representatives from relevant line Ministries and State Agencies.</w:t>
      </w:r>
    </w:p>
    <w:p w14:paraId="02D5832A" w14:textId="77777777" w:rsidR="009601AE" w:rsidRDefault="009601AE" w:rsidP="009E3730">
      <w:pPr>
        <w:widowControl w:val="0"/>
        <w:suppressAutoHyphens/>
      </w:pPr>
    </w:p>
    <w:p w14:paraId="54159F19" w14:textId="77777777" w:rsidR="009601AE" w:rsidRDefault="009601AE" w:rsidP="009E3730">
      <w:pPr>
        <w:widowControl w:val="0"/>
        <w:suppressAutoHyphens/>
      </w:pPr>
      <w:r>
        <w:t>The establishment of the Employment and VET Sector Coordination Council is a general precondition for the budget support.</w:t>
      </w:r>
    </w:p>
    <w:p w14:paraId="5C856ECE" w14:textId="77777777" w:rsidR="009601AE" w:rsidRDefault="009601AE" w:rsidP="009E3730">
      <w:pPr>
        <w:widowControl w:val="0"/>
        <w:suppressAutoHyphens/>
      </w:pPr>
    </w:p>
    <w:p w14:paraId="05F8B4D3" w14:textId="77777777" w:rsidR="009601AE" w:rsidRDefault="009601AE" w:rsidP="009E3730">
      <w:pPr>
        <w:widowControl w:val="0"/>
        <w:suppressAutoHyphens/>
      </w:pPr>
      <w:r>
        <w:t xml:space="preserve">The Coordination Council will meet quarterly and will assure the technical and financial monitoring reports and the progress reports prepared for it by the responsible line Ministries, the Ministry of Labour, Health and Social Affairs and the Ministry of Education and Science. </w:t>
      </w:r>
    </w:p>
    <w:p w14:paraId="313DA9EA" w14:textId="77777777" w:rsidR="009601AE" w:rsidRDefault="009601AE" w:rsidP="009E3730">
      <w:pPr>
        <w:widowControl w:val="0"/>
        <w:suppressAutoHyphens/>
      </w:pPr>
    </w:p>
    <w:p w14:paraId="25AC56BE" w14:textId="77777777" w:rsidR="009601AE" w:rsidRDefault="009601AE" w:rsidP="009E3730">
      <w:pPr>
        <w:widowControl w:val="0"/>
        <w:suppressAutoHyphens/>
      </w:pPr>
      <w:r>
        <w:t>To guarantee sound implementation of the Programme, the Coordination Council will ensure that:</w:t>
      </w:r>
    </w:p>
    <w:p w14:paraId="5F887D9B" w14:textId="77777777" w:rsidR="009601AE" w:rsidRDefault="009601AE" w:rsidP="009E3730">
      <w:pPr>
        <w:widowControl w:val="0"/>
        <w:suppressAutoHyphens/>
      </w:pPr>
    </w:p>
    <w:p w14:paraId="12478132" w14:textId="77777777" w:rsidR="009601AE" w:rsidRDefault="009601AE" w:rsidP="007C295F">
      <w:pPr>
        <w:widowControl w:val="0"/>
        <w:numPr>
          <w:ilvl w:val="0"/>
          <w:numId w:val="10"/>
        </w:numPr>
        <w:suppressAutoHyphens/>
        <w:autoSpaceDE w:val="0"/>
        <w:autoSpaceDN w:val="0"/>
      </w:pPr>
      <w:r>
        <w:t>the European Commission is associated in all Government-Donors’ discussions on the elaboration and implementation of the State Strategies for Vocational Education and Training and Labour Market and Employment; and</w:t>
      </w:r>
    </w:p>
    <w:p w14:paraId="5C34257E" w14:textId="77777777" w:rsidR="009601AE" w:rsidRDefault="009601AE" w:rsidP="007C295F">
      <w:pPr>
        <w:widowControl w:val="0"/>
        <w:numPr>
          <w:ilvl w:val="0"/>
          <w:numId w:val="10"/>
        </w:numPr>
        <w:suppressAutoHyphens/>
        <w:autoSpaceDE w:val="0"/>
        <w:autoSpaceDN w:val="0"/>
      </w:pPr>
      <w:r>
        <w:t>any substantial revision of the structure and/or charters of the Ministry of Labour, Health and Social Affairs and the Ministry of Education and Science undertaken by the Government of Georgia will be subject to prior notification to the European Commission.</w:t>
      </w:r>
    </w:p>
    <w:p w14:paraId="578F33CE" w14:textId="77777777" w:rsidR="009601AE" w:rsidRDefault="009601AE" w:rsidP="009E3730">
      <w:pPr>
        <w:widowControl w:val="0"/>
        <w:suppressAutoHyphens/>
      </w:pPr>
    </w:p>
    <w:p w14:paraId="2BC3484B" w14:textId="77777777" w:rsidR="009601AE" w:rsidRDefault="009601AE" w:rsidP="009E3730">
      <w:pPr>
        <w:widowControl w:val="0"/>
        <w:suppressAutoHyphens/>
      </w:pPr>
      <w:r>
        <w:t>The Coordination Council will ensure that the following documentation related to the implementation of the Programme is made available to the European Commission, or any EC funded technical assistance financed under this Employment and Vocational Education and Training Reform Programme, or any other project or programme, including members of specialist missions (Reviews, Audit, Evaluation etc.):</w:t>
      </w:r>
    </w:p>
    <w:p w14:paraId="7DB932A5" w14:textId="77777777" w:rsidR="009601AE" w:rsidRDefault="009601AE" w:rsidP="009E3730">
      <w:pPr>
        <w:widowControl w:val="0"/>
        <w:suppressAutoHyphens/>
      </w:pPr>
    </w:p>
    <w:p w14:paraId="44D8D622" w14:textId="77777777" w:rsidR="009601AE" w:rsidRDefault="009601AE" w:rsidP="007C295F">
      <w:pPr>
        <w:widowControl w:val="0"/>
        <w:numPr>
          <w:ilvl w:val="0"/>
          <w:numId w:val="11"/>
        </w:numPr>
        <w:suppressAutoHyphens/>
        <w:autoSpaceDE w:val="0"/>
        <w:autoSpaceDN w:val="0"/>
      </w:pPr>
      <w:r>
        <w:t>Bank statements relevant to the transfer referred to in Section 2.1 of these Technical and Administrative Provisions;</w:t>
      </w:r>
    </w:p>
    <w:p w14:paraId="4D9BA94C" w14:textId="77777777" w:rsidR="009601AE" w:rsidRDefault="009601AE" w:rsidP="007C295F">
      <w:pPr>
        <w:widowControl w:val="0"/>
        <w:numPr>
          <w:ilvl w:val="0"/>
          <w:numId w:val="11"/>
        </w:numPr>
        <w:suppressAutoHyphens/>
        <w:autoSpaceDE w:val="0"/>
        <w:autoSpaceDN w:val="0"/>
      </w:pPr>
      <w:r>
        <w:t>Laws, Government Decrees and other legislative/regulatory acts and administrative provisions (draft and final) related to the sectors relevant for the implementation of the Programme;</w:t>
      </w:r>
    </w:p>
    <w:p w14:paraId="67BAA55E" w14:textId="77777777" w:rsidR="009601AE" w:rsidRDefault="009601AE" w:rsidP="007C295F">
      <w:pPr>
        <w:widowControl w:val="0"/>
        <w:numPr>
          <w:ilvl w:val="0"/>
          <w:numId w:val="11"/>
        </w:numPr>
        <w:suppressAutoHyphens/>
        <w:autoSpaceDE w:val="0"/>
        <w:autoSpaceDN w:val="0"/>
      </w:pPr>
      <w:r>
        <w:t>Reports and Agreements with the IMF, the World Bank, the United Nations and its Agencies, the Council of Europe and its Agencies, and;</w:t>
      </w:r>
    </w:p>
    <w:p w14:paraId="7E670267" w14:textId="77777777" w:rsidR="009601AE" w:rsidRDefault="009601AE" w:rsidP="007C295F">
      <w:pPr>
        <w:widowControl w:val="0"/>
        <w:numPr>
          <w:ilvl w:val="0"/>
          <w:numId w:val="11"/>
        </w:numPr>
        <w:suppressAutoHyphens/>
        <w:autoSpaceDE w:val="0"/>
        <w:autoSpaceDN w:val="0"/>
      </w:pPr>
      <w:r>
        <w:t>Government and other donor policy documents and reports (draft and final), relevant to the implementation of the Programme.</w:t>
      </w:r>
    </w:p>
    <w:p w14:paraId="50D421E7" w14:textId="77777777" w:rsidR="009601AE" w:rsidRDefault="009601AE" w:rsidP="009E3730">
      <w:pPr>
        <w:widowControl w:val="0"/>
        <w:suppressAutoHyphens/>
      </w:pPr>
    </w:p>
    <w:p w14:paraId="752577C0" w14:textId="77777777" w:rsidR="009601AE" w:rsidRDefault="009601AE" w:rsidP="009E3730">
      <w:pPr>
        <w:widowControl w:val="0"/>
        <w:suppressAutoHyphens/>
        <w:sectPr w:rsidR="009601AE">
          <w:pgSz w:w="11909" w:h="16834" w:code="9"/>
          <w:pgMar w:top="1417" w:right="1417" w:bottom="1417" w:left="1417" w:header="709" w:footer="709" w:gutter="0"/>
          <w:cols w:space="709"/>
        </w:sectPr>
      </w:pPr>
    </w:p>
    <w:p w14:paraId="397002FA" w14:textId="77777777" w:rsidR="009601AE" w:rsidRDefault="009601AE" w:rsidP="009E3730">
      <w:pPr>
        <w:pStyle w:val="Heading1"/>
        <w:widowControl w:val="0"/>
        <w:suppressAutoHyphens/>
      </w:pPr>
      <w:bookmarkStart w:id="86" w:name="_Toc342978092"/>
      <w:bookmarkStart w:id="87" w:name="_Toc419079102"/>
      <w:bookmarkStart w:id="88" w:name="_Toc486837776"/>
      <w:r>
        <w:t>Appendix 3: EC-SPSP VET - Expected Results</w:t>
      </w:r>
      <w:bookmarkEnd w:id="86"/>
      <w:bookmarkEnd w:id="87"/>
      <w:bookmarkEnd w:id="88"/>
    </w:p>
    <w:p w14:paraId="192EFEF9" w14:textId="77777777" w:rsidR="009601AE" w:rsidRDefault="009601AE" w:rsidP="009E3730">
      <w:pPr>
        <w:widowControl w:val="0"/>
        <w:suppressAutoHyphens/>
      </w:pPr>
    </w:p>
    <w:p w14:paraId="3AF85B3E" w14:textId="77777777" w:rsidR="009601AE" w:rsidRDefault="009601AE" w:rsidP="009E3730">
      <w:pPr>
        <w:widowControl w:val="0"/>
        <w:suppressAutoHyphens/>
      </w:pPr>
      <w:r>
        <w:t>Section 1.2 of Annex 2: Technical and Administrative Provisions (TAP) of the Financing Agreement (FA) states the expected results and main activities of the Programme. They are grouped around the three components: effective labour market management; the enhanced quality and relevance of VET system; and the efficient transition from training into employment.</w:t>
      </w:r>
    </w:p>
    <w:p w14:paraId="64D1299F" w14:textId="77777777" w:rsidR="009601AE" w:rsidRDefault="009601AE" w:rsidP="009E3730">
      <w:pPr>
        <w:widowControl w:val="0"/>
        <w:suppressAutoHyphens/>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7"/>
        <w:gridCol w:w="2520"/>
        <w:gridCol w:w="4172"/>
      </w:tblGrid>
      <w:tr w:rsidR="009601AE" w:rsidRPr="00690428" w14:paraId="14A2C41C" w14:textId="77777777" w:rsidTr="00C90833">
        <w:trPr>
          <w:jc w:val="center"/>
        </w:trPr>
        <w:tc>
          <w:tcPr>
            <w:tcW w:w="9759" w:type="dxa"/>
            <w:gridSpan w:val="3"/>
          </w:tcPr>
          <w:p w14:paraId="47369945" w14:textId="77777777" w:rsidR="009601AE" w:rsidRPr="00690428" w:rsidRDefault="009601AE" w:rsidP="009E3730">
            <w:pPr>
              <w:widowControl w:val="0"/>
              <w:suppressAutoHyphens/>
              <w:jc w:val="center"/>
              <w:rPr>
                <w:b/>
                <w:bCs/>
                <w:sz w:val="20"/>
                <w:szCs w:val="20"/>
              </w:rPr>
            </w:pPr>
            <w:r w:rsidRPr="00690428">
              <w:rPr>
                <w:sz w:val="20"/>
                <w:szCs w:val="20"/>
              </w:rPr>
              <w:br w:type="page"/>
            </w:r>
            <w:r w:rsidRPr="00690428">
              <w:rPr>
                <w:b/>
                <w:bCs/>
                <w:sz w:val="20"/>
                <w:szCs w:val="20"/>
              </w:rPr>
              <w:t>COMPONENT 1: Effective Labour Market Management</w:t>
            </w:r>
          </w:p>
        </w:tc>
      </w:tr>
      <w:tr w:rsidR="009601AE" w:rsidRPr="00690428" w14:paraId="48C4083F" w14:textId="77777777" w:rsidTr="00C90833">
        <w:trPr>
          <w:jc w:val="center"/>
        </w:trPr>
        <w:tc>
          <w:tcPr>
            <w:tcW w:w="3067" w:type="dxa"/>
            <w:tcBorders>
              <w:bottom w:val="nil"/>
            </w:tcBorders>
          </w:tcPr>
          <w:p w14:paraId="434A2A0F" w14:textId="77777777" w:rsidR="009601AE" w:rsidRPr="00690428" w:rsidRDefault="009601AE" w:rsidP="009E3730">
            <w:pPr>
              <w:widowControl w:val="0"/>
              <w:suppressAutoHyphens/>
              <w:jc w:val="left"/>
              <w:rPr>
                <w:b/>
                <w:bCs/>
                <w:sz w:val="20"/>
                <w:szCs w:val="20"/>
              </w:rPr>
            </w:pPr>
            <w:r w:rsidRPr="00690428">
              <w:rPr>
                <w:b/>
                <w:bCs/>
                <w:sz w:val="20"/>
                <w:szCs w:val="20"/>
              </w:rPr>
              <w:t xml:space="preserve">Specific Objective 1: </w:t>
            </w:r>
            <w:r w:rsidRPr="00690428">
              <w:rPr>
                <w:sz w:val="20"/>
                <w:szCs w:val="20"/>
              </w:rPr>
              <w:t>To strengthen the institutional and human resource capacities of the national authorities to design, coordinate, implement and monitor labour market and skills needs in close partnership with the private sector</w:t>
            </w:r>
          </w:p>
        </w:tc>
        <w:tc>
          <w:tcPr>
            <w:tcW w:w="2520" w:type="dxa"/>
          </w:tcPr>
          <w:p w14:paraId="0F3C4AA8" w14:textId="77777777" w:rsidR="009601AE" w:rsidRPr="00690428" w:rsidRDefault="009601AE" w:rsidP="009E3730">
            <w:pPr>
              <w:widowControl w:val="0"/>
              <w:suppressAutoHyphens/>
              <w:jc w:val="left"/>
              <w:rPr>
                <w:sz w:val="20"/>
                <w:szCs w:val="20"/>
              </w:rPr>
            </w:pPr>
            <w:r w:rsidRPr="00690428">
              <w:rPr>
                <w:b/>
                <w:bCs/>
                <w:sz w:val="20"/>
                <w:szCs w:val="20"/>
              </w:rPr>
              <w:t>Result 1.1.</w:t>
            </w:r>
            <w:r w:rsidRPr="00690428">
              <w:rPr>
                <w:sz w:val="20"/>
                <w:szCs w:val="20"/>
              </w:rPr>
              <w:t xml:space="preserve"> Reliable and sustainable  labour market information and forecasting</w:t>
            </w:r>
          </w:p>
        </w:tc>
        <w:tc>
          <w:tcPr>
            <w:tcW w:w="4172" w:type="dxa"/>
          </w:tcPr>
          <w:p w14:paraId="1708D445" w14:textId="77777777" w:rsidR="009601AE" w:rsidRPr="00690428" w:rsidRDefault="009601AE" w:rsidP="009E3730">
            <w:pPr>
              <w:widowControl w:val="0"/>
              <w:suppressAutoHyphens/>
              <w:jc w:val="left"/>
              <w:rPr>
                <w:sz w:val="20"/>
                <w:szCs w:val="20"/>
              </w:rPr>
            </w:pPr>
            <w:r w:rsidRPr="00690428">
              <w:rPr>
                <w:sz w:val="20"/>
                <w:szCs w:val="20"/>
              </w:rPr>
              <w:t>A sustainable Labour Market Information System (LMIS) is established with the involvement of all relevant stakeholders, which provides quantitative and qualitative labour market forecasts, disaggregated by gender, occupation, sector and region (as appropriate), and which permits better matching of skills and needs and demand/jobs.</w:t>
            </w:r>
          </w:p>
        </w:tc>
      </w:tr>
      <w:tr w:rsidR="009601AE" w:rsidRPr="00690428" w14:paraId="5C57702E" w14:textId="77777777" w:rsidTr="00C90833">
        <w:trPr>
          <w:jc w:val="center"/>
        </w:trPr>
        <w:tc>
          <w:tcPr>
            <w:tcW w:w="3067" w:type="dxa"/>
            <w:tcBorders>
              <w:top w:val="nil"/>
            </w:tcBorders>
          </w:tcPr>
          <w:p w14:paraId="237D4709" w14:textId="77777777" w:rsidR="009601AE" w:rsidRPr="00690428" w:rsidRDefault="009601AE" w:rsidP="009E3730">
            <w:pPr>
              <w:widowControl w:val="0"/>
              <w:suppressAutoHyphens/>
              <w:jc w:val="left"/>
              <w:rPr>
                <w:b/>
                <w:bCs/>
                <w:sz w:val="20"/>
                <w:szCs w:val="20"/>
              </w:rPr>
            </w:pPr>
          </w:p>
        </w:tc>
        <w:tc>
          <w:tcPr>
            <w:tcW w:w="2520" w:type="dxa"/>
          </w:tcPr>
          <w:p w14:paraId="181AD833" w14:textId="77777777" w:rsidR="009601AE" w:rsidRPr="00690428" w:rsidRDefault="009601AE" w:rsidP="009E3730">
            <w:pPr>
              <w:widowControl w:val="0"/>
              <w:suppressAutoHyphens/>
              <w:jc w:val="left"/>
              <w:rPr>
                <w:b/>
                <w:bCs/>
                <w:sz w:val="20"/>
                <w:szCs w:val="20"/>
              </w:rPr>
            </w:pPr>
            <w:r w:rsidRPr="00690428">
              <w:rPr>
                <w:b/>
                <w:bCs/>
                <w:sz w:val="20"/>
                <w:szCs w:val="20"/>
              </w:rPr>
              <w:t>Result 1.2</w:t>
            </w:r>
            <w:r w:rsidRPr="00690428">
              <w:rPr>
                <w:sz w:val="20"/>
                <w:szCs w:val="20"/>
              </w:rPr>
              <w:t xml:space="preserve"> Improved quality of Employment Support Services</w:t>
            </w:r>
          </w:p>
        </w:tc>
        <w:tc>
          <w:tcPr>
            <w:tcW w:w="4172" w:type="dxa"/>
          </w:tcPr>
          <w:p w14:paraId="58E4CB48" w14:textId="77777777" w:rsidR="009601AE" w:rsidRPr="00690428" w:rsidRDefault="009601AE" w:rsidP="009E3730">
            <w:pPr>
              <w:widowControl w:val="0"/>
              <w:suppressAutoHyphens/>
              <w:jc w:val="left"/>
              <w:rPr>
                <w:sz w:val="20"/>
                <w:szCs w:val="20"/>
              </w:rPr>
            </w:pPr>
            <w:r w:rsidRPr="00690428">
              <w:rPr>
                <w:sz w:val="20"/>
                <w:szCs w:val="20"/>
              </w:rPr>
              <w:t>The institutional and human resource capacities of the public Employment Support Services (ESS) have been strengthened, measured by the range and quality of services provided, the number of clients using these services, and the number of pilot labour market measures introduced.</w:t>
            </w:r>
          </w:p>
        </w:tc>
      </w:tr>
      <w:tr w:rsidR="009601AE" w:rsidRPr="00690428" w14:paraId="023156D9" w14:textId="77777777" w:rsidTr="00C90833">
        <w:trPr>
          <w:jc w:val="center"/>
        </w:trPr>
        <w:tc>
          <w:tcPr>
            <w:tcW w:w="9759" w:type="dxa"/>
            <w:gridSpan w:val="3"/>
          </w:tcPr>
          <w:p w14:paraId="21778B8D" w14:textId="77777777" w:rsidR="009601AE" w:rsidRPr="00690428" w:rsidRDefault="009601AE" w:rsidP="009E3730">
            <w:pPr>
              <w:widowControl w:val="0"/>
              <w:suppressAutoHyphens/>
              <w:jc w:val="center"/>
              <w:rPr>
                <w:b/>
                <w:bCs/>
                <w:sz w:val="20"/>
                <w:szCs w:val="20"/>
              </w:rPr>
            </w:pPr>
            <w:r w:rsidRPr="00690428">
              <w:rPr>
                <w:b/>
                <w:bCs/>
                <w:sz w:val="20"/>
                <w:szCs w:val="20"/>
              </w:rPr>
              <w:t>COMPONENT 2: Enhanced quality and relevance of VET system</w:t>
            </w:r>
          </w:p>
        </w:tc>
      </w:tr>
      <w:tr w:rsidR="009601AE" w:rsidRPr="00690428" w14:paraId="4002D1E9" w14:textId="77777777" w:rsidTr="00C90833">
        <w:trPr>
          <w:jc w:val="center"/>
        </w:trPr>
        <w:tc>
          <w:tcPr>
            <w:tcW w:w="3067" w:type="dxa"/>
            <w:tcBorders>
              <w:bottom w:val="nil"/>
            </w:tcBorders>
          </w:tcPr>
          <w:p w14:paraId="39DD8645" w14:textId="77777777" w:rsidR="009601AE" w:rsidRPr="00690428" w:rsidRDefault="009601AE" w:rsidP="009E3730">
            <w:pPr>
              <w:widowControl w:val="0"/>
              <w:suppressAutoHyphens/>
              <w:jc w:val="left"/>
              <w:rPr>
                <w:b/>
                <w:bCs/>
                <w:sz w:val="20"/>
                <w:szCs w:val="20"/>
              </w:rPr>
            </w:pPr>
            <w:r w:rsidRPr="00690428">
              <w:rPr>
                <w:b/>
                <w:bCs/>
                <w:sz w:val="20"/>
                <w:szCs w:val="20"/>
              </w:rPr>
              <w:t xml:space="preserve">Specific Objective 2: </w:t>
            </w:r>
            <w:r w:rsidRPr="00690428">
              <w:rPr>
                <w:sz w:val="20"/>
                <w:szCs w:val="20"/>
              </w:rPr>
              <w:t xml:space="preserve">To enhance the quality and relevance of the VET system in a lifelong learning perspective in order to ensure better synergy between the skills and qualifications offered and the needs of the labour market </w:t>
            </w:r>
          </w:p>
        </w:tc>
        <w:tc>
          <w:tcPr>
            <w:tcW w:w="2520" w:type="dxa"/>
          </w:tcPr>
          <w:p w14:paraId="0274CAD5" w14:textId="77777777" w:rsidR="009601AE" w:rsidRPr="00690428" w:rsidRDefault="009601AE" w:rsidP="009E3730">
            <w:pPr>
              <w:widowControl w:val="0"/>
              <w:suppressAutoHyphens/>
              <w:jc w:val="left"/>
              <w:rPr>
                <w:b/>
                <w:bCs/>
                <w:sz w:val="20"/>
                <w:szCs w:val="20"/>
              </w:rPr>
            </w:pPr>
            <w:r w:rsidRPr="00690428">
              <w:rPr>
                <w:b/>
                <w:bCs/>
                <w:sz w:val="20"/>
                <w:szCs w:val="20"/>
              </w:rPr>
              <w:t xml:space="preserve">Result 2.1 </w:t>
            </w:r>
            <w:r w:rsidRPr="00690428">
              <w:rPr>
                <w:sz w:val="20"/>
                <w:szCs w:val="20"/>
              </w:rPr>
              <w:t>Enhanced matching of skills provided by the VET system with the  needs of labour market</w:t>
            </w:r>
            <w:r w:rsidRPr="00690428">
              <w:rPr>
                <w:b/>
                <w:bCs/>
                <w:sz w:val="20"/>
                <w:szCs w:val="20"/>
              </w:rPr>
              <w:t xml:space="preserve"> </w:t>
            </w:r>
          </w:p>
        </w:tc>
        <w:tc>
          <w:tcPr>
            <w:tcW w:w="4172" w:type="dxa"/>
          </w:tcPr>
          <w:p w14:paraId="5595F59D" w14:textId="77777777" w:rsidR="009601AE" w:rsidRPr="00690428" w:rsidRDefault="009601AE" w:rsidP="009E3730">
            <w:pPr>
              <w:widowControl w:val="0"/>
              <w:suppressAutoHyphens/>
              <w:jc w:val="left"/>
              <w:rPr>
                <w:sz w:val="20"/>
                <w:szCs w:val="20"/>
              </w:rPr>
            </w:pPr>
            <w:r w:rsidRPr="00690428">
              <w:rPr>
                <w:sz w:val="20"/>
                <w:szCs w:val="20"/>
              </w:rPr>
              <w:t>Occupational standards are regularly updated in line with the needs of the labour market and with the National Qualifications Framework (NQF)</w:t>
            </w:r>
          </w:p>
          <w:p w14:paraId="74FC76A1" w14:textId="77777777" w:rsidR="009601AE" w:rsidRPr="00690428" w:rsidRDefault="009601AE" w:rsidP="009E3730">
            <w:pPr>
              <w:widowControl w:val="0"/>
              <w:suppressAutoHyphens/>
              <w:jc w:val="left"/>
              <w:rPr>
                <w:sz w:val="20"/>
                <w:szCs w:val="20"/>
              </w:rPr>
            </w:pPr>
          </w:p>
          <w:p w14:paraId="145FF33B" w14:textId="77777777" w:rsidR="009601AE" w:rsidRPr="00690428" w:rsidRDefault="009601AE" w:rsidP="009E3730">
            <w:pPr>
              <w:widowControl w:val="0"/>
              <w:suppressAutoHyphens/>
              <w:jc w:val="left"/>
              <w:rPr>
                <w:sz w:val="20"/>
                <w:szCs w:val="20"/>
              </w:rPr>
            </w:pPr>
            <w:r w:rsidRPr="00690428">
              <w:rPr>
                <w:sz w:val="20"/>
                <w:szCs w:val="20"/>
              </w:rPr>
              <w:t>Existing VET curricula revised and new VET curricula developed for occupations in line with the needs of the labour market</w:t>
            </w:r>
          </w:p>
        </w:tc>
      </w:tr>
      <w:tr w:rsidR="009601AE" w:rsidRPr="00690428" w14:paraId="7C638E66" w14:textId="77777777" w:rsidTr="00C90833">
        <w:trPr>
          <w:jc w:val="center"/>
        </w:trPr>
        <w:tc>
          <w:tcPr>
            <w:tcW w:w="3067" w:type="dxa"/>
            <w:tcBorders>
              <w:top w:val="nil"/>
            </w:tcBorders>
          </w:tcPr>
          <w:p w14:paraId="473BA951" w14:textId="77777777" w:rsidR="009601AE" w:rsidRPr="00690428" w:rsidRDefault="009601AE" w:rsidP="009E3730">
            <w:pPr>
              <w:widowControl w:val="0"/>
              <w:suppressAutoHyphens/>
              <w:jc w:val="left"/>
              <w:rPr>
                <w:b/>
                <w:bCs/>
                <w:sz w:val="20"/>
                <w:szCs w:val="20"/>
              </w:rPr>
            </w:pPr>
          </w:p>
        </w:tc>
        <w:tc>
          <w:tcPr>
            <w:tcW w:w="2520" w:type="dxa"/>
          </w:tcPr>
          <w:p w14:paraId="56DB61D0" w14:textId="77777777" w:rsidR="009601AE" w:rsidRPr="00690428" w:rsidRDefault="009601AE" w:rsidP="009E3730">
            <w:pPr>
              <w:widowControl w:val="0"/>
              <w:suppressAutoHyphens/>
              <w:jc w:val="left"/>
              <w:rPr>
                <w:b/>
                <w:bCs/>
                <w:sz w:val="20"/>
                <w:szCs w:val="20"/>
              </w:rPr>
            </w:pPr>
            <w:r w:rsidRPr="00690428">
              <w:rPr>
                <w:b/>
                <w:bCs/>
                <w:sz w:val="20"/>
                <w:szCs w:val="20"/>
              </w:rPr>
              <w:t xml:space="preserve">Result 2.2 </w:t>
            </w:r>
            <w:r w:rsidRPr="00690428">
              <w:rPr>
                <w:sz w:val="20"/>
                <w:szCs w:val="20"/>
              </w:rPr>
              <w:t>Improved quality of VET qualifications</w:t>
            </w:r>
          </w:p>
        </w:tc>
        <w:tc>
          <w:tcPr>
            <w:tcW w:w="4172" w:type="dxa"/>
          </w:tcPr>
          <w:p w14:paraId="39445D27" w14:textId="77777777" w:rsidR="009601AE" w:rsidRPr="00690428" w:rsidRDefault="009601AE" w:rsidP="009E3730">
            <w:pPr>
              <w:widowControl w:val="0"/>
              <w:suppressAutoHyphens/>
              <w:jc w:val="left"/>
              <w:rPr>
                <w:sz w:val="20"/>
                <w:szCs w:val="20"/>
              </w:rPr>
            </w:pPr>
            <w:r w:rsidRPr="00690428">
              <w:rPr>
                <w:sz w:val="20"/>
                <w:szCs w:val="20"/>
              </w:rPr>
              <w:t>Improved system of VET teacher career development, and initial and continuing teacher training, measured by number of persons entering the profession, length of service, and number of teachers trained</w:t>
            </w:r>
          </w:p>
          <w:p w14:paraId="0EB66CEC" w14:textId="77777777" w:rsidR="009601AE" w:rsidRPr="00690428" w:rsidRDefault="009601AE" w:rsidP="009E3730">
            <w:pPr>
              <w:widowControl w:val="0"/>
              <w:suppressAutoHyphens/>
              <w:jc w:val="left"/>
              <w:rPr>
                <w:sz w:val="20"/>
                <w:szCs w:val="20"/>
              </w:rPr>
            </w:pPr>
          </w:p>
          <w:p w14:paraId="077D65B7" w14:textId="77777777" w:rsidR="009601AE" w:rsidRPr="00690428" w:rsidRDefault="009601AE" w:rsidP="009E3730">
            <w:pPr>
              <w:widowControl w:val="0"/>
              <w:suppressAutoHyphens/>
              <w:jc w:val="left"/>
              <w:rPr>
                <w:sz w:val="20"/>
                <w:szCs w:val="20"/>
              </w:rPr>
            </w:pPr>
            <w:r w:rsidRPr="00690428">
              <w:rPr>
                <w:sz w:val="20"/>
                <w:szCs w:val="20"/>
              </w:rPr>
              <w:t xml:space="preserve">Revised National Qualifications Framework (NQF) is established, based on the findings of the NQF evaluation and inputs of labour market information system, and proposals from sector and employers’ organisations </w:t>
            </w:r>
          </w:p>
          <w:p w14:paraId="70B3D7FF" w14:textId="77777777" w:rsidR="009601AE" w:rsidRPr="00690428" w:rsidRDefault="009601AE" w:rsidP="009E3730">
            <w:pPr>
              <w:widowControl w:val="0"/>
              <w:suppressAutoHyphens/>
              <w:jc w:val="left"/>
              <w:rPr>
                <w:sz w:val="20"/>
                <w:szCs w:val="20"/>
              </w:rPr>
            </w:pPr>
          </w:p>
          <w:p w14:paraId="3E724C85" w14:textId="77777777" w:rsidR="009601AE" w:rsidRPr="00690428" w:rsidRDefault="009601AE" w:rsidP="009E3730">
            <w:pPr>
              <w:widowControl w:val="0"/>
              <w:suppressAutoHyphens/>
              <w:jc w:val="left"/>
              <w:rPr>
                <w:sz w:val="20"/>
                <w:szCs w:val="20"/>
              </w:rPr>
            </w:pPr>
            <w:r w:rsidRPr="00690428">
              <w:rPr>
                <w:sz w:val="20"/>
                <w:szCs w:val="20"/>
              </w:rPr>
              <w:t>Non-formal learning recognition systems are developed, notably through the revision of the NQF</w:t>
            </w:r>
          </w:p>
          <w:p w14:paraId="41EE5FF6" w14:textId="77777777" w:rsidR="009601AE" w:rsidRPr="00690428" w:rsidRDefault="009601AE" w:rsidP="009E3730">
            <w:pPr>
              <w:widowControl w:val="0"/>
              <w:suppressAutoHyphens/>
              <w:jc w:val="left"/>
              <w:rPr>
                <w:sz w:val="20"/>
                <w:szCs w:val="20"/>
              </w:rPr>
            </w:pPr>
          </w:p>
          <w:p w14:paraId="70E42B71" w14:textId="77777777" w:rsidR="009601AE" w:rsidRPr="00690428" w:rsidRDefault="009601AE" w:rsidP="009E3730">
            <w:pPr>
              <w:widowControl w:val="0"/>
              <w:suppressAutoHyphens/>
              <w:jc w:val="left"/>
              <w:rPr>
                <w:sz w:val="20"/>
                <w:szCs w:val="20"/>
              </w:rPr>
            </w:pPr>
            <w:r w:rsidRPr="00690428">
              <w:rPr>
                <w:sz w:val="20"/>
                <w:szCs w:val="20"/>
              </w:rPr>
              <w:t>Continuing education, and short, flexible, tailor-made VET pathways are offered, in particular within active labour market measures and programmes.</w:t>
            </w:r>
          </w:p>
        </w:tc>
      </w:tr>
      <w:tr w:rsidR="009601AE" w:rsidRPr="00690428" w14:paraId="4413EEA3" w14:textId="77777777" w:rsidTr="00C90833">
        <w:trPr>
          <w:jc w:val="center"/>
        </w:trPr>
        <w:tc>
          <w:tcPr>
            <w:tcW w:w="9759" w:type="dxa"/>
            <w:gridSpan w:val="3"/>
          </w:tcPr>
          <w:p w14:paraId="125AE51B" w14:textId="77777777" w:rsidR="009601AE" w:rsidRPr="00690428" w:rsidRDefault="009601AE" w:rsidP="009E3730">
            <w:pPr>
              <w:widowControl w:val="0"/>
              <w:suppressAutoHyphens/>
              <w:jc w:val="center"/>
              <w:rPr>
                <w:b/>
                <w:bCs/>
                <w:sz w:val="20"/>
                <w:szCs w:val="20"/>
              </w:rPr>
            </w:pPr>
            <w:r w:rsidRPr="00690428">
              <w:rPr>
                <w:b/>
                <w:bCs/>
                <w:sz w:val="20"/>
                <w:szCs w:val="20"/>
              </w:rPr>
              <w:t>COMPONENT 3: Efficient transition from training into employment</w:t>
            </w:r>
          </w:p>
        </w:tc>
      </w:tr>
      <w:tr w:rsidR="009601AE" w:rsidRPr="00690428" w14:paraId="5D040B0F" w14:textId="77777777" w:rsidTr="00C90833">
        <w:trPr>
          <w:jc w:val="center"/>
        </w:trPr>
        <w:tc>
          <w:tcPr>
            <w:tcW w:w="3067" w:type="dxa"/>
            <w:tcBorders>
              <w:bottom w:val="nil"/>
            </w:tcBorders>
          </w:tcPr>
          <w:p w14:paraId="4BB6B509" w14:textId="77777777" w:rsidR="009601AE" w:rsidRPr="00690428" w:rsidRDefault="009601AE" w:rsidP="009E3730">
            <w:pPr>
              <w:widowControl w:val="0"/>
              <w:suppressAutoHyphens/>
              <w:jc w:val="left"/>
              <w:rPr>
                <w:b/>
                <w:bCs/>
                <w:sz w:val="20"/>
                <w:szCs w:val="20"/>
              </w:rPr>
            </w:pPr>
            <w:r w:rsidRPr="00690428">
              <w:rPr>
                <w:b/>
                <w:bCs/>
                <w:sz w:val="20"/>
                <w:szCs w:val="20"/>
              </w:rPr>
              <w:t xml:space="preserve">Specific Objective: </w:t>
            </w:r>
            <w:r w:rsidRPr="00690428">
              <w:rPr>
                <w:sz w:val="20"/>
                <w:szCs w:val="20"/>
              </w:rPr>
              <w:t>To increase the attractiveness of the VET system to potential students and employers and to stimulate the engagement of employers in the design and delivery of vocational education and training and continuing education</w:t>
            </w:r>
          </w:p>
        </w:tc>
        <w:tc>
          <w:tcPr>
            <w:tcW w:w="2520" w:type="dxa"/>
          </w:tcPr>
          <w:p w14:paraId="3B4C0199" w14:textId="77777777" w:rsidR="009601AE" w:rsidRPr="00690428" w:rsidRDefault="009601AE" w:rsidP="009E3730">
            <w:pPr>
              <w:widowControl w:val="0"/>
              <w:suppressAutoHyphens/>
              <w:jc w:val="left"/>
              <w:rPr>
                <w:b/>
                <w:bCs/>
                <w:sz w:val="20"/>
                <w:szCs w:val="20"/>
              </w:rPr>
            </w:pPr>
            <w:r w:rsidRPr="00690428">
              <w:rPr>
                <w:b/>
                <w:bCs/>
                <w:sz w:val="20"/>
                <w:szCs w:val="20"/>
              </w:rPr>
              <w:t>Result 3.1</w:t>
            </w:r>
            <w:r w:rsidRPr="00690428">
              <w:rPr>
                <w:sz w:val="20"/>
                <w:szCs w:val="20"/>
              </w:rPr>
              <w:t>. Efficient transition from training to employment</w:t>
            </w:r>
          </w:p>
        </w:tc>
        <w:tc>
          <w:tcPr>
            <w:tcW w:w="4172" w:type="dxa"/>
          </w:tcPr>
          <w:p w14:paraId="6DE61090" w14:textId="77777777" w:rsidR="009601AE" w:rsidRPr="00690428" w:rsidRDefault="009601AE" w:rsidP="009E3730">
            <w:pPr>
              <w:widowControl w:val="0"/>
              <w:suppressAutoHyphens/>
              <w:jc w:val="left"/>
              <w:rPr>
                <w:sz w:val="20"/>
                <w:szCs w:val="20"/>
              </w:rPr>
            </w:pPr>
            <w:r w:rsidRPr="00690428">
              <w:rPr>
                <w:sz w:val="20"/>
                <w:szCs w:val="20"/>
              </w:rPr>
              <w:t>A system of career guidance, based on the Labour Market Information Management System (LMIMS) and labour market forecasts and studies, is established in educational institutions and employment services, and is supported by a dedicated, user-friendly web-portal to which the public has access.</w:t>
            </w:r>
          </w:p>
          <w:p w14:paraId="2E16572E" w14:textId="77777777" w:rsidR="009601AE" w:rsidRPr="00690428" w:rsidRDefault="009601AE" w:rsidP="009E3730">
            <w:pPr>
              <w:widowControl w:val="0"/>
              <w:suppressAutoHyphens/>
              <w:jc w:val="left"/>
              <w:rPr>
                <w:sz w:val="20"/>
                <w:szCs w:val="20"/>
              </w:rPr>
            </w:pPr>
          </w:p>
          <w:p w14:paraId="2A1B44B9" w14:textId="77777777" w:rsidR="009601AE" w:rsidRPr="00690428" w:rsidRDefault="009601AE" w:rsidP="009E3730">
            <w:pPr>
              <w:widowControl w:val="0"/>
              <w:suppressAutoHyphens/>
              <w:jc w:val="left"/>
              <w:rPr>
                <w:sz w:val="20"/>
                <w:szCs w:val="20"/>
              </w:rPr>
            </w:pPr>
            <w:r w:rsidRPr="00690428">
              <w:rPr>
                <w:sz w:val="20"/>
                <w:szCs w:val="20"/>
              </w:rPr>
              <w:t>Improved traceability of VET graduates entering into employment (wage and self-employment) or in internships in companies within a maximum of 15 months after graduation</w:t>
            </w:r>
          </w:p>
          <w:p w14:paraId="73282BD8" w14:textId="77777777" w:rsidR="009601AE" w:rsidRPr="00690428" w:rsidRDefault="009601AE" w:rsidP="009E3730">
            <w:pPr>
              <w:widowControl w:val="0"/>
              <w:suppressAutoHyphens/>
              <w:jc w:val="left"/>
              <w:rPr>
                <w:sz w:val="20"/>
                <w:szCs w:val="20"/>
              </w:rPr>
            </w:pPr>
          </w:p>
          <w:p w14:paraId="6726F7F9" w14:textId="77777777" w:rsidR="009601AE" w:rsidRPr="00690428" w:rsidRDefault="009601AE" w:rsidP="009E3730">
            <w:pPr>
              <w:widowControl w:val="0"/>
              <w:suppressAutoHyphens/>
              <w:jc w:val="left"/>
              <w:rPr>
                <w:b/>
                <w:bCs/>
                <w:sz w:val="20"/>
                <w:szCs w:val="20"/>
              </w:rPr>
            </w:pPr>
            <w:r w:rsidRPr="00690428">
              <w:rPr>
                <w:sz w:val="20"/>
                <w:szCs w:val="20"/>
              </w:rPr>
              <w:t>Elements of active learning methods and work-based</w:t>
            </w:r>
            <w:r w:rsidRPr="00690428">
              <w:rPr>
                <w:sz w:val="20"/>
                <w:szCs w:val="20"/>
                <w:vertAlign w:val="superscript"/>
              </w:rPr>
              <w:footnoteReference w:id="86"/>
            </w:r>
            <w:r w:rsidRPr="00690428">
              <w:rPr>
                <w:sz w:val="20"/>
                <w:szCs w:val="20"/>
              </w:rPr>
              <w:t xml:space="preserve"> learning are embedded in the VET system</w:t>
            </w:r>
          </w:p>
        </w:tc>
      </w:tr>
      <w:tr w:rsidR="009601AE" w:rsidRPr="00690428" w14:paraId="7024CAB7" w14:textId="77777777" w:rsidTr="00C90833">
        <w:trPr>
          <w:jc w:val="center"/>
        </w:trPr>
        <w:tc>
          <w:tcPr>
            <w:tcW w:w="3067" w:type="dxa"/>
            <w:tcBorders>
              <w:top w:val="nil"/>
              <w:bottom w:val="nil"/>
            </w:tcBorders>
          </w:tcPr>
          <w:p w14:paraId="7F292519" w14:textId="77777777" w:rsidR="009601AE" w:rsidRPr="00690428" w:rsidRDefault="009601AE" w:rsidP="009E3730">
            <w:pPr>
              <w:widowControl w:val="0"/>
              <w:suppressAutoHyphens/>
              <w:jc w:val="left"/>
              <w:rPr>
                <w:b/>
                <w:bCs/>
                <w:sz w:val="20"/>
                <w:szCs w:val="20"/>
              </w:rPr>
            </w:pPr>
          </w:p>
        </w:tc>
        <w:tc>
          <w:tcPr>
            <w:tcW w:w="2520" w:type="dxa"/>
          </w:tcPr>
          <w:p w14:paraId="68812A70" w14:textId="77777777" w:rsidR="009601AE" w:rsidRPr="00690428" w:rsidRDefault="009601AE" w:rsidP="009E3730">
            <w:pPr>
              <w:widowControl w:val="0"/>
              <w:suppressAutoHyphens/>
              <w:jc w:val="left"/>
              <w:rPr>
                <w:b/>
                <w:bCs/>
                <w:sz w:val="20"/>
                <w:szCs w:val="20"/>
              </w:rPr>
            </w:pPr>
            <w:r w:rsidRPr="00690428">
              <w:rPr>
                <w:b/>
                <w:bCs/>
                <w:sz w:val="20"/>
                <w:szCs w:val="20"/>
              </w:rPr>
              <w:t xml:space="preserve">Result 3.2 </w:t>
            </w:r>
            <w:r w:rsidRPr="00690428">
              <w:rPr>
                <w:sz w:val="20"/>
                <w:szCs w:val="20"/>
              </w:rPr>
              <w:t>Increased awareness of VET amongst potential students and employers</w:t>
            </w:r>
          </w:p>
        </w:tc>
        <w:tc>
          <w:tcPr>
            <w:tcW w:w="4172" w:type="dxa"/>
          </w:tcPr>
          <w:p w14:paraId="3E45FC5B" w14:textId="77777777" w:rsidR="009601AE" w:rsidRPr="00690428" w:rsidRDefault="009601AE" w:rsidP="009E3730">
            <w:pPr>
              <w:widowControl w:val="0"/>
              <w:suppressAutoHyphens/>
              <w:jc w:val="left"/>
              <w:rPr>
                <w:sz w:val="20"/>
                <w:szCs w:val="20"/>
              </w:rPr>
            </w:pPr>
            <w:r w:rsidRPr="00690428">
              <w:rPr>
                <w:sz w:val="20"/>
                <w:szCs w:val="20"/>
              </w:rPr>
              <w:t xml:space="preserve">Enhanced awareness of VET amongst young people/adults, measured by an increase in VET student applications. </w:t>
            </w:r>
          </w:p>
          <w:p w14:paraId="1DEEF797" w14:textId="77777777" w:rsidR="009601AE" w:rsidRPr="00690428" w:rsidRDefault="009601AE" w:rsidP="009E3730">
            <w:pPr>
              <w:widowControl w:val="0"/>
              <w:suppressAutoHyphens/>
              <w:jc w:val="left"/>
              <w:rPr>
                <w:sz w:val="20"/>
                <w:szCs w:val="20"/>
              </w:rPr>
            </w:pPr>
          </w:p>
          <w:p w14:paraId="739D2F19" w14:textId="77777777" w:rsidR="009601AE" w:rsidRPr="00690428" w:rsidRDefault="009601AE" w:rsidP="009E3730">
            <w:pPr>
              <w:widowControl w:val="0"/>
              <w:suppressAutoHyphens/>
              <w:jc w:val="left"/>
              <w:rPr>
                <w:sz w:val="20"/>
                <w:szCs w:val="20"/>
              </w:rPr>
            </w:pPr>
            <w:r w:rsidRPr="00690428">
              <w:rPr>
                <w:sz w:val="20"/>
                <w:szCs w:val="20"/>
              </w:rPr>
              <w:t>Improved standing and credibility of VET qualifications amongst employers</w:t>
            </w:r>
          </w:p>
        </w:tc>
      </w:tr>
      <w:tr w:rsidR="009601AE" w:rsidRPr="00690428" w14:paraId="6D8F0CE7" w14:textId="77777777" w:rsidTr="00C90833">
        <w:trPr>
          <w:jc w:val="center"/>
        </w:trPr>
        <w:tc>
          <w:tcPr>
            <w:tcW w:w="3067" w:type="dxa"/>
            <w:tcBorders>
              <w:top w:val="nil"/>
            </w:tcBorders>
          </w:tcPr>
          <w:p w14:paraId="4E81B967" w14:textId="77777777" w:rsidR="009601AE" w:rsidRPr="00690428" w:rsidRDefault="009601AE" w:rsidP="009E3730">
            <w:pPr>
              <w:widowControl w:val="0"/>
              <w:suppressAutoHyphens/>
              <w:jc w:val="left"/>
              <w:rPr>
                <w:b/>
                <w:bCs/>
                <w:sz w:val="20"/>
                <w:szCs w:val="20"/>
              </w:rPr>
            </w:pPr>
          </w:p>
        </w:tc>
        <w:tc>
          <w:tcPr>
            <w:tcW w:w="2520" w:type="dxa"/>
          </w:tcPr>
          <w:p w14:paraId="61B2860C" w14:textId="77777777" w:rsidR="009601AE" w:rsidRPr="00690428" w:rsidRDefault="009601AE" w:rsidP="009E3730">
            <w:pPr>
              <w:widowControl w:val="0"/>
              <w:suppressAutoHyphens/>
              <w:jc w:val="left"/>
              <w:rPr>
                <w:b/>
                <w:bCs/>
                <w:sz w:val="20"/>
                <w:szCs w:val="20"/>
              </w:rPr>
            </w:pPr>
            <w:r w:rsidRPr="00690428">
              <w:rPr>
                <w:b/>
                <w:bCs/>
                <w:sz w:val="20"/>
                <w:szCs w:val="20"/>
              </w:rPr>
              <w:t xml:space="preserve">Result 3.3 </w:t>
            </w:r>
            <w:r w:rsidRPr="00690428">
              <w:rPr>
                <w:sz w:val="20"/>
                <w:szCs w:val="20"/>
              </w:rPr>
              <w:t>Enhanced social partnership</w:t>
            </w:r>
          </w:p>
        </w:tc>
        <w:tc>
          <w:tcPr>
            <w:tcW w:w="4172" w:type="dxa"/>
          </w:tcPr>
          <w:p w14:paraId="18CD6E34" w14:textId="77777777" w:rsidR="009601AE" w:rsidRPr="00690428" w:rsidRDefault="009601AE" w:rsidP="009E3730">
            <w:pPr>
              <w:widowControl w:val="0"/>
              <w:suppressAutoHyphens/>
              <w:jc w:val="left"/>
              <w:rPr>
                <w:sz w:val="20"/>
                <w:szCs w:val="20"/>
              </w:rPr>
            </w:pPr>
            <w:r w:rsidRPr="00690428">
              <w:rPr>
                <w:sz w:val="20"/>
                <w:szCs w:val="20"/>
              </w:rPr>
              <w:t xml:space="preserve">Revised, operational and effective social partnership model resulting in the establishment of sustainable, functional partnerships between training institutions and businesses </w:t>
            </w:r>
          </w:p>
          <w:p w14:paraId="1C096D53" w14:textId="77777777" w:rsidR="009601AE" w:rsidRPr="00690428" w:rsidRDefault="009601AE" w:rsidP="009E3730">
            <w:pPr>
              <w:widowControl w:val="0"/>
              <w:suppressAutoHyphens/>
              <w:jc w:val="left"/>
              <w:rPr>
                <w:sz w:val="20"/>
                <w:szCs w:val="20"/>
              </w:rPr>
            </w:pPr>
          </w:p>
          <w:p w14:paraId="30B3D7FA" w14:textId="77777777" w:rsidR="009601AE" w:rsidRPr="00690428" w:rsidRDefault="009601AE" w:rsidP="009E3730">
            <w:pPr>
              <w:widowControl w:val="0"/>
              <w:suppressAutoHyphens/>
              <w:jc w:val="left"/>
              <w:rPr>
                <w:sz w:val="20"/>
                <w:szCs w:val="20"/>
              </w:rPr>
            </w:pPr>
            <w:r w:rsidRPr="00690428">
              <w:rPr>
                <w:sz w:val="20"/>
                <w:szCs w:val="20"/>
              </w:rPr>
              <w:t>Increased participation of employers, employers’ and employees’ associations in analysing skills needs, designing VET curricula, and supporting the transition from education and training to employment</w:t>
            </w:r>
          </w:p>
          <w:p w14:paraId="7E716EF4" w14:textId="77777777" w:rsidR="009601AE" w:rsidRPr="00690428" w:rsidRDefault="009601AE" w:rsidP="009E3730">
            <w:pPr>
              <w:widowControl w:val="0"/>
              <w:suppressAutoHyphens/>
              <w:jc w:val="left"/>
              <w:rPr>
                <w:sz w:val="20"/>
                <w:szCs w:val="20"/>
              </w:rPr>
            </w:pPr>
          </w:p>
          <w:p w14:paraId="60BA7E60" w14:textId="77777777" w:rsidR="009601AE" w:rsidRPr="00690428" w:rsidRDefault="009601AE" w:rsidP="009E3730">
            <w:pPr>
              <w:widowControl w:val="0"/>
              <w:suppressAutoHyphens/>
              <w:jc w:val="left"/>
              <w:rPr>
                <w:sz w:val="20"/>
                <w:szCs w:val="20"/>
              </w:rPr>
            </w:pPr>
            <w:r w:rsidRPr="00690428">
              <w:rPr>
                <w:sz w:val="20"/>
                <w:szCs w:val="20"/>
              </w:rPr>
              <w:t xml:space="preserve">Enhanced availability of apprenticeships and on-the job training schemes for VET graduates </w:t>
            </w:r>
          </w:p>
        </w:tc>
      </w:tr>
    </w:tbl>
    <w:p w14:paraId="23EEE691" w14:textId="77777777" w:rsidR="009601AE" w:rsidRDefault="009601AE" w:rsidP="009E3730">
      <w:pPr>
        <w:widowControl w:val="0"/>
        <w:suppressAutoHyphens/>
      </w:pPr>
    </w:p>
    <w:p w14:paraId="068F14B6" w14:textId="77777777" w:rsidR="00894533" w:rsidRDefault="00894533" w:rsidP="009E3730">
      <w:pPr>
        <w:widowControl w:val="0"/>
        <w:suppressAutoHyphens/>
        <w:sectPr w:rsidR="00894533" w:rsidSect="00C90833">
          <w:pgSz w:w="11906" w:h="16838" w:code="9"/>
          <w:pgMar w:top="1440" w:right="1440" w:bottom="1440" w:left="1440" w:header="709" w:footer="709" w:gutter="0"/>
          <w:cols w:space="708"/>
          <w:docGrid w:linePitch="360"/>
        </w:sectPr>
      </w:pPr>
    </w:p>
    <w:p w14:paraId="3A1A447D" w14:textId="5C8F916D" w:rsidR="00894533" w:rsidRDefault="00894533" w:rsidP="00894533">
      <w:pPr>
        <w:pStyle w:val="Heading1"/>
      </w:pPr>
      <w:bookmarkStart w:id="89" w:name="_Toc486837777"/>
      <w:r>
        <w:t>Appendix 4: List o</w:t>
      </w:r>
      <w:r w:rsidRPr="005D431F">
        <w:t xml:space="preserve">f Evidence Documents </w:t>
      </w:r>
      <w:r>
        <w:t>in Support of Compliance</w:t>
      </w:r>
      <w:bookmarkEnd w:id="89"/>
    </w:p>
    <w:p w14:paraId="1CC235FF" w14:textId="77777777" w:rsidR="00894533" w:rsidRPr="005D431F" w:rsidRDefault="00894533" w:rsidP="00894533">
      <w:pPr>
        <w:jc w:val="center"/>
        <w:rPr>
          <w:rFonts w:cs="Arial"/>
          <w:b/>
          <w:sz w:val="24"/>
        </w:rPr>
      </w:pPr>
    </w:p>
    <w:p w14:paraId="619E2F28" w14:textId="77777777" w:rsidR="00894533" w:rsidRDefault="00894533" w:rsidP="007C295F">
      <w:pPr>
        <w:pStyle w:val="ListParagraph"/>
        <w:numPr>
          <w:ilvl w:val="0"/>
          <w:numId w:val="47"/>
        </w:numPr>
        <w:ind w:left="851" w:hanging="491"/>
        <w:rPr>
          <w:rFonts w:ascii="Arial" w:hAnsi="Arial" w:cs="Arial"/>
        </w:rPr>
      </w:pPr>
      <w:r>
        <w:rPr>
          <w:rFonts w:ascii="Arial" w:hAnsi="Arial" w:cs="Arial"/>
        </w:rPr>
        <w:t>SC 1.1.1 Implementation of the Labour Reform Strategy AP 2015-2016</w:t>
      </w:r>
    </w:p>
    <w:p w14:paraId="0C84023A" w14:textId="77777777" w:rsidR="00894533" w:rsidRDefault="00894533" w:rsidP="007C295F">
      <w:pPr>
        <w:pStyle w:val="ListParagraph"/>
        <w:numPr>
          <w:ilvl w:val="0"/>
          <w:numId w:val="47"/>
        </w:numPr>
        <w:ind w:left="851" w:hanging="491"/>
        <w:rPr>
          <w:rFonts w:ascii="Arial" w:hAnsi="Arial" w:cs="Arial"/>
        </w:rPr>
      </w:pPr>
      <w:r>
        <w:rPr>
          <w:rFonts w:ascii="Arial" w:hAnsi="Arial" w:cs="Arial"/>
        </w:rPr>
        <w:t>SC 1.1.2 LMIS Annual Report 2016</w:t>
      </w:r>
    </w:p>
    <w:p w14:paraId="3F5625BD" w14:textId="77777777" w:rsidR="00894533" w:rsidRDefault="00894533" w:rsidP="007C295F">
      <w:pPr>
        <w:pStyle w:val="ListParagraph"/>
        <w:numPr>
          <w:ilvl w:val="0"/>
          <w:numId w:val="47"/>
        </w:numPr>
        <w:ind w:left="851" w:hanging="491"/>
        <w:rPr>
          <w:rFonts w:ascii="Arial" w:hAnsi="Arial" w:cs="Arial"/>
        </w:rPr>
      </w:pPr>
      <w:r>
        <w:rPr>
          <w:rFonts w:ascii="Arial" w:hAnsi="Arial" w:cs="Arial"/>
        </w:rPr>
        <w:t>SC 1.2.1-1 ESS Report 2016</w:t>
      </w:r>
    </w:p>
    <w:p w14:paraId="66F2A61D" w14:textId="77777777" w:rsidR="00894533" w:rsidRDefault="00894533" w:rsidP="007C295F">
      <w:pPr>
        <w:pStyle w:val="ListParagraph"/>
        <w:numPr>
          <w:ilvl w:val="0"/>
          <w:numId w:val="47"/>
        </w:numPr>
        <w:ind w:left="851" w:hanging="491"/>
        <w:rPr>
          <w:rFonts w:ascii="Arial" w:hAnsi="Arial" w:cs="Arial"/>
        </w:rPr>
      </w:pPr>
      <w:r>
        <w:rPr>
          <w:rFonts w:ascii="Arial" w:hAnsi="Arial" w:cs="Arial"/>
        </w:rPr>
        <w:t>SC 1.2.1-2 Feedback Annexes</w:t>
      </w:r>
    </w:p>
    <w:p w14:paraId="05DB9A4E"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 xml:space="preserve">SC 2.1.1-1a MoM of Sectorial Council on Arts, Education, Humanities 17.03.2016 SC </w:t>
      </w:r>
    </w:p>
    <w:p w14:paraId="54BB47CD"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2.1.1-1b Music Tutor Standard</w:t>
      </w:r>
    </w:p>
    <w:p w14:paraId="2FBE566B"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2.1.1-1c Music Tutor Framework Document</w:t>
      </w:r>
    </w:p>
    <w:p w14:paraId="340623A2"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2.1.1-2a MoM of Sectorial Council on IT 28.03.2016 EN</w:t>
      </w:r>
    </w:p>
    <w:p w14:paraId="6A91D2BE"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2.1.1-2b 3D Modeling_Texturing Artist Standard</w:t>
      </w:r>
    </w:p>
    <w:p w14:paraId="774EBB81"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2.1.1-2c 3D Modeling_Texturing Artist Framework Document</w:t>
      </w:r>
    </w:p>
    <w:p w14:paraId="227C4711"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2.1.1-3a NCEQE Order No 248, 06.04.2016 on approval of Standards</w:t>
      </w:r>
    </w:p>
    <w:p w14:paraId="14BF0CC1"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2.1.1-3b NCEQE Order No 249, 07.04.2016 on approval of Framework Curricula</w:t>
      </w:r>
    </w:p>
    <w:p w14:paraId="0058F6B9"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2.1.2-1 NCEQE Order No 536, 28.07.2015 on approval of Mandatory modules</w:t>
      </w:r>
    </w:p>
    <w:p w14:paraId="6FFDC9EE"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2.1.2-2 Entrepreneurship Module for VET level 3</w:t>
      </w:r>
    </w:p>
    <w:p w14:paraId="7638AE8A"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 xml:space="preserve">SC 2.1.2-3 Entrepreneurship Module for VET level 4 </w:t>
      </w:r>
    </w:p>
    <w:p w14:paraId="778CCEC1"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 xml:space="preserve">SC 2.1.2-4 Entrepreneurship Module for VET level 3 revised draft </w:t>
      </w:r>
    </w:p>
    <w:p w14:paraId="6FE4AE3B"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 xml:space="preserve">SC 2.1.2-5 Entrepreneurship Module for VET level 4 revised draft </w:t>
      </w:r>
    </w:p>
    <w:p w14:paraId="32FD11D5"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 xml:space="preserve">SC 2.1.2-6 Entrepreneurship Module for VET level 5 draft </w:t>
      </w:r>
    </w:p>
    <w:p w14:paraId="31A1F0B8"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 xml:space="preserve">SC 2.1.3-1 NCEQE Order No 248, 06.04.2016 on approval of Standards </w:t>
      </w:r>
    </w:p>
    <w:p w14:paraId="2C9CA29B"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 xml:space="preserve">SC 2.1.3-2 NCEQE Order No 675, 21.07.2016 on approval of Standards </w:t>
      </w:r>
    </w:p>
    <w:p w14:paraId="1016CD08"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 xml:space="preserve">SC 2.1.3-3 NCEQE Order No 787, 15.08.2016 on approval of Standards </w:t>
      </w:r>
    </w:p>
    <w:p w14:paraId="55C472A3"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 xml:space="preserve">SC 2.1.3-4 NCEQE Order No 850, 25.08.2016 on approval of Standards </w:t>
      </w:r>
    </w:p>
    <w:p w14:paraId="6C6EC309"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 xml:space="preserve">SC 2.1.3-5 NCEQE Order No 1234, 21.12.2016 on approval of Standards </w:t>
      </w:r>
    </w:p>
    <w:p w14:paraId="703D18B8"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 xml:space="preserve">SC 2.1.3-6 List of Professional Standards approved in 2016 </w:t>
      </w:r>
    </w:p>
    <w:p w14:paraId="72EA2CC6"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2.1.3-7a NCEQE Order No 1095, 02.11.2016 Amendments</w:t>
      </w:r>
    </w:p>
    <w:p w14:paraId="1CC4915B"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2.1.3-7b NCEQE Order No 1095, 02.11.2016 Annex 1 Structure of Professional Standard</w:t>
      </w:r>
    </w:p>
    <w:p w14:paraId="3C09196A"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2.1.3-7c NCEQE Order No 1095, 02.11.2016 Annex 4 DACUM Scheme</w:t>
      </w:r>
    </w:p>
    <w:p w14:paraId="4420CAAE"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2.1.3-7d NCEQE Order No 1095, 02.11.2016 Annex 6 Structure of Framework documents (curricula)</w:t>
      </w:r>
    </w:p>
    <w:p w14:paraId="390C4084"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2.1.3-7e NCEQE Order No 1095, 02.11.2016 Annex Rules</w:t>
      </w:r>
    </w:p>
    <w:p w14:paraId="2613D07C"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2.1.3-8a Working Group Registration List Hydrotechnician</w:t>
      </w:r>
    </w:p>
    <w:p w14:paraId="6131F84A"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2.1.3-8b Working Group Registration List Insurance Agent</w:t>
      </w:r>
    </w:p>
    <w:p w14:paraId="550F2784"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2.1.3-8c Working Group Registration List Confectionary</w:t>
      </w:r>
    </w:p>
    <w:p w14:paraId="416BDDBA"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2.1.3-8d Working Group Registration List Telecommunications</w:t>
      </w:r>
    </w:p>
    <w:p w14:paraId="6225FC30"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2.2.1-1a TWG MoM 11.01.2016</w:t>
      </w:r>
    </w:p>
    <w:p w14:paraId="6648B28C"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2.2.1-1b TWG MoM 25.01.2016</w:t>
      </w:r>
    </w:p>
    <w:p w14:paraId="0DF6A165"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2.2.1-1c TWG MoM 12.02.2016</w:t>
      </w:r>
    </w:p>
    <w:p w14:paraId="499A4ED2"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2.2.1-1d TWG MoM 11.03.2016</w:t>
      </w:r>
    </w:p>
    <w:p w14:paraId="3FCEB1CB"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2.2.1-1e TWG MoM 15.03.2016</w:t>
      </w:r>
    </w:p>
    <w:p w14:paraId="77879AF9"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2.2.1-1f TWG MoM 15.06.2016</w:t>
      </w:r>
    </w:p>
    <w:p w14:paraId="285147AE"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2.2.1-1g TWG MoM 26.06.2016</w:t>
      </w:r>
    </w:p>
    <w:p w14:paraId="5137B68D"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2.2.1-1h TWG MoM 14.07.2016</w:t>
      </w:r>
    </w:p>
    <w:p w14:paraId="61631EFB"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2.2.1-1i TWG MoM 12.12.2016</w:t>
      </w:r>
    </w:p>
    <w:p w14:paraId="32A86245"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2.2.1-2 MoM NVETC 28.12.2016 on approval of the Policy Document on VET Teachers</w:t>
      </w:r>
    </w:p>
    <w:p w14:paraId="00CEB7CE"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2.2.1-3 Policy Document on VET Teachers</w:t>
      </w:r>
    </w:p>
    <w:p w14:paraId="156DF8EF"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2.2.1-4a draft GoG Decree on Regulation of Career Start and Professional Development of VET Teachers</w:t>
      </w:r>
    </w:p>
    <w:p w14:paraId="36F3AAEA"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2.2.1-4b draft MoES Order on Order on Continuing Professional Development for VET teachers</w:t>
      </w:r>
    </w:p>
    <w:p w14:paraId="3CF099EE"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2.2.1-4c draft MoES Order on Teacher-Coordinator</w:t>
      </w:r>
    </w:p>
    <w:p w14:paraId="754E0331"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2.2.1-4d draft MoES Order on Systems and Procedures for Maintaining Registration System of VET teachers</w:t>
      </w:r>
    </w:p>
    <w:p w14:paraId="4CDD76CC"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2.2.1-5 Teachers Training Needs Analysis MCA</w:t>
      </w:r>
    </w:p>
    <w:p w14:paraId="67233DA8"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2.2.1-6 State Program 2016 for VET teachers Development</w:t>
      </w:r>
    </w:p>
    <w:p w14:paraId="4E015628"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2.2.1-7 TPD Programme Implementation Report 2016</w:t>
      </w:r>
    </w:p>
    <w:p w14:paraId="24532D9A"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2.2.1-8 International Mobility Training Report</w:t>
      </w:r>
    </w:p>
    <w:p w14:paraId="26092418"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2.2.1-9 Post Training Evaluation</w:t>
      </w:r>
    </w:p>
    <w:p w14:paraId="47BA7A92"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2.2.1-10 State Program and Action Plan 2017 SC 2.2.3-1 MoES Order No145N, 31.10.2016</w:t>
      </w:r>
    </w:p>
    <w:p w14:paraId="57FD0250"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2.2.3-2 MoES Order No 30N, 17.02.2017</w:t>
      </w:r>
    </w:p>
    <w:p w14:paraId="204E97A6"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3.1.1-1 Situation Analysis MCA</w:t>
      </w:r>
    </w:p>
    <w:p w14:paraId="021C73F4"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3.1.1-2 Manual of Procedures for Careers Counsellors</w:t>
      </w:r>
    </w:p>
    <w:p w14:paraId="18991768"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3.1.1-3 Handbook for Career Guidance EU TA November 2015</w:t>
      </w:r>
    </w:p>
    <w:p w14:paraId="4423BA5D"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3.1.1-4 Toolkit Training of Trainers in Careers Education and Guidance MCA</w:t>
      </w:r>
    </w:p>
    <w:p w14:paraId="29B15A80"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3.1.1-5 Policy Guidelines on CG MCA</w:t>
      </w:r>
    </w:p>
    <w:p w14:paraId="13E9BCBD"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3.1.1-6a List of Participants of Training by EU TA 09-12 February 2016</w:t>
      </w:r>
    </w:p>
    <w:p w14:paraId="08FA6924"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3.1.1-6b Evaluation of Training by EU TA 09-12 February 2016</w:t>
      </w:r>
    </w:p>
    <w:p w14:paraId="09A052B0"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3.1.1-6c Feedback Data Sheet of Training by EU TA 09-12 February 2016</w:t>
      </w:r>
    </w:p>
    <w:p w14:paraId="6690DDC9"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3.1.1-6d Expert Report of Training by EU TA 09-12 February 2016</w:t>
      </w:r>
    </w:p>
    <w:p w14:paraId="5E995C88"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3.1.1-7 Agenda of Training by EU TA 08-10 June 2016</w:t>
      </w:r>
    </w:p>
    <w:p w14:paraId="3C7FB88E"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3.1.1-8a List of Participants of Training by EU TA 15 December 2016</w:t>
      </w:r>
    </w:p>
    <w:p w14:paraId="0AD7EFB0"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2.2.1-10 State Program and Action Plan 2017</w:t>
      </w:r>
    </w:p>
    <w:p w14:paraId="1912ED16"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3.1.1-8b Presentation of Training by EU TA 15 December 2016</w:t>
      </w:r>
    </w:p>
    <w:p w14:paraId="061E16AC"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3.1.1-8c Presentation of Training by EU TA 15 December 2016</w:t>
      </w:r>
    </w:p>
    <w:p w14:paraId="4B58885E"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3.1.1-8d Presentation of Training by EU TA 15 December 2016</w:t>
      </w:r>
    </w:p>
    <w:p w14:paraId="1E746DB8"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3.1.1-9a Agenda of Training by EU TA 24-27 January 2017</w:t>
      </w:r>
    </w:p>
    <w:p w14:paraId="73A1F113"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3.1.1-9b LoP of Training by EU TA 24-27 January 2017</w:t>
      </w:r>
    </w:p>
    <w:p w14:paraId="26AA5FD0"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3.1.1-10a List of Participants of Training by MCA 28-29 January 2016</w:t>
      </w:r>
    </w:p>
    <w:p w14:paraId="712A766B"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3.1.1-10b MCA Report on Training of Trainers in Careers Education and Training</w:t>
      </w:r>
    </w:p>
    <w:p w14:paraId="050DC822"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3.1.1-11 List of Participants of Training by MCA 03-04 February 2016</w:t>
      </w:r>
    </w:p>
    <w:p w14:paraId="7CC36B22"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3.1.1-12a MoES Letter to College on CG 07.12.2016</w:t>
      </w:r>
    </w:p>
    <w:p w14:paraId="6FF1ECB0"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3.1.1-12b MoES Letter to College on CG 13.12.2016</w:t>
      </w:r>
    </w:p>
    <w:p w14:paraId="2F120729"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3.1.1-12c MoES Letter to College on CG 27.12.2016</w:t>
      </w:r>
    </w:p>
    <w:p w14:paraId="61A98709"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3.1.1-13 MoES Report on POCG</w:t>
      </w:r>
    </w:p>
    <w:p w14:paraId="3FAE47A0"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3.1.2-1 Tracer Study Report Final 2016</w:t>
      </w:r>
    </w:p>
    <w:p w14:paraId="1BFE996C"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3.1.2-2 Barometer eng</w:t>
      </w:r>
    </w:p>
    <w:p w14:paraId="115084FA"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3.2.2 Employers' survey</w:t>
      </w:r>
    </w:p>
    <w:p w14:paraId="590A1BE6"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3.3.1 WBL Implementation Report</w:t>
      </w:r>
    </w:p>
    <w:p w14:paraId="73DD1F6B"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3.3.2-1 MoM of NVETC 31.03.2016</w:t>
      </w:r>
    </w:p>
    <w:p w14:paraId="050B360C"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3.3.2-2a Concept paper on WBL Model Implementation in Georgia UNDP</w:t>
      </w:r>
    </w:p>
    <w:p w14:paraId="1A252CAC"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3.3.2-2b Annex 1. International Case Study</w:t>
      </w:r>
    </w:p>
    <w:p w14:paraId="1F2F92CF"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3.3.2-2c Annex 2. Situational Analysis</w:t>
      </w:r>
    </w:p>
    <w:p w14:paraId="7F1FDE3F"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3.3.2-2d Annex 3. New WBL piloting and implementation Action Plan</w:t>
      </w:r>
    </w:p>
    <w:p w14:paraId="049E08EE"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3.3.2-3a Standard Cattle breeding</w:t>
      </w:r>
    </w:p>
    <w:p w14:paraId="3DC9579F"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3.3.2-3b Standard Horticultutrist</w:t>
      </w:r>
    </w:p>
    <w:p w14:paraId="70333B56"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3.3.2-3c Standard Winegrower-winemaker</w:t>
      </w:r>
    </w:p>
    <w:p w14:paraId="78784481"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3.3.2-4a MoES Order No 788, 15.08.2016 on Approval of Framework Curricula</w:t>
      </w:r>
    </w:p>
    <w:p w14:paraId="38E90937"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3.3.2-4b Framework Curriculum Cattle Breeding</w:t>
      </w:r>
    </w:p>
    <w:p w14:paraId="5F1362AA"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3.3.2-4c Framework Curriculum Horticulture</w:t>
      </w:r>
    </w:p>
    <w:p w14:paraId="05BCEBE1"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3.3.2-4d Framework Curriculum Winegrowing-winemaking</w:t>
      </w:r>
    </w:p>
    <w:p w14:paraId="3BB1BB3B"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3.3.2-5a Aisi_Cattle-breeding</w:t>
      </w:r>
    </w:p>
    <w:p w14:paraId="2C688B85"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3.3.2-5b Aisi_Winegrowing-Winemaking</w:t>
      </w:r>
    </w:p>
    <w:p w14:paraId="41BD32ED"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3.3.2-5c Opizari_Cattle-breeding</w:t>
      </w:r>
    </w:p>
    <w:p w14:paraId="12577E20"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3.3.2-5d Senaki_Horticulture</w:t>
      </w:r>
    </w:p>
    <w:p w14:paraId="418E44CD"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3.3.2-5e Mtskheta_Horticulture</w:t>
      </w:r>
    </w:p>
    <w:p w14:paraId="09F248A3"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3.3.2-6 Contract between college and company</w:t>
      </w:r>
    </w:p>
    <w:p w14:paraId="2ED958BA"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3.3.2-7 MoES Order No 125, 12.09.2016 on Amendment in Order N152N</w:t>
      </w:r>
    </w:p>
    <w:p w14:paraId="632DA44C"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3.3.2-8 GoG Decree No 622, 29.12.2016 on Amendment in Decree N244</w:t>
      </w:r>
    </w:p>
    <w:p w14:paraId="6904D172" w14:textId="77777777" w:rsidR="00894533" w:rsidRPr="006F0088" w:rsidRDefault="00894533" w:rsidP="007C295F">
      <w:pPr>
        <w:pStyle w:val="ListParagraph"/>
        <w:numPr>
          <w:ilvl w:val="0"/>
          <w:numId w:val="47"/>
        </w:numPr>
        <w:ind w:left="851" w:hanging="491"/>
        <w:rPr>
          <w:rFonts w:ascii="Arial" w:hAnsi="Arial" w:cs="Arial"/>
        </w:rPr>
      </w:pPr>
      <w:r w:rsidRPr="006F0088">
        <w:rPr>
          <w:rFonts w:ascii="Arial" w:hAnsi="Arial" w:cs="Arial"/>
        </w:rPr>
        <w:t>SC 3.3.2-9 Implementation Report</w:t>
      </w:r>
    </w:p>
    <w:p w14:paraId="1F100AD7" w14:textId="23802819" w:rsidR="00FC71BC" w:rsidRDefault="00FC71BC" w:rsidP="009E3730">
      <w:pPr>
        <w:widowControl w:val="0"/>
        <w:suppressAutoHyphens/>
      </w:pPr>
    </w:p>
    <w:sectPr w:rsidR="00FC71BC" w:rsidSect="00C9083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6378C" w14:textId="77777777" w:rsidR="000C05B3" w:rsidRDefault="000C05B3" w:rsidP="009601AE">
      <w:r>
        <w:separator/>
      </w:r>
    </w:p>
  </w:endnote>
  <w:endnote w:type="continuationSeparator" w:id="0">
    <w:p w14:paraId="5CAD9FA9" w14:textId="77777777" w:rsidR="000C05B3" w:rsidRDefault="000C05B3" w:rsidP="0096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93466" w14:textId="77777777" w:rsidR="005F2D2B" w:rsidRDefault="005F2D2B">
    <w:pPr>
      <w:pStyle w:val="Footer"/>
      <w:framePr w:wrap="auto" w:vAnchor="text" w:hAnchor="margin" w:xAlign="right" w:y="1"/>
    </w:pPr>
    <w:r>
      <w:fldChar w:fldCharType="begin"/>
    </w:r>
    <w:r>
      <w:instrText xml:space="preserve">PAGE  </w:instrText>
    </w:r>
    <w:r>
      <w:fldChar w:fldCharType="separate"/>
    </w:r>
    <w:r>
      <w:rPr>
        <w:noProof/>
      </w:rPr>
      <w:t>2</w:t>
    </w:r>
    <w:r>
      <w:rPr>
        <w:noProof/>
      </w:rPr>
      <w:fldChar w:fldCharType="end"/>
    </w:r>
  </w:p>
  <w:p w14:paraId="63BC1D38" w14:textId="77777777" w:rsidR="005F2D2B" w:rsidRDefault="005F2D2B">
    <w:pPr>
      <w:pStyle w:val="Footer"/>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22AF6" w14:textId="77777777" w:rsidR="005F2D2B" w:rsidRDefault="005F2D2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71F6F" w14:textId="77777777" w:rsidR="005F2D2B" w:rsidRDefault="005F2D2B">
    <w:pPr>
      <w:pStyle w:val="Footer"/>
      <w:framePr w:wrap="auto" w:vAnchor="text" w:hAnchor="margin" w:xAlign="right" w:y="1"/>
    </w:pPr>
    <w:r>
      <w:fldChar w:fldCharType="begin"/>
    </w:r>
    <w:r>
      <w:instrText xml:space="preserve">PAGE  </w:instrText>
    </w:r>
    <w:r>
      <w:fldChar w:fldCharType="separate"/>
    </w:r>
    <w:r w:rsidR="006D7B13">
      <w:rPr>
        <w:noProof/>
      </w:rPr>
      <w:t>i</w:t>
    </w:r>
    <w:r>
      <w:rPr>
        <w:noProof/>
      </w:rPr>
      <w:fldChar w:fldCharType="end"/>
    </w:r>
  </w:p>
  <w:p w14:paraId="0C9DC4A3" w14:textId="77777777" w:rsidR="005F2D2B" w:rsidRDefault="005F2D2B">
    <w:pPr>
      <w:pStyle w:val="Footer"/>
      <w:ind w:right="360"/>
      <w:jc w:val="right"/>
    </w:pPr>
    <w:r>
      <w:t>Final Review Aide Memoire: April 2017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4AFED" w14:textId="77777777" w:rsidR="005F2D2B" w:rsidRDefault="005F2D2B">
    <w:pPr>
      <w:pStyle w:val="Footer"/>
      <w:framePr w:wrap="auto" w:vAnchor="text" w:hAnchor="margin" w:xAlign="right" w:y="1"/>
    </w:pPr>
    <w:r>
      <w:fldChar w:fldCharType="begin"/>
    </w:r>
    <w:r>
      <w:instrText xml:space="preserve">PAGE  </w:instrText>
    </w:r>
    <w:r>
      <w:fldChar w:fldCharType="separate"/>
    </w:r>
    <w:r w:rsidR="006D7B13">
      <w:rPr>
        <w:noProof/>
      </w:rPr>
      <w:t>72</w:t>
    </w:r>
    <w:r>
      <w:rPr>
        <w:noProof/>
      </w:rPr>
      <w:fldChar w:fldCharType="end"/>
    </w:r>
  </w:p>
  <w:p w14:paraId="217DDB0F" w14:textId="45CF333D" w:rsidR="005F2D2B" w:rsidRDefault="005F2D2B">
    <w:pPr>
      <w:pStyle w:val="Footer"/>
      <w:ind w:right="360"/>
      <w:jc w:val="right"/>
    </w:pPr>
    <w:r>
      <w:t>Final Review Aide Memoire: April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66CDF" w14:textId="77777777" w:rsidR="000C05B3" w:rsidRDefault="000C05B3" w:rsidP="009601AE">
      <w:r>
        <w:separator/>
      </w:r>
    </w:p>
  </w:footnote>
  <w:footnote w:type="continuationSeparator" w:id="0">
    <w:p w14:paraId="0C25222C" w14:textId="77777777" w:rsidR="000C05B3" w:rsidRDefault="000C05B3" w:rsidP="009601AE">
      <w:r>
        <w:continuationSeparator/>
      </w:r>
    </w:p>
  </w:footnote>
  <w:footnote w:id="1">
    <w:p w14:paraId="74A2F527" w14:textId="77777777" w:rsidR="005F2D2B" w:rsidRDefault="005F2D2B" w:rsidP="009601AE">
      <w:pPr>
        <w:pStyle w:val="FootnoteText"/>
      </w:pPr>
      <w:r>
        <w:rPr>
          <w:rStyle w:val="FootnoteReference"/>
        </w:rPr>
        <w:footnoteRef/>
      </w:r>
      <w:r>
        <w:t xml:space="preserve"> also referred to in the FA under the previous form of </w:t>
      </w:r>
      <w:r w:rsidRPr="00183BE2">
        <w:rPr>
          <w:bCs/>
        </w:rPr>
        <w:t>Sector Policy Support Programme</w:t>
      </w:r>
      <w:r>
        <w:rPr>
          <w:bCs/>
        </w:rPr>
        <w:t>.</w:t>
      </w:r>
    </w:p>
  </w:footnote>
  <w:footnote w:id="2">
    <w:p w14:paraId="34DA1433" w14:textId="77777777" w:rsidR="005F2D2B" w:rsidRDefault="005F2D2B" w:rsidP="00374CBE">
      <w:pPr>
        <w:pStyle w:val="FootnoteText"/>
      </w:pPr>
      <w:r>
        <w:rPr>
          <w:rStyle w:val="FootnoteReference"/>
        </w:rPr>
        <w:footnoteRef/>
      </w:r>
      <w:r>
        <w:t xml:space="preserve"> also referred to in the FA under the previous form of </w:t>
      </w:r>
      <w:r w:rsidRPr="00183BE2">
        <w:rPr>
          <w:bCs/>
        </w:rPr>
        <w:t>Sector Policy Support Programme</w:t>
      </w:r>
      <w:r>
        <w:rPr>
          <w:bCs/>
        </w:rPr>
        <w:t>.</w:t>
      </w:r>
    </w:p>
  </w:footnote>
  <w:footnote w:id="3">
    <w:p w14:paraId="2D45B33B" w14:textId="77777777" w:rsidR="005F2D2B" w:rsidRDefault="005F2D2B" w:rsidP="00374CBE">
      <w:pPr>
        <w:pStyle w:val="FootnoteText"/>
      </w:pPr>
      <w:r>
        <w:rPr>
          <w:rStyle w:val="FootnoteReference"/>
        </w:rPr>
        <w:footnoteRef/>
      </w:r>
      <w:r>
        <w:t xml:space="preserve"> the Third Instalment Review in April/May 2016 considered only two Indicators unfulfilled, but only one coincided with the EU assessment.</w:t>
      </w:r>
    </w:p>
  </w:footnote>
  <w:footnote w:id="4">
    <w:p w14:paraId="4DEE965A" w14:textId="22F1FDCF" w:rsidR="005F2D2B" w:rsidRDefault="005F2D2B">
      <w:pPr>
        <w:pStyle w:val="FootnoteText"/>
      </w:pPr>
      <w:r>
        <w:rPr>
          <w:rStyle w:val="FootnoteReference"/>
        </w:rPr>
        <w:footnoteRef/>
      </w:r>
      <w:r>
        <w:t xml:space="preserve"> confusingly in a file entitled LMIS report.</w:t>
      </w:r>
    </w:p>
  </w:footnote>
  <w:footnote w:id="5">
    <w:p w14:paraId="1369F14E" w14:textId="77777777" w:rsidR="005F2D2B" w:rsidRDefault="005F2D2B" w:rsidP="009601AE">
      <w:pPr>
        <w:pStyle w:val="FootnoteText"/>
      </w:pPr>
      <w:r>
        <w:rPr>
          <w:rStyle w:val="FootnoteReference"/>
        </w:rPr>
        <w:footnoteRef/>
      </w:r>
      <w:r>
        <w:t xml:space="preserve"> also referred to in the FA under the previous form of </w:t>
      </w:r>
      <w:r w:rsidRPr="00183BE2">
        <w:rPr>
          <w:bCs/>
        </w:rPr>
        <w:t>Sector Policy Support Programme</w:t>
      </w:r>
      <w:r>
        <w:rPr>
          <w:bCs/>
        </w:rPr>
        <w:t>.</w:t>
      </w:r>
    </w:p>
  </w:footnote>
  <w:footnote w:id="6">
    <w:p w14:paraId="625AFF32" w14:textId="77777777" w:rsidR="005F2D2B" w:rsidRDefault="005F2D2B" w:rsidP="009601AE">
      <w:pPr>
        <w:pStyle w:val="FootnoteText"/>
      </w:pPr>
      <w:r>
        <w:rPr>
          <w:rStyle w:val="FootnoteReference"/>
        </w:rPr>
        <w:footnoteRef/>
      </w:r>
      <w:r>
        <w:t xml:space="preserve"> comprising Peter Tasker, Team Leader; Aram Avagyan, Vocational Education and Training Expert; and Yannis Sofianopoulos, Labour Market Expert.</w:t>
      </w:r>
    </w:p>
  </w:footnote>
  <w:footnote w:id="7">
    <w:p w14:paraId="57FD1467" w14:textId="77777777" w:rsidR="005F2D2B" w:rsidRDefault="005F2D2B" w:rsidP="009601AE">
      <w:pPr>
        <w:pStyle w:val="FootnoteText"/>
      </w:pPr>
      <w:r>
        <w:rPr>
          <w:rStyle w:val="FootnoteReference"/>
        </w:rPr>
        <w:footnoteRef/>
      </w:r>
      <w:r>
        <w:t xml:space="preserve"> also referred to in the FA under the previous form of </w:t>
      </w:r>
      <w:r w:rsidRPr="00183BE2">
        <w:rPr>
          <w:bCs/>
        </w:rPr>
        <w:t>Sector Policy Support Programme</w:t>
      </w:r>
      <w:r>
        <w:rPr>
          <w:bCs/>
        </w:rPr>
        <w:t>.</w:t>
      </w:r>
    </w:p>
  </w:footnote>
  <w:footnote w:id="8">
    <w:p w14:paraId="23049B32" w14:textId="77777777" w:rsidR="005F2D2B" w:rsidRDefault="005F2D2B" w:rsidP="009601AE">
      <w:pPr>
        <w:pStyle w:val="FootnoteText"/>
      </w:pPr>
      <w:r>
        <w:rPr>
          <w:rStyle w:val="FootnoteReference"/>
        </w:rPr>
        <w:footnoteRef/>
      </w:r>
      <w:r>
        <w:t xml:space="preserve"> on 15th December 2013 by Michael Kohler, Director Neighbourhood, Directorate-General for Development and Cooperation, EuropeAid; and on 26th December 2013 by Alexi Petriashvili, State Minister for European and Euro-Atlantic Integration, and National Coordinator of EU Assistance Programmes.</w:t>
      </w:r>
    </w:p>
  </w:footnote>
  <w:footnote w:id="9">
    <w:p w14:paraId="02C29699" w14:textId="77777777" w:rsidR="005F2D2B" w:rsidRDefault="005F2D2B" w:rsidP="009601AE">
      <w:pPr>
        <w:pStyle w:val="FootnoteText"/>
      </w:pPr>
      <w:r>
        <w:rPr>
          <w:rStyle w:val="FootnoteReference"/>
        </w:rPr>
        <w:footnoteRef/>
      </w:r>
      <w:r>
        <w:t xml:space="preserve"> FA Annex II, Technical and Administrative Provisions: Section 2.2.2. and Table 1 of Appendix 2.</w:t>
      </w:r>
    </w:p>
  </w:footnote>
  <w:footnote w:id="10">
    <w:p w14:paraId="7E181F5B" w14:textId="77777777" w:rsidR="005F2D2B" w:rsidRDefault="005F2D2B" w:rsidP="009601AE">
      <w:pPr>
        <w:pStyle w:val="FootnoteText"/>
      </w:pPr>
      <w:r>
        <w:rPr>
          <w:rStyle w:val="FootnoteReference"/>
        </w:rPr>
        <w:footnoteRef/>
      </w:r>
      <w:r>
        <w:t xml:space="preserve"> establishment of the EVET Council was the only element of this General Condition considered a precondition for release of the First Instalment. The other three General Conditions did apply, however, as eligibility criteria for budget support.</w:t>
      </w:r>
    </w:p>
  </w:footnote>
  <w:footnote w:id="11">
    <w:p w14:paraId="5598B491" w14:textId="77777777" w:rsidR="005F2D2B" w:rsidRPr="0075247D" w:rsidRDefault="005F2D2B" w:rsidP="00FD2EA3">
      <w:pPr>
        <w:rPr>
          <w:sz w:val="20"/>
          <w:szCs w:val="20"/>
        </w:rPr>
      </w:pPr>
      <w:r w:rsidRPr="0075247D">
        <w:rPr>
          <w:rStyle w:val="FootnoteReference"/>
        </w:rPr>
        <w:footnoteRef/>
      </w:r>
      <w:r w:rsidRPr="0075247D">
        <w:t xml:space="preserve"> </w:t>
      </w:r>
      <w:r w:rsidRPr="0075247D">
        <w:rPr>
          <w:sz w:val="20"/>
          <w:szCs w:val="20"/>
        </w:rPr>
        <w:t>the constituent elements of the new Strategy were endorsed in November 2014 by a working group comprising representatives of all three key stakeholders: Government, Labour, and Employers, although some key elements were recognized as missing. It was agreed to address these and incorporate them in the Strategy at a later date.</w:t>
      </w:r>
    </w:p>
  </w:footnote>
  <w:footnote w:id="12">
    <w:p w14:paraId="7F58CB27" w14:textId="22337641" w:rsidR="005F2D2B" w:rsidRDefault="005F2D2B">
      <w:pPr>
        <w:pStyle w:val="FootnoteText"/>
      </w:pPr>
      <w:r>
        <w:rPr>
          <w:rStyle w:val="FootnoteReference"/>
        </w:rPr>
        <w:footnoteRef/>
      </w:r>
      <w:r>
        <w:t xml:space="preserve"> a</w:t>
      </w:r>
      <w:r w:rsidRPr="00AC5C02">
        <w:t xml:space="preserve">lmost </w:t>
      </w:r>
      <w:r>
        <w:t xml:space="preserve">48% of </w:t>
      </w:r>
      <w:r w:rsidRPr="00AC5C02">
        <w:t xml:space="preserve">the </w:t>
      </w:r>
      <w:r>
        <w:t xml:space="preserve">initial </w:t>
      </w:r>
      <w:r w:rsidRPr="00AC5C02">
        <w:t xml:space="preserve">budget </w:t>
      </w:r>
      <w:r>
        <w:t>for 2015 wa</w:t>
      </w:r>
      <w:r w:rsidRPr="00AC5C02">
        <w:t>s allocated against Objective 5: professional train</w:t>
      </w:r>
      <w:r>
        <w:t xml:space="preserve">ing (GEL1.93mn), </w:t>
      </w:r>
      <w:r w:rsidRPr="00AC5C02">
        <w:t>26% against Objective 2: international labour safety standards (GEL1.05mn); 17% for Objective 4: labour market research (GEL0.67mn) and 8% for Objective 3: the development and operation of the employment services agency (GEL0.33mn).</w:t>
      </w:r>
      <w:r>
        <w:t xml:space="preserve"> Comparable amounts for 2016 were GEL2.04mn; GEL 1.25mn; GEL0.94mn; and GEL0.23mn respectively.</w:t>
      </w:r>
    </w:p>
  </w:footnote>
  <w:footnote w:id="13">
    <w:p w14:paraId="155FA841" w14:textId="77777777" w:rsidR="005F2D2B" w:rsidRDefault="005F2D2B" w:rsidP="000F31F3">
      <w:pPr>
        <w:pStyle w:val="FootnoteText"/>
        <w:rPr>
          <w:rFonts w:ascii="Calibri" w:hAnsi="Calibri"/>
        </w:rPr>
      </w:pPr>
      <w:r>
        <w:rPr>
          <w:rStyle w:val="FootnoteReference"/>
          <w:rFonts w:ascii="Calibri" w:hAnsi="Calibri"/>
        </w:rPr>
        <w:footnoteRef/>
      </w:r>
      <w:r>
        <w:rPr>
          <w:rFonts w:ascii="Calibri" w:hAnsi="Calibri"/>
        </w:rPr>
        <w:t xml:space="preserve"> </w:t>
      </w:r>
      <w:hyperlink r:id="rId1" w:history="1">
        <w:r w:rsidRPr="00346CC2">
          <w:rPr>
            <w:rStyle w:val="Hyperlink"/>
            <w:rFonts w:ascii="Calibri" w:hAnsi="Calibri"/>
          </w:rPr>
          <w:t>http://www.mes.gov.ge/uploads/12.%20VET%20Strategy%202013-20_EN.pdf</w:t>
        </w:r>
      </w:hyperlink>
    </w:p>
  </w:footnote>
  <w:footnote w:id="14">
    <w:p w14:paraId="0A43DED4" w14:textId="77777777" w:rsidR="005F2D2B" w:rsidRDefault="005F2D2B" w:rsidP="00917908">
      <w:pPr>
        <w:pStyle w:val="FootnoteText"/>
        <w:rPr>
          <w:rFonts w:ascii="Calibri" w:hAnsi="Calibri"/>
        </w:rPr>
      </w:pPr>
      <w:r>
        <w:rPr>
          <w:rStyle w:val="FootnoteReference"/>
          <w:rFonts w:ascii="Calibri" w:hAnsi="Calibri"/>
        </w:rPr>
        <w:footnoteRef/>
      </w:r>
      <w:r>
        <w:rPr>
          <w:rFonts w:ascii="Calibri" w:hAnsi="Calibri"/>
        </w:rPr>
        <w:t xml:space="preserve"> </w:t>
      </w:r>
      <w:hyperlink r:id="rId2" w:history="1">
        <w:r>
          <w:rPr>
            <w:rStyle w:val="Hyperlink"/>
            <w:rFonts w:ascii="Calibri" w:hAnsi="Calibri"/>
          </w:rPr>
          <w:t>http://www.mes.gov.ge/uploads/1.VET%20STrategy_AP_EN.pdf</w:t>
        </w:r>
      </w:hyperlink>
    </w:p>
  </w:footnote>
  <w:footnote w:id="15">
    <w:p w14:paraId="5EAD6FAB" w14:textId="77777777" w:rsidR="005F2D2B" w:rsidRDefault="005F2D2B" w:rsidP="00FD2EA3">
      <w:pPr>
        <w:pStyle w:val="FootnoteText"/>
      </w:pPr>
      <w:r>
        <w:rPr>
          <w:rStyle w:val="FootnoteReference"/>
        </w:rPr>
        <w:footnoteRef/>
      </w:r>
      <w:r>
        <w:t xml:space="preserve"> the 2016-2019 BDD includes reference to five budgetary programmes for VET in 2016, with budget allocations) under the following headings: i) development of VET policy and strategy (GEL1.7mn - covering coordination of national and regional programmes in VET (GEL0.7mn); development of the legal basis for VET (GEL0.2mn); development of monitoring and assessment in VET to ensure quality and accessibility (GEL0.4mn); and support to social partnership (GEL0.4mn)); ii) improvement in education quality (GEL1.5mn - about the introduction of modular programmes); VET teachers professional development and career advancement (GEL0.2mn); support to VET development (GEL23.6mn - including support through vouchers, administrative and programme costs (GEL23.4mn); and support to strategy outcome assessment (GEL140,000)); and development of VET institutions infrastructure (GEL11.0mn).</w:t>
      </w:r>
    </w:p>
  </w:footnote>
  <w:footnote w:id="16">
    <w:p w14:paraId="592D08E0" w14:textId="6C041FE7" w:rsidR="005F2D2B" w:rsidRPr="00EB7229" w:rsidRDefault="005F2D2B" w:rsidP="00EB7229">
      <w:r>
        <w:rPr>
          <w:rStyle w:val="FootnoteReference"/>
        </w:rPr>
        <w:footnoteRef/>
      </w:r>
      <w:r>
        <w:t xml:space="preserve"> </w:t>
      </w:r>
      <w:r w:rsidRPr="00EB7229">
        <w:rPr>
          <w:rStyle w:val="FootnoteTextChar1"/>
          <w:rFonts w:eastAsiaTheme="minorEastAsia"/>
          <w:i/>
        </w:rPr>
        <w:t>Strategy of Georgian Vocational Education Reform (2013-2020) - Monitoring Report 2016.</w:t>
      </w:r>
    </w:p>
  </w:footnote>
  <w:footnote w:id="17">
    <w:p w14:paraId="3CBB7BAD" w14:textId="77777777" w:rsidR="005F2D2B" w:rsidRPr="00FE3BFF" w:rsidRDefault="005F2D2B" w:rsidP="00EB2741">
      <w:pPr>
        <w:pStyle w:val="FootnoteText"/>
      </w:pPr>
      <w:r>
        <w:rPr>
          <w:rStyle w:val="FootnoteReference"/>
        </w:rPr>
        <w:footnoteRef/>
      </w:r>
      <w:r>
        <w:t xml:space="preserve"> Unlike the 2015 Monitoring report which was better structured against the AP outputs and had the following headings: 1. </w:t>
      </w:r>
      <w:r w:rsidRPr="00A42447">
        <w:t>VET Development management and coordination;</w:t>
      </w:r>
      <w:r>
        <w:t xml:space="preserve"> 2. </w:t>
      </w:r>
      <w:r w:rsidRPr="00A42447">
        <w:t>Social Partnership;</w:t>
      </w:r>
      <w:r>
        <w:t xml:space="preserve"> 3. </w:t>
      </w:r>
      <w:r w:rsidRPr="00A42447">
        <w:t>VET Accessibility;</w:t>
      </w:r>
      <w:r>
        <w:t xml:space="preserve"> 4. </w:t>
      </w:r>
      <w:r w:rsidRPr="00A42447">
        <w:t xml:space="preserve">Alignment Vocational Education Programs with Labour Market Demands; </w:t>
      </w:r>
      <w:r>
        <w:t xml:space="preserve">5. </w:t>
      </w:r>
      <w:r w:rsidRPr="00A42447">
        <w:t xml:space="preserve">Opportunities for VET teachers and Continued Professional Development; </w:t>
      </w:r>
      <w:r>
        <w:t xml:space="preserve">6. </w:t>
      </w:r>
      <w:r w:rsidRPr="00A42447">
        <w:t>Quality of VET;</w:t>
      </w:r>
      <w:r>
        <w:t xml:space="preserve"> 7. </w:t>
      </w:r>
      <w:r w:rsidRPr="00A42447">
        <w:t xml:space="preserve">Employment and Career Development Support for VET graduates; </w:t>
      </w:r>
      <w:r>
        <w:t xml:space="preserve">8. </w:t>
      </w:r>
      <w:r w:rsidRPr="00A42447">
        <w:t xml:space="preserve">Improving </w:t>
      </w:r>
      <w:r>
        <w:t>the Image and the status of VET.</w:t>
      </w:r>
    </w:p>
  </w:footnote>
  <w:footnote w:id="18">
    <w:p w14:paraId="7F846FEA" w14:textId="77777777" w:rsidR="005F2D2B" w:rsidRPr="00FC1F58" w:rsidRDefault="005F2D2B" w:rsidP="00EB2741">
      <w:pPr>
        <w:pStyle w:val="FootnoteText"/>
      </w:pPr>
      <w:r>
        <w:rPr>
          <w:rStyle w:val="FootnoteReference"/>
        </w:rPr>
        <w:footnoteRef/>
      </w:r>
      <w:r>
        <w:t xml:space="preserve"> The sum of the numbers presented by the Report is 60 and it is not clear which activity was omitted.</w:t>
      </w:r>
    </w:p>
  </w:footnote>
  <w:footnote w:id="19">
    <w:p w14:paraId="1CA94ACD" w14:textId="4E719DEF" w:rsidR="005F2D2B" w:rsidRDefault="005F2D2B">
      <w:pPr>
        <w:pStyle w:val="FootnoteText"/>
      </w:pPr>
      <w:r>
        <w:rPr>
          <w:rStyle w:val="FootnoteReference"/>
        </w:rPr>
        <w:footnoteRef/>
      </w:r>
      <w:r>
        <w:t xml:space="preserve"> a</w:t>
      </w:r>
      <w:r w:rsidRPr="0009450F">
        <w:t xml:space="preserve">s noted in the Second Instalment Review Aide </w:t>
      </w:r>
      <w:r>
        <w:t>M</w:t>
      </w:r>
      <w:r w:rsidRPr="0009450F">
        <w:t xml:space="preserve">emoire, </w:t>
      </w:r>
      <w:r w:rsidRPr="0009450F">
        <w:rPr>
          <w:i/>
        </w:rPr>
        <w:t>'the link between the action plan, its annualised activities and their costs, and the budgetary allocations is fundamental to the credibility of the strategy, and to whether satisfactory progress in implementation has been achieved</w:t>
      </w:r>
      <w:r w:rsidRPr="0009450F">
        <w:t xml:space="preserve">'. </w:t>
      </w:r>
    </w:p>
  </w:footnote>
  <w:footnote w:id="20">
    <w:p w14:paraId="784B3E15" w14:textId="2A582637" w:rsidR="005F2D2B" w:rsidRDefault="005F2D2B">
      <w:pPr>
        <w:pStyle w:val="FootnoteText"/>
      </w:pPr>
      <w:r>
        <w:rPr>
          <w:rStyle w:val="FootnoteReference"/>
        </w:rPr>
        <w:footnoteRef/>
      </w:r>
      <w:r>
        <w:t xml:space="preserve"> t</w:t>
      </w:r>
      <w:r w:rsidRPr="009E24AC">
        <w:t xml:space="preserve">he last Article IV consultation </w:t>
      </w:r>
      <w:r>
        <w:t>was concluded o</w:t>
      </w:r>
      <w:r w:rsidRPr="009E24AC">
        <w:t xml:space="preserve">n </w:t>
      </w:r>
      <w:r>
        <w:t xml:space="preserve">11th </w:t>
      </w:r>
      <w:r w:rsidRPr="009E24AC">
        <w:t>July 201</w:t>
      </w:r>
      <w:r>
        <w:t>6.</w:t>
      </w:r>
    </w:p>
  </w:footnote>
  <w:footnote w:id="21">
    <w:p w14:paraId="4BEA02D7" w14:textId="77777777" w:rsidR="005F2D2B" w:rsidRDefault="005F2D2B" w:rsidP="00FD2EA3">
      <w:pPr>
        <w:pStyle w:val="FootnoteText"/>
      </w:pPr>
      <w:r>
        <w:rPr>
          <w:rStyle w:val="FootnoteReference"/>
        </w:rPr>
        <w:footnoteRef/>
      </w:r>
      <w:r>
        <w:t xml:space="preserve"> </w:t>
      </w:r>
      <w:r w:rsidRPr="009129E9">
        <w:rPr>
          <w:i/>
        </w:rPr>
        <w:t>'</w:t>
      </w:r>
      <w:r>
        <w:rPr>
          <w:i/>
        </w:rPr>
        <w:t>s</w:t>
      </w:r>
      <w:r w:rsidRPr="009129E9">
        <w:rPr>
          <w:i/>
        </w:rPr>
        <w:t>atisfactory progress in the implementation of the partner country public finance policy and strategy</w:t>
      </w:r>
      <w:r>
        <w:t>, essentially the same as that for the AAP2013 EVET SRC.</w:t>
      </w:r>
    </w:p>
  </w:footnote>
  <w:footnote w:id="22">
    <w:p w14:paraId="6B7BDE73" w14:textId="77777777" w:rsidR="005F2D2B" w:rsidRDefault="005F2D2B" w:rsidP="00FD2EA3">
      <w:pPr>
        <w:pStyle w:val="FootnoteText"/>
      </w:pPr>
      <w:r>
        <w:rPr>
          <w:rStyle w:val="FootnoteReference"/>
        </w:rPr>
        <w:footnoteRef/>
      </w:r>
      <w:r>
        <w:t xml:space="preserve"> the main objectives of the new strategy are maintaining fiscal discipline and improving fiscal forecasting; improving public financial planning; and management, accounting and reporting of public finances.</w:t>
      </w:r>
    </w:p>
  </w:footnote>
  <w:footnote w:id="23">
    <w:p w14:paraId="0A11D4A5" w14:textId="77777777" w:rsidR="005F2D2B" w:rsidRDefault="005F2D2B" w:rsidP="00FD2EA3">
      <w:pPr>
        <w:pStyle w:val="FootnoteText"/>
      </w:pPr>
      <w:r>
        <w:rPr>
          <w:rStyle w:val="FootnoteReference"/>
        </w:rPr>
        <w:footnoteRef/>
      </w:r>
      <w:r>
        <w:t xml:space="preserve"> the goals are expressed as contributing to parliamentary control of the Government through efficient external audit; Government efforts towards improving accountability; and the transparency and accountability of political party financing; as well as development of SAO institutional capacity. The third of these concerning party financing is not fully in line with INTOSAI declarations and has prompted EU and other donors to encourage Government and SAO to concentrate to its core functions.</w:t>
      </w:r>
    </w:p>
  </w:footnote>
  <w:footnote w:id="24">
    <w:p w14:paraId="691782F3" w14:textId="77777777" w:rsidR="005F2D2B" w:rsidRDefault="005F2D2B" w:rsidP="00FD2EA3">
      <w:pPr>
        <w:pStyle w:val="FootnoteText"/>
      </w:pPr>
      <w:r>
        <w:rPr>
          <w:rStyle w:val="FootnoteReference"/>
        </w:rPr>
        <w:footnoteRef/>
      </w:r>
      <w:r>
        <w:t xml:space="preserve"> the EUD PFM Annual Monitoring Report/Eligibility Assessment for 2013 and 2014 noted </w:t>
      </w:r>
      <w:r>
        <w:rPr>
          <w:color w:val="2A2A2A"/>
        </w:rPr>
        <w:t>that the change in Government in 2012 had ‘</w:t>
      </w:r>
      <w:r>
        <w:rPr>
          <w:i/>
          <w:iCs/>
          <w:color w:val="2A2A2A"/>
        </w:rPr>
        <w:t>not altered the commitment to the PFM reform strategy or the expected pace of reform'.</w:t>
      </w:r>
    </w:p>
  </w:footnote>
  <w:footnote w:id="25">
    <w:p w14:paraId="46078948" w14:textId="77777777" w:rsidR="005F2D2B" w:rsidRDefault="005F2D2B" w:rsidP="00FD2EA3">
      <w:pPr>
        <w:pStyle w:val="FootnoteText"/>
      </w:pPr>
      <w:r>
        <w:rPr>
          <w:rStyle w:val="FootnoteReference"/>
        </w:rPr>
        <w:footnoteRef/>
      </w:r>
      <w:r>
        <w:t xml:space="preserve"> the last full Public Expenditure Financial Accountability (PEFA) assessment was completed in 2008, based on 2005-2007 data. Subsequently, periodic PEFA self assessments have been made, the latest being in May-June 2012 by the Ministry of Finance, with the participation of the State Audit Office and the Agency for Competition and Public Procurement. The World Bank office to Georgia was asked to examine the quality of the analysis and the validity of the findings/scores. A validated report was released in September, 2013.</w:t>
      </w:r>
    </w:p>
  </w:footnote>
  <w:footnote w:id="26">
    <w:p w14:paraId="2A2A634D" w14:textId="77777777" w:rsidR="005F2D2B" w:rsidRPr="006C658C" w:rsidRDefault="005F2D2B" w:rsidP="00FD2EA3">
      <w:pPr>
        <w:pStyle w:val="ListParagraph"/>
        <w:autoSpaceDE w:val="0"/>
        <w:autoSpaceDN w:val="0"/>
        <w:adjustRightInd w:val="0"/>
        <w:ind w:left="0"/>
        <w:jc w:val="both"/>
        <w:rPr>
          <w:rFonts w:ascii="Arial" w:hAnsi="Arial" w:cs="Arial"/>
          <w:sz w:val="20"/>
          <w:szCs w:val="20"/>
        </w:rPr>
      </w:pPr>
      <w:r>
        <w:rPr>
          <w:rStyle w:val="FootnoteReference"/>
        </w:rPr>
        <w:footnoteRef/>
      </w:r>
      <w:r>
        <w:t xml:space="preserve"> </w:t>
      </w:r>
      <w:r w:rsidRPr="006C658C">
        <w:rPr>
          <w:rFonts w:ascii="Arial" w:hAnsi="Arial" w:cs="Arial"/>
          <w:sz w:val="20"/>
          <w:szCs w:val="20"/>
        </w:rPr>
        <w:t>focussing on five PFM policy areas: enhancing policy-based budgeting; external scrutiny and accountability of the Government; public internal financial control; external audit; and public oversight over the executive by the Parliament.</w:t>
      </w:r>
    </w:p>
  </w:footnote>
  <w:footnote w:id="27">
    <w:p w14:paraId="37305A23" w14:textId="77777777" w:rsidR="005F2D2B" w:rsidRDefault="005F2D2B" w:rsidP="00FD2EA3">
      <w:pPr>
        <w:pStyle w:val="FootnoteText"/>
      </w:pPr>
      <w:r>
        <w:rPr>
          <w:rStyle w:val="FootnoteReference"/>
        </w:rPr>
        <w:footnoteRef/>
      </w:r>
      <w:r>
        <w:t xml:space="preserve"> and through increased salaries for public servants, reduction in the regulatory environment, and most famously radical overhaul of the police.</w:t>
      </w:r>
    </w:p>
  </w:footnote>
  <w:footnote w:id="28">
    <w:p w14:paraId="54FED066" w14:textId="6FC8B0C5" w:rsidR="005F2D2B" w:rsidRDefault="005F2D2B" w:rsidP="00FD2EA3">
      <w:pPr>
        <w:pStyle w:val="FootnoteText"/>
      </w:pPr>
      <w:r>
        <w:rPr>
          <w:rStyle w:val="FootnoteReference"/>
        </w:rPr>
        <w:footnoteRef/>
      </w:r>
      <w:r>
        <w:t xml:space="preserve"> well ahead of other countries in the region: Armenia (113th) scored 33, Azerbaijan (123rd) 30, Moldova (123rd) 30, and Ukraine (131st) 29.</w:t>
      </w:r>
    </w:p>
  </w:footnote>
  <w:footnote w:id="29">
    <w:p w14:paraId="4E8DB12B" w14:textId="77777777" w:rsidR="005F2D2B" w:rsidRDefault="005F2D2B" w:rsidP="00FD2EA3">
      <w:pPr>
        <w:pStyle w:val="FootnoteText"/>
      </w:pPr>
      <w:r>
        <w:rPr>
          <w:rStyle w:val="FootnoteReference"/>
        </w:rPr>
        <w:footnoteRef/>
      </w:r>
      <w:r>
        <w:t xml:space="preserve"> covered under the EU's AAP2014 Reform of the Justice Sector SRC.</w:t>
      </w:r>
    </w:p>
  </w:footnote>
  <w:footnote w:id="30">
    <w:p w14:paraId="2CD2AFD7" w14:textId="77777777" w:rsidR="005F2D2B" w:rsidRDefault="005F2D2B" w:rsidP="00FD2EA3">
      <w:pPr>
        <w:pStyle w:val="FootnoteText"/>
      </w:pPr>
      <w:r>
        <w:rPr>
          <w:rStyle w:val="FootnoteReference"/>
        </w:rPr>
        <w:footnoteRef/>
      </w:r>
      <w:r>
        <w:t xml:space="preserve"> a central feature of several of Government's justice sector reforms in 2015/16.</w:t>
      </w:r>
    </w:p>
  </w:footnote>
  <w:footnote w:id="31">
    <w:p w14:paraId="73AA252A" w14:textId="77777777" w:rsidR="005F2D2B" w:rsidRDefault="005F2D2B" w:rsidP="00FD2EA3">
      <w:pPr>
        <w:pStyle w:val="FootnoteText"/>
      </w:pPr>
      <w:r>
        <w:rPr>
          <w:rStyle w:val="FootnoteReference"/>
        </w:rPr>
        <w:footnoteRef/>
      </w:r>
      <w:r>
        <w:t xml:space="preserve"> supported by EU technical assistance.</w:t>
      </w:r>
    </w:p>
  </w:footnote>
  <w:footnote w:id="32">
    <w:p w14:paraId="6160BC29" w14:textId="77777777" w:rsidR="005F2D2B" w:rsidRDefault="005F2D2B" w:rsidP="00FD2EA3">
      <w:pPr>
        <w:pStyle w:val="FootnoteText"/>
      </w:pPr>
      <w:r>
        <w:rPr>
          <w:rStyle w:val="FootnoteReference"/>
        </w:rPr>
        <w:footnoteRef/>
      </w:r>
      <w:r>
        <w:t xml:space="preserve"> although they were marked as available in 2006 and 2008.</w:t>
      </w:r>
    </w:p>
  </w:footnote>
  <w:footnote w:id="33">
    <w:p w14:paraId="571F4D21" w14:textId="77777777" w:rsidR="005F2D2B" w:rsidRDefault="005F2D2B" w:rsidP="00FD2EA3">
      <w:pPr>
        <w:pStyle w:val="FootnoteText"/>
      </w:pPr>
      <w:r>
        <w:rPr>
          <w:rStyle w:val="FootnoteReference"/>
        </w:rPr>
        <w:footnoteRef/>
      </w:r>
      <w:r>
        <w:t xml:space="preserve"> on a scale of 'not produced', 'published late', 'available for internal use only', 'scant', 'minimal', 'limited', 'substantial' and 'extensive'.</w:t>
      </w:r>
    </w:p>
  </w:footnote>
  <w:footnote w:id="34">
    <w:p w14:paraId="66DEDBD4" w14:textId="77777777" w:rsidR="005F2D2B" w:rsidRDefault="005F2D2B" w:rsidP="00FD2EA3">
      <w:pPr>
        <w:pStyle w:val="FootnoteText"/>
      </w:pPr>
      <w:r>
        <w:rPr>
          <w:rStyle w:val="FootnoteReference"/>
        </w:rPr>
        <w:footnoteRef/>
      </w:r>
      <w:r>
        <w:t xml:space="preserve"> for this assessment, monthly treasury execution reports take the place of a mid-year review, the coverage of which is broader.</w:t>
      </w:r>
    </w:p>
  </w:footnote>
  <w:footnote w:id="35">
    <w:p w14:paraId="0EA442FD" w14:textId="77777777" w:rsidR="005F2D2B" w:rsidRDefault="005F2D2B" w:rsidP="00FD2EA3">
      <w:pPr>
        <w:pStyle w:val="FootnoteText"/>
      </w:pPr>
      <w:r>
        <w:rPr>
          <w:rStyle w:val="FootnoteReference"/>
        </w:rPr>
        <w:footnoteRef/>
      </w:r>
      <w:r>
        <w:t xml:space="preserve"> public oversight of the executive is one of five policy areas supported by the </w:t>
      </w:r>
      <w:r w:rsidRPr="003F3B94">
        <w:rPr>
          <w:color w:val="000000"/>
        </w:rPr>
        <w:t>EU</w:t>
      </w:r>
      <w:r>
        <w:rPr>
          <w:color w:val="000000"/>
        </w:rPr>
        <w:t>'s AAP2013</w:t>
      </w:r>
      <w:r w:rsidRPr="003F3B94">
        <w:rPr>
          <w:color w:val="000000"/>
        </w:rPr>
        <w:t xml:space="preserve"> Public Finance Policy Reform Programme </w:t>
      </w:r>
      <w:r>
        <w:rPr>
          <w:color w:val="000000"/>
        </w:rPr>
        <w:t>SRC.</w:t>
      </w:r>
    </w:p>
  </w:footnote>
  <w:footnote w:id="36">
    <w:p w14:paraId="4EAA97C3" w14:textId="77777777" w:rsidR="005F2D2B" w:rsidRDefault="005F2D2B" w:rsidP="00FD2EA3">
      <w:pPr>
        <w:pStyle w:val="FootnoteText"/>
      </w:pPr>
      <w:r>
        <w:rPr>
          <w:rStyle w:val="FootnoteReference"/>
        </w:rPr>
        <w:footnoteRef/>
      </w:r>
      <w:r>
        <w:t xml:space="preserve"> external audit is one of five policy areas supported by the </w:t>
      </w:r>
      <w:r w:rsidRPr="003F3B94">
        <w:rPr>
          <w:color w:val="000000"/>
        </w:rPr>
        <w:t>EU</w:t>
      </w:r>
      <w:r>
        <w:rPr>
          <w:color w:val="000000"/>
        </w:rPr>
        <w:t>'s AAP2013</w:t>
      </w:r>
      <w:r w:rsidRPr="003F3B94">
        <w:rPr>
          <w:color w:val="000000"/>
        </w:rPr>
        <w:t xml:space="preserve"> Public Finance Policy Reform Programme </w:t>
      </w:r>
      <w:r>
        <w:rPr>
          <w:color w:val="000000"/>
        </w:rPr>
        <w:t>SRC.</w:t>
      </w:r>
    </w:p>
  </w:footnote>
  <w:footnote w:id="37">
    <w:p w14:paraId="696C9CBB" w14:textId="77777777" w:rsidR="005F2D2B" w:rsidRDefault="005F2D2B" w:rsidP="00B520E5">
      <w:pPr>
        <w:pStyle w:val="FootnoteText"/>
      </w:pPr>
      <w:r>
        <w:rPr>
          <w:rStyle w:val="FootnoteReference"/>
        </w:rPr>
        <w:footnoteRef/>
      </w:r>
      <w:r>
        <w:t xml:space="preserve"> although under a file entitled LMIS report.</w:t>
      </w:r>
    </w:p>
  </w:footnote>
  <w:footnote w:id="38">
    <w:p w14:paraId="7E77D39A" w14:textId="77777777" w:rsidR="005F2D2B" w:rsidRDefault="005F2D2B" w:rsidP="009601AE">
      <w:pPr>
        <w:pStyle w:val="FootnoteText"/>
      </w:pPr>
      <w:r>
        <w:rPr>
          <w:rStyle w:val="FootnoteReference"/>
        </w:rPr>
        <w:footnoteRef/>
      </w:r>
      <w:r>
        <w:t xml:space="preserve"> e.g. MoA, MoSYA, MoES (including EMIS), MoESD, GEOSTAT, Enterprise Georgia, the Agriculture Development Fund, GEA, GTUC, etc..</w:t>
      </w:r>
    </w:p>
  </w:footnote>
  <w:footnote w:id="39">
    <w:p w14:paraId="02ED27F3" w14:textId="5A1B496C" w:rsidR="005F2D2B" w:rsidRDefault="005F2D2B" w:rsidP="009601AE">
      <w:r>
        <w:rPr>
          <w:rStyle w:val="FootnoteReference"/>
        </w:rPr>
        <w:footnoteRef/>
      </w:r>
      <w:r>
        <w:t xml:space="preserve"> </w:t>
      </w:r>
      <w:r w:rsidRPr="009142B6">
        <w:rPr>
          <w:rStyle w:val="FootnoteTextChar1"/>
          <w:rFonts w:eastAsiaTheme="minorEastAsia"/>
        </w:rPr>
        <w:t xml:space="preserve">although during visits by the Review to VET colleges and ESS offices, there </w:t>
      </w:r>
      <w:r>
        <w:rPr>
          <w:rStyle w:val="FootnoteTextChar1"/>
          <w:rFonts w:eastAsiaTheme="minorEastAsia"/>
        </w:rPr>
        <w:t>seemed</w:t>
      </w:r>
      <w:r w:rsidRPr="009142B6">
        <w:rPr>
          <w:rStyle w:val="FootnoteTextChar1"/>
          <w:rFonts w:eastAsiaTheme="minorEastAsia"/>
        </w:rPr>
        <w:t xml:space="preserve"> limited cooperation between the two. </w:t>
      </w:r>
    </w:p>
  </w:footnote>
  <w:footnote w:id="40">
    <w:p w14:paraId="706CFE2D" w14:textId="338F57BD" w:rsidR="005F2D2B" w:rsidRDefault="005F2D2B">
      <w:pPr>
        <w:pStyle w:val="FootnoteText"/>
      </w:pPr>
      <w:r>
        <w:rPr>
          <w:rStyle w:val="FootnoteReference"/>
        </w:rPr>
        <w:footnoteRef/>
      </w:r>
      <w:r>
        <w:t xml:space="preserve"> placements through job fairs (130) in the pilot districts are excluded as they are usually organised by employers with minimum involvement by ESS except for informing jobseekers.</w:t>
      </w:r>
    </w:p>
  </w:footnote>
  <w:footnote w:id="41">
    <w:p w14:paraId="69551763" w14:textId="48C31B86" w:rsidR="005F2D2B" w:rsidRDefault="005F2D2B" w:rsidP="004C200E">
      <w:pPr>
        <w:pStyle w:val="FootnoteText"/>
      </w:pPr>
      <w:r>
        <w:rPr>
          <w:rStyle w:val="FootnoteReference"/>
        </w:rPr>
        <w:footnoteRef/>
      </w:r>
      <w:r>
        <w:t xml:space="preserve"> MoES has previously stressed that the NQF is a living document, periodically updated by Ministerial Orders, mainly adding or removing particular standards and qualifications, several of which previously examined by the Review constituted relatively minor amendments. Nonetheless, MoES reported that a fully revised NQF was in draft and would be finalised and approved by Government Resolution (as several ministries were involved) once the new Law had been adopted, thus recognizing that a revised updated NQF constituted a comprehensive documents that has yet to be finalised (see reassessment of Third Instalment Indicator 2.2.2 under Section 6).</w:t>
      </w:r>
    </w:p>
  </w:footnote>
  <w:footnote w:id="42">
    <w:p w14:paraId="3EC6792B" w14:textId="77777777" w:rsidR="005F2D2B" w:rsidRPr="006848B4" w:rsidRDefault="005F2D2B" w:rsidP="004E4A92">
      <w:pPr>
        <w:pStyle w:val="FootnoteText"/>
      </w:pPr>
      <w:r w:rsidRPr="006848B4">
        <w:rPr>
          <w:rStyle w:val="FootnoteReference"/>
        </w:rPr>
        <w:footnoteRef/>
      </w:r>
      <w:r w:rsidRPr="006848B4">
        <w:t xml:space="preserve"> the 8 key competences for lifelong learning are: communication in the mother tongue; communication in foreign languages; mathematical competence and basic competences in science and technology; digital competence; learning to learn; social and civic competences; sense of initiative and entrepreneurship; cultural awareness and expression. </w:t>
      </w:r>
      <w:r w:rsidRPr="009908EA">
        <w:rPr>
          <w:i/>
        </w:rPr>
        <w:t>Recommendation 2006/962/EC of the European Parliament and of the Council of 18th December 2006 on key competences for lifelong learning</w:t>
      </w:r>
      <w:r w:rsidRPr="009908EA">
        <w:t xml:space="preserve"> [Official Journal L 394 of 30.12.2006].</w:t>
      </w:r>
    </w:p>
  </w:footnote>
  <w:footnote w:id="43">
    <w:p w14:paraId="4B3DCFDF" w14:textId="77777777" w:rsidR="005F2D2B" w:rsidRPr="009908EA" w:rsidRDefault="005F2D2B" w:rsidP="00865BA7">
      <w:pPr>
        <w:pStyle w:val="FootnoteText"/>
      </w:pPr>
      <w:r w:rsidRPr="009908EA">
        <w:rPr>
          <w:rStyle w:val="FootnoteReference"/>
        </w:rPr>
        <w:footnoteRef/>
      </w:r>
      <w:r w:rsidRPr="009908EA">
        <w:t xml:space="preserve"> excluding seven VET college and two VET providing university branch campuses. Some new colleges are reportedly in an early stage of establishment and have yet to become operational.</w:t>
      </w:r>
    </w:p>
  </w:footnote>
  <w:footnote w:id="44">
    <w:p w14:paraId="19789405" w14:textId="77777777" w:rsidR="005F2D2B" w:rsidRPr="009908EA" w:rsidRDefault="005F2D2B" w:rsidP="00F47B1A">
      <w:pPr>
        <w:pStyle w:val="FootnoteText"/>
      </w:pPr>
      <w:r w:rsidRPr="009908EA">
        <w:rPr>
          <w:rStyle w:val="FootnoteReference"/>
        </w:rPr>
        <w:footnoteRef/>
      </w:r>
      <w:r w:rsidRPr="009908EA">
        <w:t xml:space="preserve"> less than one from each of the 23 state VET colleges in December 2016 (excluding seven branch campuses, 30 campuses in all), and not including the 14 other state higher education institutions (with two branch campuses in addition) providing VET, nor the 90 private VET providers (69 colleges, 13 higher education institutions, and 9 schools).</w:t>
      </w:r>
    </w:p>
  </w:footnote>
  <w:footnote w:id="45">
    <w:p w14:paraId="539EDC26" w14:textId="0B5C5CF8" w:rsidR="005F2D2B" w:rsidRDefault="005F2D2B">
      <w:pPr>
        <w:pStyle w:val="FootnoteText"/>
      </w:pPr>
      <w:r>
        <w:rPr>
          <w:rStyle w:val="FootnoteReference"/>
        </w:rPr>
        <w:footnoteRef/>
      </w:r>
      <w:r>
        <w:t xml:space="preserve"> </w:t>
      </w:r>
      <w:r w:rsidRPr="00F411CF">
        <w:t>su</w:t>
      </w:r>
      <w:r w:rsidRPr="00063121">
        <w:t>bsequent to the Review's discussions with the Inclusive Education Project in late 2016, MoES in their April 2017 self-assessme</w:t>
      </w:r>
      <w:r w:rsidRPr="00757F4B">
        <w:t xml:space="preserve">nt report referred to such clubs at </w:t>
      </w:r>
      <w:r w:rsidRPr="00E81345">
        <w:t xml:space="preserve">four </w:t>
      </w:r>
      <w:r w:rsidRPr="009B3513">
        <w:t>VET colleges</w:t>
      </w:r>
      <w:r w:rsidRPr="005A39CF">
        <w:t xml:space="preserve">, </w:t>
      </w:r>
      <w:r w:rsidRPr="009C3E0C">
        <w:t>but the Review was not able to investigate the link between these two figures. especially as the Norwegian Project came to a close at the end of 2016.</w:t>
      </w:r>
      <w:r w:rsidRPr="00F411CF">
        <w:t xml:space="preserve"> The self-assessment report also referred to </w:t>
      </w:r>
      <w:r w:rsidRPr="00063121">
        <w:t xml:space="preserve">cooperation with </w:t>
      </w:r>
      <w:r w:rsidRPr="00757F4B">
        <w:t>'</w:t>
      </w:r>
      <w:r w:rsidRPr="009C3E0C">
        <w:t>Georgia’s Innovation and Technology Agency' (GITA), under the Ministry of Economy and Sustainable Development (MoESD). The SME Development Strategy 2015-2016 makes specific reference to spreading entrepreneurship understanding through, inter alia, the public and private VET system.</w:t>
      </w:r>
      <w:r>
        <w:rPr>
          <w:rFonts w:asciiTheme="majorHAnsi" w:hAnsiTheme="majorHAnsi"/>
          <w:bCs/>
        </w:rPr>
        <w:t xml:space="preserve"> </w:t>
      </w:r>
    </w:p>
  </w:footnote>
  <w:footnote w:id="46">
    <w:p w14:paraId="43EFDD80" w14:textId="77777777" w:rsidR="005F2D2B" w:rsidRPr="006848B4" w:rsidRDefault="005F2D2B" w:rsidP="00BB094C">
      <w:pPr>
        <w:pStyle w:val="FootnoteText"/>
      </w:pPr>
      <w:r w:rsidRPr="009908EA">
        <w:rPr>
          <w:rStyle w:val="FootnoteReference"/>
        </w:rPr>
        <w:footnoteRef/>
      </w:r>
      <w:r w:rsidRPr="009908EA">
        <w:t xml:space="preserve"> there are 11 Sectoral Committees with membership, based on the principles of social partnership</w:t>
      </w:r>
      <w:r w:rsidRPr="006848B4">
        <w:t xml:space="preserve">, including employers, trade union representatives, MoES and the Ministry of Economy. </w:t>
      </w:r>
    </w:p>
  </w:footnote>
  <w:footnote w:id="47">
    <w:p w14:paraId="01267028" w14:textId="1A32ACAA" w:rsidR="005F2D2B" w:rsidRDefault="005F2D2B" w:rsidP="003B3F4D">
      <w:pPr>
        <w:pStyle w:val="FootnoteText"/>
      </w:pPr>
      <w:r>
        <w:rPr>
          <w:rStyle w:val="FootnoteReference"/>
        </w:rPr>
        <w:footnoteRef/>
      </w:r>
      <w:r>
        <w:t xml:space="preserve"> </w:t>
      </w:r>
      <w:r>
        <w:rPr>
          <w:rFonts w:cs="Times New Roman"/>
        </w:rPr>
        <w:t>f</w:t>
      </w:r>
      <w:r w:rsidRPr="00BC0359">
        <w:rPr>
          <w:rFonts w:cs="Times New Roman"/>
        </w:rPr>
        <w:t xml:space="preserve">or example, the SC for Arts, Education, </w:t>
      </w:r>
      <w:r>
        <w:rPr>
          <w:rFonts w:cs="Times New Roman"/>
        </w:rPr>
        <w:t xml:space="preserve">and </w:t>
      </w:r>
      <w:r w:rsidRPr="00BC0359">
        <w:rPr>
          <w:rFonts w:cs="Times New Roman"/>
        </w:rPr>
        <w:t>Humanities approved OS</w:t>
      </w:r>
      <w:r>
        <w:rPr>
          <w:rFonts w:cs="Times New Roman"/>
        </w:rPr>
        <w:t xml:space="preserve"> for</w:t>
      </w:r>
      <w:r w:rsidRPr="00BC0359">
        <w:rPr>
          <w:rFonts w:cs="Times New Roman"/>
        </w:rPr>
        <w:t xml:space="preserve"> Music Tutor, Pianist-Accompanist, Jeweller, Enameller, Embroiderer and Photographer</w:t>
      </w:r>
      <w:r>
        <w:rPr>
          <w:rFonts w:cs="Times New Roman"/>
        </w:rPr>
        <w:t xml:space="preserve"> </w:t>
      </w:r>
      <w:r w:rsidRPr="00BC0359">
        <w:rPr>
          <w:rFonts w:cs="Times New Roman"/>
        </w:rPr>
        <w:t>at its meeting on 17</w:t>
      </w:r>
      <w:r>
        <w:rPr>
          <w:rFonts w:cs="Times New Roman"/>
        </w:rPr>
        <w:t xml:space="preserve">th March </w:t>
      </w:r>
      <w:r w:rsidRPr="00BC0359">
        <w:rPr>
          <w:rFonts w:cs="Times New Roman"/>
        </w:rPr>
        <w:t>2016</w:t>
      </w:r>
      <w:r>
        <w:rPr>
          <w:rFonts w:cs="Times New Roman"/>
        </w:rPr>
        <w:t>;</w:t>
      </w:r>
      <w:r w:rsidRPr="00BC0359">
        <w:rPr>
          <w:rFonts w:cs="Times New Roman"/>
        </w:rPr>
        <w:t xml:space="preserve"> and the SC for IT approved OS</w:t>
      </w:r>
      <w:r>
        <w:rPr>
          <w:rFonts w:cs="Times New Roman"/>
        </w:rPr>
        <w:t xml:space="preserve"> for</w:t>
      </w:r>
      <w:r w:rsidRPr="00BC0359">
        <w:rPr>
          <w:rFonts w:cs="Times New Roman"/>
        </w:rPr>
        <w:t xml:space="preserve"> 3D modelling and texturing art</w:t>
      </w:r>
      <w:r>
        <w:rPr>
          <w:rFonts w:cs="Times New Roman"/>
        </w:rPr>
        <w:t>ist and 3D lighting and visualis</w:t>
      </w:r>
      <w:r w:rsidRPr="00BC0359">
        <w:rPr>
          <w:rFonts w:cs="Times New Roman"/>
        </w:rPr>
        <w:t>ation specialist</w:t>
      </w:r>
      <w:r>
        <w:rPr>
          <w:rFonts w:cs="Times New Roman"/>
        </w:rPr>
        <w:t xml:space="preserve"> at its meeting 28th March 2016</w:t>
      </w:r>
      <w:r w:rsidRPr="00BC0359">
        <w:rPr>
          <w:rFonts w:cs="Times New Roman"/>
        </w:rPr>
        <w:t>.</w:t>
      </w:r>
    </w:p>
  </w:footnote>
  <w:footnote w:id="48">
    <w:p w14:paraId="4CA3B3A7" w14:textId="06BED1FC" w:rsidR="005F2D2B" w:rsidRDefault="005F2D2B">
      <w:pPr>
        <w:pStyle w:val="FootnoteText"/>
      </w:pPr>
      <w:r>
        <w:rPr>
          <w:rStyle w:val="FootnoteReference"/>
        </w:rPr>
        <w:footnoteRef/>
      </w:r>
      <w:r>
        <w:t xml:space="preserve"> </w:t>
      </w:r>
      <w:r w:rsidRPr="0024408A">
        <w:rPr>
          <w:rFonts w:cs="Times New Roman"/>
        </w:rPr>
        <w:t>Georgian United Amelioration Systems L</w:t>
      </w:r>
      <w:r>
        <w:rPr>
          <w:rFonts w:cs="Times New Roman"/>
        </w:rPr>
        <w:t xml:space="preserve">td, </w:t>
      </w:r>
      <w:r w:rsidRPr="0024408A">
        <w:rPr>
          <w:rFonts w:cs="Times New Roman"/>
        </w:rPr>
        <w:t xml:space="preserve">Georgian </w:t>
      </w:r>
      <w:r>
        <w:rPr>
          <w:rFonts w:cs="Times New Roman"/>
        </w:rPr>
        <w:t>H</w:t>
      </w:r>
      <w:r w:rsidRPr="0024408A">
        <w:rPr>
          <w:rFonts w:cs="Times New Roman"/>
        </w:rPr>
        <w:t>ydropower L</w:t>
      </w:r>
      <w:r>
        <w:rPr>
          <w:rFonts w:cs="Times New Roman"/>
        </w:rPr>
        <w:t xml:space="preserve">td; </w:t>
      </w:r>
      <w:r w:rsidRPr="0024408A">
        <w:rPr>
          <w:rFonts w:cs="Times New Roman"/>
        </w:rPr>
        <w:t>"Spetshydromsheni" JSC</w:t>
      </w:r>
      <w:r>
        <w:rPr>
          <w:rFonts w:cs="Times New Roman"/>
        </w:rPr>
        <w:t xml:space="preserve">, </w:t>
      </w:r>
      <w:r w:rsidRPr="0024408A">
        <w:rPr>
          <w:rFonts w:cs="Times New Roman"/>
        </w:rPr>
        <w:t>Geoenergy L</w:t>
      </w:r>
      <w:r>
        <w:rPr>
          <w:rFonts w:cs="Times New Roman"/>
        </w:rPr>
        <w:t xml:space="preserve">td, </w:t>
      </w:r>
      <w:r w:rsidRPr="0024408A">
        <w:rPr>
          <w:rFonts w:cs="Times New Roman"/>
        </w:rPr>
        <w:t>Ecoproject L</w:t>
      </w:r>
      <w:r>
        <w:rPr>
          <w:rFonts w:cs="Times New Roman"/>
        </w:rPr>
        <w:t>td,</w:t>
      </w:r>
      <w:r w:rsidRPr="0024408A">
        <w:rPr>
          <w:rFonts w:cs="Times New Roman"/>
        </w:rPr>
        <w:t xml:space="preserve"> Geographic L</w:t>
      </w:r>
      <w:r>
        <w:rPr>
          <w:rFonts w:cs="Times New Roman"/>
        </w:rPr>
        <w:t>td,</w:t>
      </w:r>
      <w:r w:rsidRPr="0024408A">
        <w:rPr>
          <w:rFonts w:cs="Times New Roman"/>
        </w:rPr>
        <w:t xml:space="preserve"> Green Wall Development L</w:t>
      </w:r>
      <w:r>
        <w:rPr>
          <w:rFonts w:cs="Times New Roman"/>
        </w:rPr>
        <w:t xml:space="preserve">td, </w:t>
      </w:r>
      <w:r w:rsidRPr="0024408A">
        <w:rPr>
          <w:rFonts w:cs="Times New Roman"/>
        </w:rPr>
        <w:t>Georgian Technical University</w:t>
      </w:r>
      <w:r>
        <w:rPr>
          <w:rFonts w:cs="Times New Roman"/>
        </w:rPr>
        <w:t xml:space="preserve"> LEPL., and F</w:t>
      </w:r>
      <w:r w:rsidRPr="0024408A">
        <w:rPr>
          <w:rFonts w:cs="Times New Roman"/>
        </w:rPr>
        <w:t>erro L</w:t>
      </w:r>
      <w:r>
        <w:rPr>
          <w:rFonts w:cs="Times New Roman"/>
        </w:rPr>
        <w:t>td.</w:t>
      </w:r>
    </w:p>
  </w:footnote>
  <w:footnote w:id="49">
    <w:p w14:paraId="45020599" w14:textId="287AD28A" w:rsidR="005F2D2B" w:rsidRDefault="005F2D2B">
      <w:pPr>
        <w:pStyle w:val="FootnoteText"/>
      </w:pPr>
      <w:r>
        <w:rPr>
          <w:rStyle w:val="FootnoteReference"/>
        </w:rPr>
        <w:footnoteRef/>
      </w:r>
      <w:r>
        <w:t xml:space="preserve"> </w:t>
      </w:r>
      <w:r w:rsidRPr="00FC577C">
        <w:rPr>
          <w:rFonts w:cs="Times New Roman"/>
        </w:rPr>
        <w:t>Georgian Insurance Association</w:t>
      </w:r>
      <w:r>
        <w:rPr>
          <w:rFonts w:cs="Times New Roman"/>
        </w:rPr>
        <w:t xml:space="preserve">, </w:t>
      </w:r>
      <w:r w:rsidRPr="00FC577C">
        <w:rPr>
          <w:rFonts w:cs="Times New Roman"/>
        </w:rPr>
        <w:t>Insurance Company IC Group</w:t>
      </w:r>
      <w:r>
        <w:rPr>
          <w:rFonts w:cs="Times New Roman"/>
        </w:rPr>
        <w:t xml:space="preserve"> </w:t>
      </w:r>
      <w:r w:rsidRPr="0024408A">
        <w:rPr>
          <w:rFonts w:cs="Times New Roman"/>
        </w:rPr>
        <w:t>L</w:t>
      </w:r>
      <w:r>
        <w:rPr>
          <w:rFonts w:cs="Times New Roman"/>
        </w:rPr>
        <w:t xml:space="preserve">td, </w:t>
      </w:r>
      <w:r w:rsidRPr="00FC577C">
        <w:rPr>
          <w:rFonts w:cs="Times New Roman"/>
        </w:rPr>
        <w:t>Vienna Insurance Group IRAO</w:t>
      </w:r>
      <w:r>
        <w:rPr>
          <w:rFonts w:cs="Times New Roman"/>
        </w:rPr>
        <w:t xml:space="preserve"> </w:t>
      </w:r>
      <w:r w:rsidRPr="0024408A">
        <w:rPr>
          <w:rFonts w:cs="Times New Roman"/>
        </w:rPr>
        <w:t>L</w:t>
      </w:r>
      <w:r>
        <w:rPr>
          <w:rFonts w:cs="Times New Roman"/>
        </w:rPr>
        <w:t xml:space="preserve">td, </w:t>
      </w:r>
      <w:r w:rsidRPr="00FC577C">
        <w:rPr>
          <w:rFonts w:cs="Times New Roman"/>
        </w:rPr>
        <w:t>Insurance Kopenbur JSC</w:t>
      </w:r>
      <w:r>
        <w:rPr>
          <w:rFonts w:cs="Times New Roman"/>
        </w:rPr>
        <w:t xml:space="preserve">., </w:t>
      </w:r>
      <w:r w:rsidRPr="00FC577C">
        <w:rPr>
          <w:rFonts w:cs="Times New Roman"/>
        </w:rPr>
        <w:t>Insurance Company ARDI Group</w:t>
      </w:r>
      <w:r>
        <w:rPr>
          <w:rFonts w:cs="Times New Roman"/>
        </w:rPr>
        <w:t xml:space="preserve"> </w:t>
      </w:r>
      <w:r w:rsidRPr="0024408A">
        <w:rPr>
          <w:rFonts w:cs="Times New Roman"/>
        </w:rPr>
        <w:t>L</w:t>
      </w:r>
      <w:r>
        <w:rPr>
          <w:rFonts w:cs="Times New Roman"/>
        </w:rPr>
        <w:t xml:space="preserve">td, </w:t>
      </w:r>
      <w:r w:rsidRPr="00FC577C">
        <w:rPr>
          <w:rFonts w:cs="Times New Roman"/>
        </w:rPr>
        <w:t>Vienna Insurance Group GPI JSC</w:t>
      </w:r>
      <w:r>
        <w:rPr>
          <w:rFonts w:cs="Times New Roman"/>
        </w:rPr>
        <w:t xml:space="preserve">., </w:t>
      </w:r>
      <w:r w:rsidRPr="00FC577C">
        <w:rPr>
          <w:rFonts w:cs="Times New Roman"/>
        </w:rPr>
        <w:t xml:space="preserve">CARTU Insurance </w:t>
      </w:r>
      <w:r w:rsidRPr="0024408A">
        <w:rPr>
          <w:rFonts w:cs="Times New Roman"/>
        </w:rPr>
        <w:t>L</w:t>
      </w:r>
      <w:r>
        <w:rPr>
          <w:rFonts w:cs="Times New Roman"/>
        </w:rPr>
        <w:t xml:space="preserve">td, </w:t>
      </w:r>
      <w:r w:rsidRPr="00FC577C">
        <w:rPr>
          <w:rFonts w:cs="Times New Roman"/>
        </w:rPr>
        <w:t xml:space="preserve">Insurance Company ALPHA </w:t>
      </w:r>
      <w:r w:rsidRPr="0024408A">
        <w:rPr>
          <w:rFonts w:cs="Times New Roman"/>
        </w:rPr>
        <w:t>L</w:t>
      </w:r>
      <w:r>
        <w:rPr>
          <w:rFonts w:cs="Times New Roman"/>
        </w:rPr>
        <w:t xml:space="preserve">td, </w:t>
      </w:r>
      <w:r w:rsidRPr="00FC577C">
        <w:rPr>
          <w:rFonts w:cs="Times New Roman"/>
        </w:rPr>
        <w:t>Health Insurance IMEDI L JSC</w:t>
      </w:r>
      <w:r>
        <w:rPr>
          <w:rFonts w:cs="Times New Roman"/>
        </w:rPr>
        <w:t xml:space="preserve">., </w:t>
      </w:r>
      <w:r w:rsidRPr="00FC577C">
        <w:rPr>
          <w:rFonts w:cs="Times New Roman"/>
        </w:rPr>
        <w:t>Standard Insurance Georgia JSC</w:t>
      </w:r>
      <w:r>
        <w:rPr>
          <w:rFonts w:cs="Times New Roman"/>
        </w:rPr>
        <w:t xml:space="preserve">., and </w:t>
      </w:r>
      <w:r w:rsidRPr="00FC577C">
        <w:rPr>
          <w:rFonts w:cs="Times New Roman"/>
        </w:rPr>
        <w:t>Insurance Company ALDAGI JSC</w:t>
      </w:r>
      <w:r>
        <w:rPr>
          <w:rFonts w:cs="Times New Roman"/>
        </w:rPr>
        <w:t>.</w:t>
      </w:r>
    </w:p>
  </w:footnote>
  <w:footnote w:id="50">
    <w:p w14:paraId="511CCC58" w14:textId="77777777" w:rsidR="005F2D2B" w:rsidRPr="009908EA" w:rsidRDefault="005F2D2B" w:rsidP="00D30D39">
      <w:pPr>
        <w:pStyle w:val="FootnoteText"/>
      </w:pPr>
      <w:r w:rsidRPr="009908EA">
        <w:rPr>
          <w:rStyle w:val="FootnoteReference"/>
        </w:rPr>
        <w:footnoteRef/>
      </w:r>
      <w:r w:rsidRPr="009908EA">
        <w:t xml:space="preserve"> consultation with individuals involved with the initial formulation of the ENP AAP2013 EVET SRC indicated that the original intention was for 'initial training' to refer to 'pre-service' training at universities and other higher education teacher training establishments. However, this was not the interpretation adopted by either Government or the support TA projects in the context of fulfilment of this Indicator.</w:t>
      </w:r>
    </w:p>
  </w:footnote>
  <w:footnote w:id="51">
    <w:p w14:paraId="2BA213BF" w14:textId="2F24D3DC" w:rsidR="005F2D2B" w:rsidRDefault="005F2D2B">
      <w:pPr>
        <w:pStyle w:val="FootnoteText"/>
      </w:pPr>
      <w:r>
        <w:rPr>
          <w:rStyle w:val="FootnoteReference"/>
        </w:rPr>
        <w:footnoteRef/>
      </w:r>
      <w:r>
        <w:t xml:space="preserve"> the MoES self-assessment report includes only the induction course as initial training. However, the pedagogic course is also a one-off course to counteract the lack of pre-service university qualifications and, therefore, an initial requirement to ensure teachers have a minimum level of pedagogic understanding, and is designed to be taken soon after appointment (though also initially for all teachers as few have basic pedagogic knowledge).</w:t>
      </w:r>
    </w:p>
  </w:footnote>
  <w:footnote w:id="52">
    <w:p w14:paraId="7F8EADB2" w14:textId="3DA10BF1" w:rsidR="005F2D2B" w:rsidRDefault="005F2D2B">
      <w:pPr>
        <w:pStyle w:val="FootnoteText"/>
      </w:pPr>
      <w:r>
        <w:rPr>
          <w:rStyle w:val="FootnoteReference"/>
        </w:rPr>
        <w:footnoteRef/>
      </w:r>
      <w:r>
        <w:t xml:space="preserve"> although MoES VET Department, TPDC and others quoted the figure of 93 novice teachers several times during both the Interim Review in November/December 2016 and the Final Review in April 2017, the MoES self-assessment report states that data from EMIS indicated there were 86 new teachers registered in 2016 up to the start of the new school year in September. It has not been possible to reconcile these different figures, but the conflict does not seriously affect the conclusions on fulfilment. See the analysis next paragraph of the main text for more detail based on EMIS information. </w:t>
      </w:r>
    </w:p>
  </w:footnote>
  <w:footnote w:id="53">
    <w:p w14:paraId="00DBE071" w14:textId="524EB307" w:rsidR="005F2D2B" w:rsidRDefault="005F2D2B">
      <w:pPr>
        <w:pStyle w:val="FootnoteText"/>
      </w:pPr>
      <w:r>
        <w:rPr>
          <w:rStyle w:val="FootnoteReference"/>
        </w:rPr>
        <w:footnoteRef/>
      </w:r>
      <w:r>
        <w:t xml:space="preserve"> although not born out by data provided by EMIS - see subsequent footnotes.</w:t>
      </w:r>
    </w:p>
  </w:footnote>
  <w:footnote w:id="54">
    <w:p w14:paraId="31951124" w14:textId="2D908823" w:rsidR="005F2D2B" w:rsidRDefault="005F2D2B">
      <w:pPr>
        <w:pStyle w:val="FootnoteText"/>
      </w:pPr>
      <w:r>
        <w:rPr>
          <w:rStyle w:val="FootnoteReference"/>
        </w:rPr>
        <w:footnoteRef/>
      </w:r>
      <w:r>
        <w:t xml:space="preserve"> the numbers are those for January 1st as provided by EMIS, but they vary over time. For instance, in mid-November MoES reported that there were 1873 VET teachers in state VET providers (954 in VET colleges and 919 in higher education institutions) and 1041 in private VET providers (886 in VET colleges, 138 in higher education institutions, and 17 in secondary schools). </w:t>
      </w:r>
    </w:p>
  </w:footnote>
  <w:footnote w:id="55">
    <w:p w14:paraId="7AC4CBF2" w14:textId="77777777" w:rsidR="005F2D2B" w:rsidRPr="009908EA" w:rsidRDefault="005F2D2B" w:rsidP="009274BB">
      <w:pPr>
        <w:pStyle w:val="FootnoteText"/>
      </w:pPr>
      <w:r w:rsidRPr="009908EA">
        <w:rPr>
          <w:rStyle w:val="FootnoteReference"/>
        </w:rPr>
        <w:footnoteRef/>
      </w:r>
      <w:r w:rsidRPr="009908EA">
        <w:t xml:space="preserve"> although some current 'novice' teachers will pass out of this classification as they complete their first two years of service.</w:t>
      </w:r>
    </w:p>
  </w:footnote>
  <w:footnote w:id="56">
    <w:p w14:paraId="169CF808" w14:textId="32940ADB" w:rsidR="005F2D2B" w:rsidRDefault="005F2D2B">
      <w:pPr>
        <w:pStyle w:val="FootnoteText"/>
      </w:pPr>
      <w:r>
        <w:rPr>
          <w:rStyle w:val="FootnoteReference"/>
        </w:rPr>
        <w:footnoteRef/>
      </w:r>
      <w:r>
        <w:t xml:space="preserve"> data on all teachers and staff provided at the same time covered 37 institutions (22 colleges and 15 higher education institutions).</w:t>
      </w:r>
    </w:p>
  </w:footnote>
  <w:footnote w:id="57">
    <w:p w14:paraId="63793484" w14:textId="0309426D" w:rsidR="005F2D2B" w:rsidRDefault="005F2D2B">
      <w:pPr>
        <w:pStyle w:val="FootnoteText"/>
      </w:pPr>
      <w:r>
        <w:rPr>
          <w:rStyle w:val="FootnoteReference"/>
        </w:rPr>
        <w:footnoteRef/>
      </w:r>
      <w:r>
        <w:t xml:space="preserve"> </w:t>
      </w:r>
      <w:r>
        <w:rPr>
          <w:rFonts w:cs="Times New Roman"/>
        </w:rPr>
        <w:t>the TPDC programme for 2017 envisaged delivery of the induction course over each month from February to September 2017. Although the programme does not provide numbers, this does suggest that in fact the course would not be received by teachers early in their appointment. The absence of plans to deliver such training in the last quarter, following the anticipated recruitment of teachers in the autumn, also suggests the course would not be delivered to new teachers within the first weeks of appointment.</w:t>
      </w:r>
    </w:p>
  </w:footnote>
  <w:footnote w:id="58">
    <w:p w14:paraId="6487F779" w14:textId="69C66BD9" w:rsidR="005F2D2B" w:rsidRDefault="005F2D2B" w:rsidP="00F62306">
      <w:pPr>
        <w:pStyle w:val="FootnoteText"/>
      </w:pPr>
      <w:r>
        <w:rPr>
          <w:rStyle w:val="FootnoteReference"/>
        </w:rPr>
        <w:footnoteRef/>
      </w:r>
      <w:r>
        <w:t xml:space="preserve"> TPDC's role with respect to higher education VET teachers is unclear.</w:t>
      </w:r>
    </w:p>
  </w:footnote>
  <w:footnote w:id="59">
    <w:p w14:paraId="1D57CC94" w14:textId="3EAA8FFE" w:rsidR="005F2D2B" w:rsidRDefault="005F2D2B" w:rsidP="00104E86">
      <w:r>
        <w:rPr>
          <w:rStyle w:val="FootnoteReference"/>
        </w:rPr>
        <w:footnoteRef/>
      </w:r>
      <w:r>
        <w:t xml:space="preserve"> </w:t>
      </w:r>
      <w:r>
        <w:rPr>
          <w:rStyle w:val="FootnoteTextChar1"/>
          <w:rFonts w:eastAsiaTheme="minorEastAsia"/>
        </w:rPr>
        <w:t>a</w:t>
      </w:r>
      <w:r w:rsidRPr="00F76C71">
        <w:rPr>
          <w:rStyle w:val="FootnoteTextChar1"/>
          <w:rFonts w:eastAsiaTheme="minorEastAsia"/>
        </w:rPr>
        <w:t xml:space="preserve"> targeted TNA on competence based assessment (CBA) was carried out in March 2016 by </w:t>
      </w:r>
      <w:r>
        <w:rPr>
          <w:rStyle w:val="FootnoteTextChar1"/>
          <w:rFonts w:eastAsiaTheme="minorEastAsia"/>
        </w:rPr>
        <w:t>MCA-G</w:t>
      </w:r>
      <w:r w:rsidRPr="00F76C71">
        <w:rPr>
          <w:rStyle w:val="FootnoteTextChar1"/>
          <w:rFonts w:eastAsiaTheme="minorEastAsia"/>
        </w:rPr>
        <w:t xml:space="preserve"> with 230 VET teachers from VET colleges and HE institutions, targeted on the basis of responses to a broader TNA questionnaire conducted by TPDC with </w:t>
      </w:r>
      <w:r>
        <w:rPr>
          <w:rStyle w:val="FootnoteTextChar1"/>
          <w:rFonts w:eastAsiaTheme="minorEastAsia"/>
        </w:rPr>
        <w:t>MCA-G</w:t>
      </w:r>
      <w:r w:rsidRPr="00F76C71">
        <w:rPr>
          <w:rStyle w:val="FootnoteTextChar1"/>
          <w:rFonts w:eastAsiaTheme="minorEastAsia"/>
        </w:rPr>
        <w:t xml:space="preserve"> support with 830 teachers in January/February 2016 (see Indicator 2.2.2). The TN</w:t>
      </w:r>
      <w:r>
        <w:rPr>
          <w:rStyle w:val="FootnoteTextChar1"/>
          <w:rFonts w:eastAsiaTheme="minorEastAsia"/>
        </w:rPr>
        <w:t>A</w:t>
      </w:r>
      <w:r w:rsidRPr="00F76C71">
        <w:rPr>
          <w:rStyle w:val="FootnoteTextChar1"/>
          <w:rFonts w:eastAsiaTheme="minorEastAsia"/>
        </w:rPr>
        <w:t xml:space="preserve"> identified the need to improve professional and pedagogical competences of VET teachers on assessment in order to deliver high quality VET teaching. A three-day training module was developed by </w:t>
      </w:r>
      <w:r>
        <w:rPr>
          <w:rStyle w:val="FootnoteTextChar1"/>
          <w:rFonts w:eastAsiaTheme="minorEastAsia"/>
        </w:rPr>
        <w:t>MCA-G</w:t>
      </w:r>
      <w:r w:rsidRPr="00F76C71">
        <w:rPr>
          <w:rStyle w:val="FootnoteTextChar1"/>
          <w:rFonts w:eastAsiaTheme="minorEastAsia"/>
        </w:rPr>
        <w:t xml:space="preserve"> with TPDC and NCEQE in March/April. On 21st-22nd April a two-day workshop on planning and implementation of CBA training was conducted for an assessment group of seven experts at TPDC with the aim of introducing such training. Development of training materials and preparation of a pilot followed in May/June and a three-day pilot of the training module implemented with seven TPDC over 15th to 17th June with ten VET teachers drawn from two state VET colleges. Following the pilot, the training programme and materials were revised. Thereafter, TPDC started cascading the training to VET teachers. On 15th September a one-day follow-up workshop on implementation of CBA training was conducted and progress discussed, followed on the 20th September by training of an additional four TPDC trainers in CBA and over October/November by discussions between </w:t>
      </w:r>
      <w:r>
        <w:rPr>
          <w:rStyle w:val="FootnoteTextChar1"/>
          <w:rFonts w:eastAsiaTheme="minorEastAsia"/>
        </w:rPr>
        <w:t>MCA-G</w:t>
      </w:r>
      <w:r w:rsidRPr="00F76C71">
        <w:rPr>
          <w:rStyle w:val="FootnoteTextChar1"/>
          <w:rFonts w:eastAsiaTheme="minorEastAsia"/>
        </w:rPr>
        <w:t xml:space="preserve"> and TPDC on how to introduce face-to-face consultation between TPDC and VET teachers.</w:t>
      </w:r>
      <w:r w:rsidRPr="003828CE">
        <w:t xml:space="preserve"> </w:t>
      </w:r>
    </w:p>
  </w:footnote>
  <w:footnote w:id="60">
    <w:p w14:paraId="1EE78D03" w14:textId="4681E8F2" w:rsidR="005F2D2B" w:rsidRDefault="005F2D2B">
      <w:pPr>
        <w:pStyle w:val="FootnoteText"/>
      </w:pPr>
      <w:r>
        <w:rPr>
          <w:rStyle w:val="FootnoteReference"/>
        </w:rPr>
        <w:footnoteRef/>
      </w:r>
      <w:r>
        <w:t xml:space="preserve"> not surprisingly, given the lax approach to statistical accuracy found throughout the programme, the MoES self-assessment report quotes different figures: Modules 1 and 2 -156; Module 3 - 681; Module 4 - 132; and Module 5 - 150. While referring to those passing the first four modules a doing so in 2016, the fifth module is left unclassified, and must be presumed to apply to early 2017.</w:t>
      </w:r>
    </w:p>
  </w:footnote>
  <w:footnote w:id="61">
    <w:p w14:paraId="0EE1F6A1" w14:textId="77777777" w:rsidR="005F2D2B" w:rsidRDefault="005F2D2B" w:rsidP="001271F2">
      <w:pPr>
        <w:pStyle w:val="FootnoteText"/>
      </w:pPr>
      <w:r>
        <w:rPr>
          <w:rStyle w:val="FootnoteReference"/>
        </w:rPr>
        <w:footnoteRef/>
      </w:r>
      <w:r>
        <w:t xml:space="preserve"> EMIS reported that there were 1879 public sector VET teachers at the end of 2015, 923 in 20 state colleges and 952 in 15 state higher education institutions, which does not suggest the level of increase quoted by MoES, which in November 2016 reported that the number of teachers in state colleges was 736 at the start of 2016. The Review was unable to reconcile these differences.</w:t>
      </w:r>
    </w:p>
  </w:footnote>
  <w:footnote w:id="62">
    <w:p w14:paraId="7E003EF7" w14:textId="1484B9C5" w:rsidR="005F2D2B" w:rsidRDefault="005F2D2B">
      <w:pPr>
        <w:pStyle w:val="FootnoteText"/>
      </w:pPr>
      <w:r>
        <w:rPr>
          <w:rStyle w:val="FootnoteReference"/>
        </w:rPr>
        <w:footnoteRef/>
      </w:r>
      <w:r>
        <w:t xml:space="preserve"> a second table provided by EMIS gives 1878 teachers in public sector VET providers in 2017: 1043 in colleges and 835 in higher education institutions.</w:t>
      </w:r>
    </w:p>
  </w:footnote>
  <w:footnote w:id="63">
    <w:p w14:paraId="5E4F33B4" w14:textId="786DB2E1" w:rsidR="005F2D2B" w:rsidRDefault="005F2D2B">
      <w:pPr>
        <w:pStyle w:val="FootnoteText"/>
      </w:pPr>
      <w:r>
        <w:rPr>
          <w:rStyle w:val="FootnoteReference"/>
        </w:rPr>
        <w:footnoteRef/>
      </w:r>
      <w:r>
        <w:t xml:space="preserve"> a</w:t>
      </w:r>
      <w:r>
        <w:rPr>
          <w:rFonts w:cs="Times New Roman"/>
        </w:rPr>
        <w:t xml:space="preserve">lthough every year the training courses are provided by almost the same group of trained trainers (around 8 people), they are contracted annually through a complicated and time-consuming tendering process, that is why the trainings usually start in the second or third quarter. Application of 'single source' procurement procedures could provide a solution if this would allow multi-year contracting, but would require TPDC negotiation with the Ministry of Finance. </w:t>
      </w:r>
    </w:p>
  </w:footnote>
  <w:footnote w:id="64">
    <w:p w14:paraId="0D969352" w14:textId="1FBBAF6D" w:rsidR="005F2D2B" w:rsidRDefault="005F2D2B">
      <w:pPr>
        <w:pStyle w:val="FootnoteText"/>
      </w:pPr>
      <w:r>
        <w:rPr>
          <w:rStyle w:val="FootnoteReference"/>
        </w:rPr>
        <w:footnoteRef/>
      </w:r>
      <w:r>
        <w:t xml:space="preserve"> </w:t>
      </w:r>
      <w:r>
        <w:rPr>
          <w:rFonts w:cs="Times New Roman"/>
        </w:rPr>
        <w:t xml:space="preserve">prepared by the </w:t>
      </w:r>
      <w:r w:rsidRPr="00553DD8">
        <w:rPr>
          <w:rFonts w:cs="Times New Roman"/>
        </w:rPr>
        <w:t xml:space="preserve">EU </w:t>
      </w:r>
      <w:r>
        <w:rPr>
          <w:rFonts w:cs="Times New Roman"/>
        </w:rPr>
        <w:t>VEGE</w:t>
      </w:r>
      <w:r w:rsidRPr="00553DD8">
        <w:rPr>
          <w:rFonts w:cs="Times New Roman"/>
        </w:rPr>
        <w:t xml:space="preserve"> TA </w:t>
      </w:r>
      <w:r>
        <w:rPr>
          <w:rFonts w:cs="Times New Roman"/>
        </w:rPr>
        <w:t>in consultation with the NVETC</w:t>
      </w:r>
      <w:r w:rsidRPr="00BC0359">
        <w:rPr>
          <w:rFonts w:cs="Times New Roman"/>
        </w:rPr>
        <w:t xml:space="preserve"> Teacher Professional Development Thematic Work</w:t>
      </w:r>
      <w:r>
        <w:rPr>
          <w:rFonts w:cs="Times New Roman"/>
        </w:rPr>
        <w:t>ing</w:t>
      </w:r>
      <w:r w:rsidRPr="00BC0359">
        <w:rPr>
          <w:rFonts w:cs="Times New Roman"/>
        </w:rPr>
        <w:t xml:space="preserve"> Group</w:t>
      </w:r>
      <w:r>
        <w:rPr>
          <w:rFonts w:cs="Times New Roman"/>
        </w:rPr>
        <w:t>. Nine</w:t>
      </w:r>
      <w:r w:rsidRPr="00BC0359">
        <w:rPr>
          <w:rFonts w:cs="Times New Roman"/>
        </w:rPr>
        <w:t xml:space="preserve"> </w:t>
      </w:r>
      <w:r>
        <w:rPr>
          <w:rFonts w:cs="Times New Roman"/>
        </w:rPr>
        <w:t>Working Group</w:t>
      </w:r>
      <w:r w:rsidRPr="00BC0359">
        <w:rPr>
          <w:rFonts w:cs="Times New Roman"/>
        </w:rPr>
        <w:t xml:space="preserve"> meetings </w:t>
      </w:r>
      <w:r>
        <w:rPr>
          <w:rFonts w:cs="Times New Roman"/>
        </w:rPr>
        <w:t xml:space="preserve">were held </w:t>
      </w:r>
      <w:r w:rsidRPr="00BC0359">
        <w:rPr>
          <w:rFonts w:cs="Times New Roman"/>
        </w:rPr>
        <w:t>during 2016 (11</w:t>
      </w:r>
      <w:r>
        <w:rPr>
          <w:rFonts w:cs="Times New Roman"/>
        </w:rPr>
        <w:t>th</w:t>
      </w:r>
      <w:r w:rsidRPr="00BC0359">
        <w:rPr>
          <w:rFonts w:cs="Times New Roman"/>
        </w:rPr>
        <w:t xml:space="preserve"> </w:t>
      </w:r>
      <w:r>
        <w:rPr>
          <w:rFonts w:cs="Times New Roman"/>
        </w:rPr>
        <w:t xml:space="preserve">and </w:t>
      </w:r>
      <w:r w:rsidRPr="00BC0359">
        <w:rPr>
          <w:rFonts w:cs="Times New Roman"/>
        </w:rPr>
        <w:t>25</w:t>
      </w:r>
      <w:r>
        <w:rPr>
          <w:rFonts w:cs="Times New Roman"/>
        </w:rPr>
        <w:t>th</w:t>
      </w:r>
      <w:r w:rsidRPr="00BC0359">
        <w:rPr>
          <w:rFonts w:cs="Times New Roman"/>
        </w:rPr>
        <w:t xml:space="preserve"> January, 12</w:t>
      </w:r>
      <w:r>
        <w:rPr>
          <w:rFonts w:cs="Times New Roman"/>
        </w:rPr>
        <w:t>th</w:t>
      </w:r>
      <w:r w:rsidRPr="00BC0359">
        <w:rPr>
          <w:rFonts w:cs="Times New Roman"/>
        </w:rPr>
        <w:t xml:space="preserve"> February, 11</w:t>
      </w:r>
      <w:r>
        <w:rPr>
          <w:rFonts w:cs="Times New Roman"/>
        </w:rPr>
        <w:t xml:space="preserve">th and </w:t>
      </w:r>
      <w:r w:rsidRPr="00BC0359">
        <w:rPr>
          <w:rFonts w:cs="Times New Roman"/>
        </w:rPr>
        <w:t>15</w:t>
      </w:r>
      <w:r>
        <w:rPr>
          <w:rFonts w:cs="Times New Roman"/>
        </w:rPr>
        <w:t>th</w:t>
      </w:r>
      <w:r w:rsidRPr="00BC0359">
        <w:rPr>
          <w:rFonts w:cs="Times New Roman"/>
        </w:rPr>
        <w:t xml:space="preserve"> March, 15</w:t>
      </w:r>
      <w:r>
        <w:rPr>
          <w:rFonts w:cs="Times New Roman"/>
        </w:rPr>
        <w:t xml:space="preserve">th and </w:t>
      </w:r>
      <w:r w:rsidRPr="00BC0359">
        <w:rPr>
          <w:rFonts w:cs="Times New Roman"/>
        </w:rPr>
        <w:t>26</w:t>
      </w:r>
      <w:r>
        <w:rPr>
          <w:rFonts w:cs="Times New Roman"/>
        </w:rPr>
        <w:t>th</w:t>
      </w:r>
      <w:r w:rsidRPr="00BC0359">
        <w:rPr>
          <w:rFonts w:cs="Times New Roman"/>
        </w:rPr>
        <w:t xml:space="preserve"> June, 14 July, and 12 December)</w:t>
      </w:r>
      <w:r>
        <w:rPr>
          <w:rFonts w:cs="Times New Roman"/>
        </w:rPr>
        <w:t>. Topics</w:t>
      </w:r>
      <w:r w:rsidRPr="00BC0359">
        <w:rPr>
          <w:rFonts w:cs="Times New Roman"/>
        </w:rPr>
        <w:t xml:space="preserve"> discussed </w:t>
      </w:r>
      <w:r>
        <w:rPr>
          <w:rFonts w:cs="Times New Roman"/>
        </w:rPr>
        <w:t>included</w:t>
      </w:r>
      <w:r w:rsidRPr="00BC0359">
        <w:rPr>
          <w:rFonts w:cs="Times New Roman"/>
        </w:rPr>
        <w:t xml:space="preserve">: </w:t>
      </w:r>
      <w:r>
        <w:rPr>
          <w:rFonts w:cs="Times New Roman"/>
        </w:rPr>
        <w:t>the Pedagogical Training Course</w:t>
      </w:r>
      <w:r w:rsidRPr="00BC0359">
        <w:rPr>
          <w:rFonts w:cs="Times New Roman"/>
        </w:rPr>
        <w:t xml:space="preserve">; draft MoES Orders on Teacher qualification, on Professional development and on Teacher-coordinator; </w:t>
      </w:r>
      <w:r>
        <w:rPr>
          <w:rFonts w:cs="Times New Roman"/>
        </w:rPr>
        <w:t xml:space="preserve">a memorandum on </w:t>
      </w:r>
      <w:r w:rsidRPr="00BC0359">
        <w:rPr>
          <w:rFonts w:cs="Times New Roman"/>
        </w:rPr>
        <w:t xml:space="preserve">VET teacher </w:t>
      </w:r>
      <w:r>
        <w:rPr>
          <w:rFonts w:cs="Times New Roman"/>
        </w:rPr>
        <w:t>teaching hours and compensation</w:t>
      </w:r>
      <w:r w:rsidRPr="00BC0359">
        <w:rPr>
          <w:rFonts w:cs="Times New Roman"/>
        </w:rPr>
        <w:t xml:space="preserve">; VET teachers’ pre-service (university) training; </w:t>
      </w:r>
      <w:r>
        <w:rPr>
          <w:rFonts w:cs="Times New Roman"/>
        </w:rPr>
        <w:t xml:space="preserve">and a </w:t>
      </w:r>
      <w:r w:rsidRPr="00BC0359">
        <w:rPr>
          <w:rFonts w:cs="Times New Roman"/>
        </w:rPr>
        <w:t>Policy Document for Preparation, Starting of Activities and Professional Development of Vocational Education Teachers.</w:t>
      </w:r>
    </w:p>
  </w:footnote>
  <w:footnote w:id="65">
    <w:p w14:paraId="7447C6E6" w14:textId="3A28EECF" w:rsidR="005F2D2B" w:rsidRDefault="005F2D2B">
      <w:pPr>
        <w:pStyle w:val="FootnoteText"/>
      </w:pPr>
      <w:r>
        <w:rPr>
          <w:rStyle w:val="FootnoteReference"/>
        </w:rPr>
        <w:footnoteRef/>
      </w:r>
      <w:r>
        <w:t xml:space="preserve"> including </w:t>
      </w:r>
      <w:r w:rsidRPr="00BC0359">
        <w:rPr>
          <w:rFonts w:cs="Times New Roman"/>
        </w:rPr>
        <w:t xml:space="preserve">GoG Decree on Regulation of Career Start and Professional Development of VET Teachers; MoES Order on Order on Continuing Professional Development for VET teachers; MoES Order on Teacher-Coordinator; </w:t>
      </w:r>
      <w:r>
        <w:rPr>
          <w:rFonts w:cs="Times New Roman"/>
        </w:rPr>
        <w:t xml:space="preserve">and </w:t>
      </w:r>
      <w:r w:rsidRPr="00BC0359">
        <w:rPr>
          <w:rFonts w:cs="Times New Roman"/>
        </w:rPr>
        <w:t>MoES Order on Systems and Procedures for Maintaining Registration System of VET teachers.</w:t>
      </w:r>
    </w:p>
  </w:footnote>
  <w:footnote w:id="66">
    <w:p w14:paraId="28E0AE11" w14:textId="77777777" w:rsidR="005F2D2B" w:rsidRDefault="005F2D2B" w:rsidP="009601AE">
      <w:pPr>
        <w:pStyle w:val="FootnoteText"/>
      </w:pPr>
      <w:r>
        <w:rPr>
          <w:rStyle w:val="FootnoteReference"/>
        </w:rPr>
        <w:footnoteRef/>
      </w:r>
      <w:r>
        <w:t xml:space="preserve"> on </w:t>
      </w:r>
      <w:r w:rsidRPr="000525A4">
        <w:t>28</w:t>
      </w:r>
      <w:r>
        <w:t>th/</w:t>
      </w:r>
      <w:r w:rsidRPr="000525A4">
        <w:t>29</w:t>
      </w:r>
      <w:r>
        <w:t>th</w:t>
      </w:r>
      <w:r w:rsidRPr="000525A4">
        <w:t xml:space="preserve"> January and 3</w:t>
      </w:r>
      <w:r>
        <w:t>rd/</w:t>
      </w:r>
      <w:r w:rsidRPr="000525A4">
        <w:t>4</w:t>
      </w:r>
      <w:r>
        <w:t>th</w:t>
      </w:r>
      <w:r w:rsidRPr="000525A4">
        <w:t xml:space="preserve"> February</w:t>
      </w:r>
      <w:r>
        <w:t xml:space="preserve"> 2016,</w:t>
      </w:r>
      <w:r w:rsidRPr="000525A4">
        <w:t xml:space="preserve"> 2</w:t>
      </w:r>
      <w:r>
        <w:t>-</w:t>
      </w:r>
      <w:r w:rsidRPr="000525A4">
        <w:t>day training</w:t>
      </w:r>
      <w:r>
        <w:t xml:space="preserve"> courses</w:t>
      </w:r>
      <w:r w:rsidRPr="000525A4">
        <w:t xml:space="preserve"> </w:t>
      </w:r>
      <w:r>
        <w:t xml:space="preserve">were conducted </w:t>
      </w:r>
      <w:r w:rsidRPr="000525A4">
        <w:t xml:space="preserve">with </w:t>
      </w:r>
      <w:r>
        <w:t>c</w:t>
      </w:r>
      <w:r w:rsidRPr="000525A4">
        <w:t xml:space="preserve">areer managers of VET institutions (all 20 public </w:t>
      </w:r>
      <w:r>
        <w:t xml:space="preserve">colleges </w:t>
      </w:r>
      <w:r w:rsidRPr="000525A4">
        <w:t>and representative</w:t>
      </w:r>
      <w:r>
        <w:t>s</w:t>
      </w:r>
      <w:r w:rsidRPr="000525A4">
        <w:t xml:space="preserve"> of the private college association)</w:t>
      </w:r>
      <w:r>
        <w:t>,</w:t>
      </w:r>
      <w:r w:rsidRPr="000525A4">
        <w:t xml:space="preserve"> one day </w:t>
      </w:r>
      <w:r>
        <w:t xml:space="preserve">of which </w:t>
      </w:r>
      <w:r w:rsidRPr="000525A4">
        <w:t xml:space="preserve">was </w:t>
      </w:r>
      <w:r>
        <w:t>on</w:t>
      </w:r>
      <w:r w:rsidRPr="000525A4">
        <w:t xml:space="preserve"> how to carry out TNA</w:t>
      </w:r>
      <w:r>
        <w:t>.</w:t>
      </w:r>
    </w:p>
  </w:footnote>
  <w:footnote w:id="67">
    <w:p w14:paraId="5A8D1CEC" w14:textId="63D2F9AB" w:rsidR="005F2D2B" w:rsidRDefault="005F2D2B">
      <w:pPr>
        <w:pStyle w:val="FootnoteText"/>
      </w:pPr>
      <w:r>
        <w:rPr>
          <w:rStyle w:val="FootnoteReference"/>
        </w:rPr>
        <w:footnoteRef/>
      </w:r>
      <w:r>
        <w:t xml:space="preserve"> </w:t>
      </w:r>
      <w:r>
        <w:rPr>
          <w:lang w:eastAsia="en-GB"/>
        </w:rPr>
        <w:t>and 38 private sector providers: 29 colleges, 7 higher education institutions and 2 secondary schools - including only those so far registered with EMIS, understating the number of private VET providers by over 50%.</w:t>
      </w:r>
    </w:p>
  </w:footnote>
  <w:footnote w:id="68">
    <w:p w14:paraId="19AF4B77" w14:textId="1E0D6E66" w:rsidR="005F2D2B" w:rsidRPr="009908EA" w:rsidRDefault="005F2D2B" w:rsidP="00475E63">
      <w:pPr>
        <w:pStyle w:val="FootnoteText"/>
      </w:pPr>
      <w:r w:rsidRPr="009908EA">
        <w:rPr>
          <w:rStyle w:val="FootnoteReference"/>
        </w:rPr>
        <w:footnoteRef/>
      </w:r>
      <w:r w:rsidRPr="009908EA">
        <w:t xml:space="preserve"> </w:t>
      </w:r>
      <w:r>
        <w:t>p</w:t>
      </w:r>
      <w:r w:rsidRPr="009908EA">
        <w:t xml:space="preserve">articularly </w:t>
      </w:r>
      <w:r>
        <w:t xml:space="preserve">as </w:t>
      </w:r>
      <w:r w:rsidRPr="009908EA">
        <w:t xml:space="preserve">according to </w:t>
      </w:r>
      <w:r>
        <w:rPr>
          <w:color w:val="000000"/>
          <w:shd w:val="clear" w:color="auto" w:fill="FFFFFF"/>
        </w:rPr>
        <w:t xml:space="preserve">European Lifelong Guidance Policy Network (ELGPN), Career Guidance is defined as </w:t>
      </w:r>
      <w:r w:rsidRPr="009908EA">
        <w:rPr>
          <w:i/>
          <w:color w:val="000000"/>
          <w:shd w:val="clear" w:color="auto" w:fill="FFFFFF"/>
        </w:rPr>
        <w:t>“</w:t>
      </w:r>
      <w:r w:rsidRPr="009908EA">
        <w:rPr>
          <w:rFonts w:hint="eastAsia"/>
          <w:i/>
        </w:rPr>
        <w:t>A range of activities that enable citizens of any age, and at any point in their lives, to identify their capacities, competences and interests; to make meaningful educational, training and occupational decisions; and to manage their individual life paths in learning, work and other settings in which these capacities and competences are learned and/or used</w:t>
      </w:r>
      <w:r>
        <w:t>”</w:t>
      </w:r>
      <w:r w:rsidRPr="009908EA">
        <w:rPr>
          <w:rFonts w:hint="eastAsia"/>
        </w:rPr>
        <w:t>.</w:t>
      </w:r>
      <w:r>
        <w:t xml:space="preserve"> Thus, separation of the concepts of </w:t>
      </w:r>
      <w:r w:rsidRPr="009908EA">
        <w:rPr>
          <w:i/>
        </w:rPr>
        <w:t>Professional orientation</w:t>
      </w:r>
      <w:r>
        <w:t xml:space="preserve"> and </w:t>
      </w:r>
      <w:r w:rsidRPr="009908EA">
        <w:rPr>
          <w:i/>
        </w:rPr>
        <w:t>Career guidance</w:t>
      </w:r>
      <w:r>
        <w:t xml:space="preserve"> does not seem justified.</w:t>
      </w:r>
    </w:p>
  </w:footnote>
  <w:footnote w:id="69">
    <w:p w14:paraId="2C65FDB9" w14:textId="7CCD493E" w:rsidR="005F2D2B" w:rsidRDefault="005F2D2B">
      <w:pPr>
        <w:pStyle w:val="FootnoteText"/>
      </w:pPr>
      <w:r>
        <w:rPr>
          <w:rStyle w:val="FootnoteReference"/>
        </w:rPr>
        <w:footnoteRef/>
      </w:r>
      <w:r>
        <w:t xml:space="preserve"> EMIS provided data on graduates by state VET institution in 2015 and 2016, but its coverage and hence accuracy is uncertain. The data covers 20 state colleges (VET and community) and 16 state higher education institutions providing VET (including two branches of Georgia Technical University reported separately). For 2015 the total of 7079 graduates is divided between 2423 for spring and 4656 for autumn, presumably intakes. Even then some institutions report no graduates. However, for 2016 a total of only 1696 is given, divided between 1560 for the spring and 136 for the autumn, suggesting the figures are for graduates from 2016 intakes. Without full data it is not possible to be sure of academic year figures, but it would seem to suggest 2015/16 graduates of 6352.</w:t>
      </w:r>
    </w:p>
  </w:footnote>
  <w:footnote w:id="70">
    <w:p w14:paraId="6E569489" w14:textId="1B757C58" w:rsidR="005F2D2B" w:rsidRPr="00FD774C" w:rsidRDefault="005F2D2B" w:rsidP="00F47ED3">
      <w:pPr>
        <w:pStyle w:val="FootnoteText"/>
      </w:pPr>
      <w:r>
        <w:rPr>
          <w:rStyle w:val="FootnoteReference"/>
        </w:rPr>
        <w:footnoteRef/>
      </w:r>
      <w:r>
        <w:t xml:space="preserve"> for the last two indicators, no data are available for 2014.</w:t>
      </w:r>
    </w:p>
  </w:footnote>
  <w:footnote w:id="71">
    <w:p w14:paraId="43E3C408" w14:textId="4BA114FE" w:rsidR="005F2D2B" w:rsidRDefault="005F2D2B">
      <w:pPr>
        <w:pStyle w:val="FootnoteText"/>
      </w:pPr>
      <w:r>
        <w:rPr>
          <w:rStyle w:val="FootnoteReference"/>
        </w:rPr>
        <w:footnoteRef/>
      </w:r>
      <w:r>
        <w:t xml:space="preserve"> </w:t>
      </w:r>
      <w:r>
        <w:rPr>
          <w:rFonts w:cs="Times New Roman"/>
        </w:rPr>
        <w:t>applicants can now register online through the website: vet.emis.ge</w:t>
      </w:r>
      <w:r w:rsidRPr="00553DD8">
        <w:rPr>
          <w:rFonts w:cs="Times New Roman"/>
        </w:rPr>
        <w:t xml:space="preserve">, </w:t>
      </w:r>
    </w:p>
  </w:footnote>
  <w:footnote w:id="72">
    <w:p w14:paraId="41A37F5E" w14:textId="775FA4BE" w:rsidR="005F2D2B" w:rsidRDefault="005F2D2B">
      <w:pPr>
        <w:pStyle w:val="FootnoteText"/>
      </w:pPr>
      <w:r>
        <w:rPr>
          <w:rStyle w:val="FootnoteReference"/>
        </w:rPr>
        <w:footnoteRef/>
      </w:r>
      <w:r>
        <w:t xml:space="preserve"> </w:t>
      </w:r>
      <w:r w:rsidRPr="00553DD8">
        <w:rPr>
          <w:rFonts w:cs="Times New Roman"/>
        </w:rPr>
        <w:t>the</w:t>
      </w:r>
      <w:r>
        <w:rPr>
          <w:rFonts w:cs="Times New Roman"/>
        </w:rPr>
        <w:t>re continues to be disagreement</w:t>
      </w:r>
      <w:r w:rsidRPr="00553DD8">
        <w:rPr>
          <w:rFonts w:cs="Times New Roman"/>
        </w:rPr>
        <w:t xml:space="preserve"> among VET experts as to the appropriateness of the entry exam</w:t>
      </w:r>
      <w:r>
        <w:rPr>
          <w:rFonts w:cs="Times New Roman"/>
        </w:rPr>
        <w:t xml:space="preserve">. Although requested, figures were not provided by EMIS on failure, but was reported at around 5-10% of exam entrants. Among these it could be considered are included </w:t>
      </w:r>
      <w:r w:rsidRPr="00553DD8">
        <w:rPr>
          <w:rFonts w:cs="Times New Roman"/>
        </w:rPr>
        <w:t xml:space="preserve">many of those that might be considered most in need of VET qualifications, and disproportionately affects the more vulnerable groups in society. </w:t>
      </w:r>
    </w:p>
  </w:footnote>
  <w:footnote w:id="73">
    <w:p w14:paraId="6FEE0E98" w14:textId="3DCE4877" w:rsidR="005F2D2B" w:rsidRDefault="005F2D2B">
      <w:pPr>
        <w:pStyle w:val="FootnoteText"/>
      </w:pPr>
      <w:r>
        <w:rPr>
          <w:rStyle w:val="FootnoteReference"/>
        </w:rPr>
        <w:footnoteRef/>
      </w:r>
      <w:r>
        <w:t xml:space="preserve"> an initial interim report covering responses from 296 employers was published under the same title in December 2015.</w:t>
      </w:r>
    </w:p>
  </w:footnote>
  <w:footnote w:id="74">
    <w:p w14:paraId="19465E2E" w14:textId="08DD7D68" w:rsidR="005F2D2B" w:rsidRDefault="005F2D2B">
      <w:pPr>
        <w:pStyle w:val="FootnoteText"/>
      </w:pPr>
      <w:r>
        <w:rPr>
          <w:rStyle w:val="FootnoteReference"/>
        </w:rPr>
        <w:footnoteRef/>
      </w:r>
      <w:r>
        <w:t xml:space="preserve"> </w:t>
      </w:r>
      <w:r>
        <w:rPr>
          <w:rFonts w:cs="Times New Roman"/>
        </w:rPr>
        <w:t>a reduction from the original 2500 canvassed, based on a sample reflecting sectors, regions, and size, as stipulated in the ToR because of low and late response.</w:t>
      </w:r>
    </w:p>
  </w:footnote>
  <w:footnote w:id="75">
    <w:p w14:paraId="090520EC" w14:textId="77486647" w:rsidR="005F2D2B" w:rsidRPr="00CD17DF" w:rsidRDefault="005F2D2B" w:rsidP="00855B50">
      <w:pPr>
        <w:rPr>
          <w:rStyle w:val="FootnoteTextChar1"/>
          <w:rFonts w:eastAsiaTheme="minorEastAsia"/>
        </w:rPr>
      </w:pPr>
      <w:r>
        <w:rPr>
          <w:rStyle w:val="FootnoteReference"/>
        </w:rPr>
        <w:footnoteRef/>
      </w:r>
      <w:r>
        <w:t xml:space="preserve"> </w:t>
      </w:r>
      <w:r w:rsidRPr="00CD17DF">
        <w:rPr>
          <w:rStyle w:val="FootnoteTextChar1"/>
          <w:rFonts w:eastAsiaTheme="minorEastAsia"/>
        </w:rPr>
        <w:t xml:space="preserve">the report, which includes the survey methodology, is available on the MoES website </w:t>
      </w:r>
      <w:hyperlink r:id="rId3" w:history="1">
        <w:r w:rsidRPr="00CD17DF">
          <w:rPr>
            <w:rStyle w:val="FootnoteTextChar1"/>
            <w:rFonts w:eastAsiaTheme="majorEastAsia"/>
          </w:rPr>
          <w:t>http://mes.gov.ge/content.php?id=1793&amp;lang=geo</w:t>
        </w:r>
      </w:hyperlink>
    </w:p>
  </w:footnote>
  <w:footnote w:id="76">
    <w:p w14:paraId="29F4FCBC" w14:textId="26151B4E" w:rsidR="005F2D2B" w:rsidRDefault="005F2D2B">
      <w:pPr>
        <w:pStyle w:val="FootnoteText"/>
      </w:pPr>
      <w:r>
        <w:rPr>
          <w:rStyle w:val="FootnoteReference"/>
        </w:rPr>
        <w:footnoteRef/>
      </w:r>
      <w:r>
        <w:t xml:space="preserve"> although the small size of the survey means small absolute change are significant in percentage terms: 4% with interns is only 16 companies, 8% having employed VET system graduates over the last three years is only 32 companies.</w:t>
      </w:r>
    </w:p>
  </w:footnote>
  <w:footnote w:id="77">
    <w:p w14:paraId="67F9E7D0" w14:textId="62E9344D" w:rsidR="005F2D2B" w:rsidRPr="00C4625F" w:rsidRDefault="005F2D2B" w:rsidP="00F62DDD">
      <w:pPr>
        <w:pStyle w:val="FootnoteText"/>
      </w:pPr>
      <w:r w:rsidRPr="00C4625F">
        <w:rPr>
          <w:rStyle w:val="FootnoteReference"/>
        </w:rPr>
        <w:footnoteRef/>
      </w:r>
      <w:r w:rsidRPr="00C4625F">
        <w:t xml:space="preserve"> one reason given was the need to amend membership in the light of changes in Government positions since the parliamentary elections in early October, and disruptions to normal working in the run-up to the election. It has to be recognized, however, </w:t>
      </w:r>
      <w:r>
        <w:t xml:space="preserve">that </w:t>
      </w:r>
      <w:r w:rsidRPr="00C4625F">
        <w:t>social partner and civil society representatives should not be affected by elections and the switch to ex-officio rather than personal membership should provide continuity for Government members.</w:t>
      </w:r>
    </w:p>
  </w:footnote>
  <w:footnote w:id="78">
    <w:p w14:paraId="790199C5" w14:textId="77777777" w:rsidR="005F2D2B" w:rsidRPr="00C4625F" w:rsidRDefault="005F2D2B" w:rsidP="007C3821">
      <w:pPr>
        <w:pStyle w:val="FootnoteText"/>
      </w:pPr>
      <w:r w:rsidRPr="00C4625F">
        <w:rPr>
          <w:rStyle w:val="FootnoteReference"/>
        </w:rPr>
        <w:footnoteRef/>
      </w:r>
      <w:r w:rsidRPr="00C4625F">
        <w:t xml:space="preserve"> since 2014, there have been nine thematic working groups (replacing the original seven) on</w:t>
      </w:r>
    </w:p>
    <w:p w14:paraId="4D751081" w14:textId="77777777" w:rsidR="005F2D2B" w:rsidRPr="00C4625F" w:rsidRDefault="005F2D2B" w:rsidP="007C295F">
      <w:pPr>
        <w:pStyle w:val="FootnoteText"/>
        <w:numPr>
          <w:ilvl w:val="0"/>
          <w:numId w:val="37"/>
        </w:numPr>
        <w:ind w:left="714" w:hanging="357"/>
      </w:pPr>
      <w:r w:rsidRPr="00C4625F">
        <w:t>the time regulations of the National VET Council;</w:t>
      </w:r>
    </w:p>
    <w:p w14:paraId="1F06FB1C" w14:textId="77777777" w:rsidR="005F2D2B" w:rsidRPr="00C4625F" w:rsidRDefault="005F2D2B" w:rsidP="007C295F">
      <w:pPr>
        <w:pStyle w:val="FootnoteText"/>
        <w:numPr>
          <w:ilvl w:val="0"/>
          <w:numId w:val="37"/>
        </w:numPr>
        <w:ind w:left="714" w:hanging="357"/>
      </w:pPr>
      <w:r w:rsidRPr="00C4625F">
        <w:t>work-based learning;</w:t>
      </w:r>
    </w:p>
    <w:p w14:paraId="69DC1745" w14:textId="77777777" w:rsidR="005F2D2B" w:rsidRPr="00C4625F" w:rsidRDefault="005F2D2B" w:rsidP="007C295F">
      <w:pPr>
        <w:pStyle w:val="FootnoteText"/>
        <w:numPr>
          <w:ilvl w:val="0"/>
          <w:numId w:val="37"/>
        </w:numPr>
        <w:ind w:left="714" w:hanging="357"/>
      </w:pPr>
      <w:r w:rsidRPr="00C4625F">
        <w:t>mechanisms for private sector involvement in VET;</w:t>
      </w:r>
    </w:p>
    <w:p w14:paraId="3B759173" w14:textId="77777777" w:rsidR="005F2D2B" w:rsidRPr="00C4625F" w:rsidRDefault="005F2D2B" w:rsidP="007C295F">
      <w:pPr>
        <w:pStyle w:val="FootnoteText"/>
        <w:numPr>
          <w:ilvl w:val="0"/>
          <w:numId w:val="37"/>
        </w:numPr>
        <w:ind w:left="714" w:hanging="357"/>
      </w:pPr>
      <w:r w:rsidRPr="00C4625F">
        <w:rPr>
          <w:rFonts w:eastAsia="Calibri"/>
        </w:rPr>
        <w:t>inclusive VET education;</w:t>
      </w:r>
    </w:p>
    <w:p w14:paraId="2859CB62" w14:textId="77777777" w:rsidR="005F2D2B" w:rsidRPr="00C4625F" w:rsidRDefault="005F2D2B" w:rsidP="007C295F">
      <w:pPr>
        <w:pStyle w:val="FootnoteText"/>
        <w:numPr>
          <w:ilvl w:val="0"/>
          <w:numId w:val="37"/>
        </w:numPr>
        <w:ind w:left="714" w:hanging="357"/>
      </w:pPr>
      <w:r w:rsidRPr="00C4625F">
        <w:rPr>
          <w:rFonts w:eastAsia="Calibri"/>
        </w:rPr>
        <w:t>professional consultation/career planning and entrepreneurial education;</w:t>
      </w:r>
    </w:p>
    <w:p w14:paraId="17DC49F1" w14:textId="77777777" w:rsidR="005F2D2B" w:rsidRPr="00C4625F" w:rsidRDefault="005F2D2B" w:rsidP="007C295F">
      <w:pPr>
        <w:pStyle w:val="FootnoteText"/>
        <w:numPr>
          <w:ilvl w:val="0"/>
          <w:numId w:val="37"/>
        </w:numPr>
        <w:ind w:left="714" w:hanging="357"/>
      </w:pPr>
      <w:r w:rsidRPr="00C4625F">
        <w:t>VET in agriculture and extension;</w:t>
      </w:r>
    </w:p>
    <w:p w14:paraId="790D6622" w14:textId="77777777" w:rsidR="005F2D2B" w:rsidRPr="00C4625F" w:rsidRDefault="005F2D2B" w:rsidP="007C295F">
      <w:pPr>
        <w:pStyle w:val="FootnoteText"/>
        <w:numPr>
          <w:ilvl w:val="0"/>
          <w:numId w:val="37"/>
        </w:numPr>
        <w:ind w:left="714" w:hanging="357"/>
      </w:pPr>
      <w:r w:rsidRPr="00C4625F">
        <w:t>the professional development of VET teachers;</w:t>
      </w:r>
    </w:p>
    <w:p w14:paraId="1214206A" w14:textId="77777777" w:rsidR="005F2D2B" w:rsidRPr="00C4625F" w:rsidRDefault="005F2D2B" w:rsidP="007C295F">
      <w:pPr>
        <w:pStyle w:val="FootnoteText"/>
        <w:numPr>
          <w:ilvl w:val="0"/>
          <w:numId w:val="37"/>
        </w:numPr>
        <w:ind w:left="714" w:hanging="357"/>
      </w:pPr>
      <w:r w:rsidRPr="00C4625F">
        <w:rPr>
          <w:rFonts w:eastAsia="Calibri"/>
        </w:rPr>
        <w:t>quality management in VET; and</w:t>
      </w:r>
    </w:p>
    <w:p w14:paraId="292C31F0" w14:textId="77777777" w:rsidR="005F2D2B" w:rsidRPr="00C4625F" w:rsidRDefault="005F2D2B" w:rsidP="007C295F">
      <w:pPr>
        <w:pStyle w:val="FootnoteText"/>
        <w:numPr>
          <w:ilvl w:val="0"/>
          <w:numId w:val="37"/>
        </w:numPr>
        <w:ind w:left="714" w:hanging="357"/>
      </w:pPr>
      <w:r w:rsidRPr="00C4625F">
        <w:rPr>
          <w:rFonts w:eastAsia="Calibri"/>
        </w:rPr>
        <w:t>validation of non- formal learning.</w:t>
      </w:r>
    </w:p>
    <w:p w14:paraId="1F849D34" w14:textId="77777777" w:rsidR="005F2D2B" w:rsidRPr="00C4625F" w:rsidRDefault="005F2D2B" w:rsidP="007C3821">
      <w:pPr>
        <w:pStyle w:val="FootnoteText"/>
      </w:pPr>
      <w:r w:rsidRPr="00C4625F">
        <w:t xml:space="preserve">The Working Groups are required to meet at least once a month, and work on agreed action plans. Their main aim is to develop policy documents and proposals and to present reviews to NVETC. </w:t>
      </w:r>
    </w:p>
  </w:footnote>
  <w:footnote w:id="79">
    <w:p w14:paraId="4276CD8C" w14:textId="77777777" w:rsidR="005F2D2B" w:rsidRPr="009908EA" w:rsidRDefault="005F2D2B" w:rsidP="00363F34">
      <w:pPr>
        <w:pStyle w:val="FootnoteText"/>
      </w:pPr>
      <w:r w:rsidRPr="009908EA">
        <w:rPr>
          <w:rStyle w:val="FootnoteReference"/>
        </w:rPr>
        <w:footnoteRef/>
      </w:r>
      <w:r w:rsidRPr="009908EA">
        <w:t xml:space="preserve">  MCA-G will organized the first three annual conferences. Thereafter it is to be the responsibility of MoES and the social partners. </w:t>
      </w:r>
    </w:p>
  </w:footnote>
  <w:footnote w:id="80">
    <w:p w14:paraId="5D9BC305" w14:textId="5D08CB32" w:rsidR="005F2D2B" w:rsidRDefault="005F2D2B">
      <w:pPr>
        <w:pStyle w:val="FootnoteText"/>
      </w:pPr>
      <w:r>
        <w:rPr>
          <w:rStyle w:val="FootnoteReference"/>
        </w:rPr>
        <w:footnoteRef/>
      </w:r>
      <w:r>
        <w:t xml:space="preserve"> for instance, Schuchmann Wines with Aisi (Kachreti) and KTV and Gigauri with </w:t>
      </w:r>
      <w:r w:rsidRPr="00BC0359">
        <w:rPr>
          <w:color w:val="000000" w:themeColor="text1"/>
        </w:rPr>
        <w:t>Ilia Tsinamdzghvrishvili</w:t>
      </w:r>
      <w:r>
        <w:rPr>
          <w:color w:val="000000" w:themeColor="text1"/>
        </w:rPr>
        <w:t xml:space="preserve"> (Mtskheta).</w:t>
      </w:r>
    </w:p>
  </w:footnote>
  <w:footnote w:id="81">
    <w:p w14:paraId="448C16CD" w14:textId="449E2A69" w:rsidR="005F2D2B" w:rsidRDefault="005F2D2B">
      <w:pPr>
        <w:pStyle w:val="FootnoteText"/>
      </w:pPr>
      <w:r>
        <w:rPr>
          <w:rStyle w:val="FootnoteReference"/>
        </w:rPr>
        <w:footnoteRef/>
      </w:r>
      <w:r>
        <w:t xml:space="preserve"> </w:t>
      </w:r>
      <w:r w:rsidRPr="00BC0359">
        <w:rPr>
          <w:color w:val="000000" w:themeColor="text1"/>
        </w:rPr>
        <w:t>Ilia Tsinamdzghvrishvili</w:t>
      </w:r>
      <w:r>
        <w:rPr>
          <w:color w:val="000000" w:themeColor="text1"/>
        </w:rPr>
        <w:t xml:space="preserve"> college outside Mtskheta was reopened in November 2016 after closure in 2012. The college in April 2017 was providing courses at VET third level on beekeeping to seven students as well the WBL courses at fourth level VET on stone fruit cultivation to six students and viticulture to ten students. The college has 20 ha. of agricultural land, and employs 16 teachers and 15 administrative staff, preparatory for additional students and courses in autumn 2017 (including forestry and hairdressing). The two WBL courses involve 4 days a week with the partner company, one day at college. KTV and Gigauri are involved with the viticulture programme, Gigauri also with the stone fruit programme (it is both a wine centre and fruit growing entity, and has provided the college with apple, pear, and almond tree saplings for the college's orchard).</w:t>
      </w:r>
    </w:p>
  </w:footnote>
  <w:footnote w:id="82">
    <w:p w14:paraId="09C2E930" w14:textId="0B6652F6" w:rsidR="005F2D2B" w:rsidRDefault="005F2D2B">
      <w:pPr>
        <w:pStyle w:val="FootnoteText"/>
      </w:pPr>
      <w:r>
        <w:rPr>
          <w:rStyle w:val="FootnoteReference"/>
        </w:rPr>
        <w:footnoteRef/>
      </w:r>
      <w:r>
        <w:t xml:space="preserve"> originally eleven for viticulture but one dropped out.</w:t>
      </w:r>
    </w:p>
  </w:footnote>
  <w:footnote w:id="83">
    <w:p w14:paraId="1F9AD656" w14:textId="2B01084C" w:rsidR="005F2D2B" w:rsidRDefault="005F2D2B">
      <w:pPr>
        <w:pStyle w:val="FootnoteText"/>
      </w:pPr>
      <w:r>
        <w:rPr>
          <w:rStyle w:val="FootnoteReference"/>
        </w:rPr>
        <w:footnoteRef/>
      </w:r>
      <w:r>
        <w:t xml:space="preserve"> GIZ reported that a quota of 15 students was intended for the viticulture programme at each of the two colleges, with up to 17 registered for interview and exam for selection at each.</w:t>
      </w:r>
    </w:p>
  </w:footnote>
  <w:footnote w:id="84">
    <w:p w14:paraId="71286DF5" w14:textId="7831D4EA" w:rsidR="005F2D2B" w:rsidRPr="008B69DE" w:rsidRDefault="005F2D2B" w:rsidP="00D92DA1">
      <w:pPr>
        <w:autoSpaceDE w:val="0"/>
        <w:autoSpaceDN w:val="0"/>
        <w:adjustRightInd w:val="0"/>
        <w:rPr>
          <w:b/>
          <w:i/>
        </w:rPr>
      </w:pPr>
      <w:r>
        <w:rPr>
          <w:rStyle w:val="FootnoteReference"/>
        </w:rPr>
        <w:footnoteRef/>
      </w:r>
      <w:r>
        <w:t xml:space="preserve"> </w:t>
      </w:r>
      <w:r w:rsidRPr="00D92DA1">
        <w:rPr>
          <w:rStyle w:val="FootnoteTextChar1"/>
          <w:rFonts w:eastAsiaTheme="minorEastAsia"/>
        </w:rPr>
        <w:t>strictly speaking, “</w:t>
      </w:r>
      <w:r w:rsidRPr="00D92DA1">
        <w:rPr>
          <w:rStyle w:val="FootnoteTextChar1"/>
          <w:rFonts w:eastAsiaTheme="minorEastAsia"/>
          <w:i/>
        </w:rPr>
        <w:t>work-based learning</w:t>
      </w:r>
      <w:r w:rsidRPr="00D92DA1">
        <w:rPr>
          <w:rStyle w:val="FootnoteTextChar1"/>
          <w:rFonts w:eastAsiaTheme="minorEastAsia"/>
        </w:rPr>
        <w:t>” and “</w:t>
      </w:r>
      <w:r w:rsidRPr="00D92DA1">
        <w:rPr>
          <w:rStyle w:val="FootnoteTextChar1"/>
          <w:rFonts w:eastAsiaTheme="minorEastAsia"/>
          <w:i/>
        </w:rPr>
        <w:t>dual education/learning</w:t>
      </w:r>
      <w:r w:rsidRPr="00D92DA1">
        <w:rPr>
          <w:rStyle w:val="FootnoteTextChar1"/>
          <w:rFonts w:eastAsiaTheme="minorEastAsia"/>
        </w:rPr>
        <w:t>” should not be understood to have the same meaning</w:t>
      </w:r>
      <w:r>
        <w:rPr>
          <w:rStyle w:val="FootnoteTextChar1"/>
          <w:rFonts w:eastAsiaTheme="minorEastAsia"/>
        </w:rPr>
        <w:t xml:space="preserve">, as appears to be </w:t>
      </w:r>
      <w:r w:rsidRPr="00D92DA1">
        <w:rPr>
          <w:rStyle w:val="FootnoteTextChar1"/>
          <w:rFonts w:eastAsiaTheme="minorEastAsia"/>
        </w:rPr>
        <w:t>the case with the MoES</w:t>
      </w:r>
      <w:r>
        <w:rPr>
          <w:rStyle w:val="FootnoteTextChar1"/>
          <w:rFonts w:eastAsiaTheme="minorEastAsia"/>
        </w:rPr>
        <w:t xml:space="preserve"> - s</w:t>
      </w:r>
      <w:r w:rsidRPr="00D92DA1">
        <w:rPr>
          <w:rStyle w:val="FootnoteTextChar1"/>
          <w:rFonts w:eastAsiaTheme="minorEastAsia"/>
        </w:rPr>
        <w:t>ee e.g. CEDEFOP Glossary “</w:t>
      </w:r>
      <w:r w:rsidRPr="00D92DA1">
        <w:rPr>
          <w:rStyle w:val="FootnoteTextChar1"/>
          <w:rFonts w:eastAsiaTheme="minorEastAsia"/>
          <w:i/>
        </w:rPr>
        <w:t>Terminology of European education and training policy</w:t>
      </w:r>
      <w:r w:rsidRPr="00D92DA1">
        <w:rPr>
          <w:rStyle w:val="FootnoteTextChar1"/>
          <w:rFonts w:eastAsiaTheme="minorEastAsia"/>
        </w:rPr>
        <w:t>”, 2014”.</w:t>
      </w:r>
    </w:p>
    <w:p w14:paraId="1EDE0DF6" w14:textId="3900B84D" w:rsidR="005F2D2B" w:rsidRDefault="005F2D2B">
      <w:pPr>
        <w:pStyle w:val="FootnoteText"/>
      </w:pPr>
    </w:p>
  </w:footnote>
  <w:footnote w:id="85">
    <w:p w14:paraId="71C4F1CB" w14:textId="5184B62B" w:rsidR="005F2D2B" w:rsidRDefault="005F2D2B">
      <w:pPr>
        <w:pStyle w:val="FootnoteText"/>
      </w:pPr>
      <w:r>
        <w:rPr>
          <w:rStyle w:val="FootnoteReference"/>
        </w:rPr>
        <w:footnoteRef/>
      </w:r>
      <w:r>
        <w:t xml:space="preserve"> eight selected career guidance specialists were trained during March 2016. Of these one left to go abroad and the other seven contracted. Two were then reassigned as job coaches with ESS (job coaches work with the disabled and those with special needs - there are 10 with one coordinator). During April the remaining five career guidance specialists were stationed at Head Office, but were assigned in early May (by SSA Order) to five regional offices (Vake-Saburtalo, Didube-Chigureti, Old Tbilisi, Kvemo-Kartli (Rustavi), and Kakheti (Telavi)). Subsequently another three career guidance specialists have been recruited. Career guidance is offered as a second stage intervention for those jobseekers not successful at finding a job through WorkNet. Jobseekers are classified as Category 1: employed, but seeking a new job, very active at job search or unemployed but active use of database - not in so much need of assistance, but can use services if they want; Category 2: active but recently unemployed, or employed but not so active - provided with assistance e.g. on how to create/promote their CVs; Category 3: not employed for some time, referred to general services, including improved qualifications through training etc.; and Category 4: those with special learning needs, supported by job coaches.</w:t>
      </w:r>
    </w:p>
  </w:footnote>
  <w:footnote w:id="86">
    <w:p w14:paraId="596EDED2" w14:textId="77777777" w:rsidR="005F2D2B" w:rsidRDefault="005F2D2B" w:rsidP="009601AE">
      <w:pPr>
        <w:pStyle w:val="FootnoteText"/>
      </w:pPr>
      <w:r>
        <w:rPr>
          <w:rStyle w:val="FootnoteReference"/>
        </w:rPr>
        <w:footnoteRef/>
      </w:r>
      <w:r>
        <w:t xml:space="preserve"> </w:t>
      </w:r>
      <w:r>
        <w:rPr>
          <w:sz w:val="16"/>
          <w:szCs w:val="16"/>
        </w:rPr>
        <w:t>Work-based learning: acquisition of knowledge and skills through carrying out – and reflecting on – tasks in a vocational context, either at the workplace or in a VET institution. WBL comprehends various forms/models, e.g.: apprenticeships, on-the-job training in companies, practical learning in the school context (in workshops, laboratories, simulated work environment), and internships after graduation. As yet the concept of WBL is undeveloped in Georgia and one of the tasks of the TA support will be to assist the national authorities to elaborate its own understanding of and approach to WBL.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316E5" w14:textId="77777777" w:rsidR="005F2D2B" w:rsidRDefault="005F2D2B">
    <w:pPr>
      <w:pStyle w:val="Header"/>
    </w:pPr>
    <w:r>
      <w:t>Georgia ENP AAP2013 Employment and Vocational Education and Training: Fourth Instalment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BD8DF" w14:textId="77777777" w:rsidR="005F2D2B" w:rsidRDefault="005F2D2B">
    <w:pPr>
      <w:pStyle w:val="Header"/>
    </w:pPr>
    <w:r>
      <w:t>Georgia ENP AAP2013 Employment and Vocational Education and Training: Fourth Instalment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8FC"/>
    <w:multiLevelType w:val="hybridMultilevel"/>
    <w:tmpl w:val="A2F059C8"/>
    <w:lvl w:ilvl="0" w:tplc="A9A21A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A15E78"/>
    <w:multiLevelType w:val="hybridMultilevel"/>
    <w:tmpl w:val="B4DC0B78"/>
    <w:lvl w:ilvl="0" w:tplc="0C0A0001">
      <w:start w:val="1"/>
      <w:numFmt w:val="bullet"/>
      <w:lvlText w:val=""/>
      <w:lvlJc w:val="left"/>
      <w:pPr>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B46A21"/>
    <w:multiLevelType w:val="hybridMultilevel"/>
    <w:tmpl w:val="5F96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A72ED"/>
    <w:multiLevelType w:val="hybridMultilevel"/>
    <w:tmpl w:val="871A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503D55"/>
    <w:multiLevelType w:val="hybridMultilevel"/>
    <w:tmpl w:val="49EA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CD08EC"/>
    <w:multiLevelType w:val="hybridMultilevel"/>
    <w:tmpl w:val="DD6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64619C"/>
    <w:multiLevelType w:val="hybridMultilevel"/>
    <w:tmpl w:val="8384C5FC"/>
    <w:lvl w:ilvl="0" w:tplc="2AF6AB08">
      <w:start w:val="1"/>
      <w:numFmt w:val="bullet"/>
      <w:lvlText w:val=""/>
      <w:lvlJc w:val="left"/>
      <w:pPr>
        <w:tabs>
          <w:tab w:val="num" w:pos="360"/>
        </w:tabs>
        <w:ind w:left="340" w:hanging="340"/>
      </w:pPr>
      <w:rPr>
        <w:rFonts w:ascii="Symbol" w:hAnsi="Symbol" w:cs="Times New Roman" w:hint="default"/>
      </w:rPr>
    </w:lvl>
    <w:lvl w:ilvl="1" w:tplc="DC3EB8DA">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451A92"/>
    <w:multiLevelType w:val="hybridMultilevel"/>
    <w:tmpl w:val="03A4E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777B97"/>
    <w:multiLevelType w:val="hybridMultilevel"/>
    <w:tmpl w:val="53C6476A"/>
    <w:lvl w:ilvl="0" w:tplc="04090001">
      <w:start w:val="1"/>
      <w:numFmt w:val="bullet"/>
      <w:lvlText w:val=""/>
      <w:lvlJc w:val="left"/>
      <w:pPr>
        <w:ind w:left="2433" w:hanging="360"/>
      </w:pPr>
      <w:rPr>
        <w:rFonts w:ascii="Symbol" w:hAnsi="Symbol" w:hint="default"/>
      </w:rPr>
    </w:lvl>
    <w:lvl w:ilvl="1" w:tplc="04090003" w:tentative="1">
      <w:start w:val="1"/>
      <w:numFmt w:val="bullet"/>
      <w:lvlText w:val="o"/>
      <w:lvlJc w:val="left"/>
      <w:pPr>
        <w:ind w:left="3153" w:hanging="360"/>
      </w:pPr>
      <w:rPr>
        <w:rFonts w:ascii="Courier New" w:hAnsi="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9">
    <w:nsid w:val="1A0A38E5"/>
    <w:multiLevelType w:val="hybridMultilevel"/>
    <w:tmpl w:val="E2FEF11E"/>
    <w:lvl w:ilvl="0" w:tplc="F0548AE6">
      <w:start w:val="1"/>
      <w:numFmt w:val="decimal"/>
      <w:lvlText w:val="1.%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030C8A"/>
    <w:multiLevelType w:val="hybridMultilevel"/>
    <w:tmpl w:val="7DE06AF6"/>
    <w:lvl w:ilvl="0" w:tplc="7F1E24F6">
      <w:start w:val="1"/>
      <w:numFmt w:val="decimal"/>
      <w:lvlText w:val="2.%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2320E2"/>
    <w:multiLevelType w:val="hybridMultilevel"/>
    <w:tmpl w:val="FBD23D8C"/>
    <w:lvl w:ilvl="0" w:tplc="047413B8">
      <w:start w:val="1"/>
      <w:numFmt w:val="decimal"/>
      <w:lvlText w:val="3.%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6C0CA0"/>
    <w:multiLevelType w:val="hybridMultilevel"/>
    <w:tmpl w:val="953C8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8850B4"/>
    <w:multiLevelType w:val="hybridMultilevel"/>
    <w:tmpl w:val="7A8CCD44"/>
    <w:lvl w:ilvl="0" w:tplc="0C0A0001">
      <w:start w:val="1"/>
      <w:numFmt w:val="bullet"/>
      <w:lvlText w:val=""/>
      <w:lvlJc w:val="left"/>
      <w:pPr>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2473C2"/>
    <w:multiLevelType w:val="hybridMultilevel"/>
    <w:tmpl w:val="76F65D74"/>
    <w:lvl w:ilvl="0" w:tplc="0C0A0001">
      <w:start w:val="1"/>
      <w:numFmt w:val="bullet"/>
      <w:lvlText w:val=""/>
      <w:lvlJc w:val="left"/>
      <w:pPr>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28591C4A"/>
    <w:multiLevelType w:val="hybridMultilevel"/>
    <w:tmpl w:val="CF489784"/>
    <w:lvl w:ilvl="0" w:tplc="2AF6AB08">
      <w:start w:val="1"/>
      <w:numFmt w:val="bullet"/>
      <w:lvlText w:val=""/>
      <w:lvlJc w:val="left"/>
      <w:pPr>
        <w:tabs>
          <w:tab w:val="num" w:pos="700"/>
        </w:tabs>
        <w:ind w:left="680" w:hanging="340"/>
      </w:pPr>
      <w:rPr>
        <w:rFonts w:ascii="Symbol" w:hAnsi="Symbol" w:cs="Times New Roman"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nsid w:val="293A6017"/>
    <w:multiLevelType w:val="hybridMultilevel"/>
    <w:tmpl w:val="362A544E"/>
    <w:lvl w:ilvl="0" w:tplc="2AF6AB08">
      <w:start w:val="1"/>
      <w:numFmt w:val="bullet"/>
      <w:lvlText w:val=""/>
      <w:lvlJc w:val="left"/>
      <w:pPr>
        <w:tabs>
          <w:tab w:val="num" w:pos="700"/>
        </w:tabs>
        <w:ind w:left="680" w:hanging="340"/>
      </w:pPr>
      <w:rPr>
        <w:rFonts w:ascii="Symbol" w:hAnsi="Symbol" w:cs="Symbol" w:hint="default"/>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Wingdings" w:hAnsi="Wingdings" w:cs="Wingdings" w:hint="default"/>
      </w:rPr>
    </w:lvl>
    <w:lvl w:ilvl="3" w:tplc="04090001">
      <w:start w:val="1"/>
      <w:numFmt w:val="bullet"/>
      <w:lvlText w:val=""/>
      <w:lvlJc w:val="left"/>
      <w:pPr>
        <w:tabs>
          <w:tab w:val="num" w:pos="3220"/>
        </w:tabs>
        <w:ind w:left="3220" w:hanging="360"/>
      </w:pPr>
      <w:rPr>
        <w:rFonts w:ascii="Symbol" w:hAnsi="Symbol" w:cs="Symbol" w:hint="default"/>
      </w:rPr>
    </w:lvl>
    <w:lvl w:ilvl="4" w:tplc="04090003">
      <w:start w:val="1"/>
      <w:numFmt w:val="bullet"/>
      <w:lvlText w:val="o"/>
      <w:lvlJc w:val="left"/>
      <w:pPr>
        <w:tabs>
          <w:tab w:val="num" w:pos="3940"/>
        </w:tabs>
        <w:ind w:left="3940" w:hanging="360"/>
      </w:pPr>
      <w:rPr>
        <w:rFonts w:ascii="Courier New" w:hAnsi="Courier New" w:cs="Courier New" w:hint="default"/>
      </w:rPr>
    </w:lvl>
    <w:lvl w:ilvl="5" w:tplc="04090005">
      <w:start w:val="1"/>
      <w:numFmt w:val="bullet"/>
      <w:lvlText w:val=""/>
      <w:lvlJc w:val="left"/>
      <w:pPr>
        <w:tabs>
          <w:tab w:val="num" w:pos="4660"/>
        </w:tabs>
        <w:ind w:left="4660" w:hanging="360"/>
      </w:pPr>
      <w:rPr>
        <w:rFonts w:ascii="Wingdings" w:hAnsi="Wingdings" w:cs="Wingdings" w:hint="default"/>
      </w:rPr>
    </w:lvl>
    <w:lvl w:ilvl="6" w:tplc="04090001">
      <w:start w:val="1"/>
      <w:numFmt w:val="bullet"/>
      <w:lvlText w:val=""/>
      <w:lvlJc w:val="left"/>
      <w:pPr>
        <w:tabs>
          <w:tab w:val="num" w:pos="5380"/>
        </w:tabs>
        <w:ind w:left="5380" w:hanging="360"/>
      </w:pPr>
      <w:rPr>
        <w:rFonts w:ascii="Symbol" w:hAnsi="Symbol" w:cs="Symbol" w:hint="default"/>
      </w:rPr>
    </w:lvl>
    <w:lvl w:ilvl="7" w:tplc="04090003">
      <w:start w:val="1"/>
      <w:numFmt w:val="bullet"/>
      <w:lvlText w:val="o"/>
      <w:lvlJc w:val="left"/>
      <w:pPr>
        <w:tabs>
          <w:tab w:val="num" w:pos="6100"/>
        </w:tabs>
        <w:ind w:left="6100" w:hanging="360"/>
      </w:pPr>
      <w:rPr>
        <w:rFonts w:ascii="Courier New" w:hAnsi="Courier New" w:cs="Courier New" w:hint="default"/>
      </w:rPr>
    </w:lvl>
    <w:lvl w:ilvl="8" w:tplc="04090005">
      <w:start w:val="1"/>
      <w:numFmt w:val="bullet"/>
      <w:lvlText w:val=""/>
      <w:lvlJc w:val="left"/>
      <w:pPr>
        <w:tabs>
          <w:tab w:val="num" w:pos="6820"/>
        </w:tabs>
        <w:ind w:left="6820" w:hanging="360"/>
      </w:pPr>
      <w:rPr>
        <w:rFonts w:ascii="Wingdings" w:hAnsi="Wingdings" w:cs="Wingdings" w:hint="default"/>
      </w:rPr>
    </w:lvl>
  </w:abstractNum>
  <w:abstractNum w:abstractNumId="17">
    <w:nsid w:val="29EA41CB"/>
    <w:multiLevelType w:val="hybridMultilevel"/>
    <w:tmpl w:val="8CEEEF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B86699C"/>
    <w:multiLevelType w:val="hybridMultilevel"/>
    <w:tmpl w:val="09F432B6"/>
    <w:lvl w:ilvl="0" w:tplc="C0DAE01A">
      <w:start w:val="1"/>
      <w:numFmt w:val="decimal"/>
      <w:lvlText w:val="1.%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C1C57F1"/>
    <w:multiLevelType w:val="hybridMultilevel"/>
    <w:tmpl w:val="1C241842"/>
    <w:lvl w:ilvl="0" w:tplc="2F36A5E2">
      <w:start w:val="1"/>
      <w:numFmt w:val="decimal"/>
      <w:lvlText w:val="3.%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CBB3A43"/>
    <w:multiLevelType w:val="hybridMultilevel"/>
    <w:tmpl w:val="A7F87D9C"/>
    <w:lvl w:ilvl="0" w:tplc="3DFE96EC">
      <w:start w:val="1"/>
      <w:numFmt w:val="decimal"/>
      <w:lvlText w:val="2.%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0737D2"/>
    <w:multiLevelType w:val="hybridMultilevel"/>
    <w:tmpl w:val="8AC65492"/>
    <w:lvl w:ilvl="0" w:tplc="B7CE0F96">
      <w:start w:val="1"/>
      <w:numFmt w:val="decimal"/>
      <w:lvlText w:val="1.%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0817175"/>
    <w:multiLevelType w:val="hybridMultilevel"/>
    <w:tmpl w:val="C42C4090"/>
    <w:lvl w:ilvl="0" w:tplc="FFFFFFFF">
      <w:start w:val="1"/>
      <w:numFmt w:val="bullet"/>
      <w:lvlText w:val=""/>
      <w:lvlJc w:val="left"/>
      <w:pPr>
        <w:ind w:left="720" w:hanging="360"/>
      </w:pPr>
      <w:rPr>
        <w:rFonts w:ascii="Symbol" w:hAnsi="Symbol" w:cs="Times New Roman" w:hint="default"/>
      </w:rPr>
    </w:lvl>
    <w:lvl w:ilvl="1" w:tplc="FFFFFFFF">
      <w:start w:val="1"/>
      <w:numFmt w:val="bullet"/>
      <w:lvlText w:val=""/>
      <w:lvlJc w:val="left"/>
      <w:pPr>
        <w:ind w:left="1440" w:hanging="360"/>
      </w:pPr>
      <w:rPr>
        <w:rFonts w:ascii="Symbol"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43E6391"/>
    <w:multiLevelType w:val="hybridMultilevel"/>
    <w:tmpl w:val="E176092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nsid w:val="37A278D9"/>
    <w:multiLevelType w:val="hybridMultilevel"/>
    <w:tmpl w:val="F348A7D2"/>
    <w:lvl w:ilvl="0" w:tplc="9F3407B0">
      <w:start w:val="1"/>
      <w:numFmt w:val="decimal"/>
      <w:lvlText w:val="2.%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95B2838"/>
    <w:multiLevelType w:val="hybridMultilevel"/>
    <w:tmpl w:val="71821E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9CD3CE4"/>
    <w:multiLevelType w:val="hybridMultilevel"/>
    <w:tmpl w:val="62E217A8"/>
    <w:lvl w:ilvl="0" w:tplc="62388720">
      <w:start w:val="1"/>
      <w:numFmt w:val="decimal"/>
      <w:lvlText w:val="2.%1."/>
      <w:lvlJc w:val="left"/>
      <w:pPr>
        <w:tabs>
          <w:tab w:val="num" w:pos="454"/>
        </w:tabs>
        <w:ind w:left="45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3AA6215A"/>
    <w:multiLevelType w:val="hybridMultilevel"/>
    <w:tmpl w:val="84DA13A4"/>
    <w:lvl w:ilvl="0" w:tplc="2AF6AB08">
      <w:start w:val="1"/>
      <w:numFmt w:val="bullet"/>
      <w:lvlText w:val=""/>
      <w:lvlJc w:val="left"/>
      <w:pPr>
        <w:tabs>
          <w:tab w:val="num" w:pos="717"/>
        </w:tabs>
        <w:ind w:left="697" w:hanging="340"/>
      </w:pPr>
      <w:rPr>
        <w:rFonts w:ascii="Symbol" w:hAnsi="Symbol" w:cs="Symbol" w:hint="default"/>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cs="Wingdings" w:hint="default"/>
      </w:rPr>
    </w:lvl>
    <w:lvl w:ilvl="3" w:tplc="04090001">
      <w:start w:val="1"/>
      <w:numFmt w:val="bullet"/>
      <w:lvlText w:val=""/>
      <w:lvlJc w:val="left"/>
      <w:pPr>
        <w:tabs>
          <w:tab w:val="num" w:pos="3237"/>
        </w:tabs>
        <w:ind w:left="3237" w:hanging="360"/>
      </w:pPr>
      <w:rPr>
        <w:rFonts w:ascii="Symbol" w:hAnsi="Symbol" w:cs="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cs="Wingdings" w:hint="default"/>
      </w:rPr>
    </w:lvl>
    <w:lvl w:ilvl="6" w:tplc="04090001">
      <w:start w:val="1"/>
      <w:numFmt w:val="bullet"/>
      <w:lvlText w:val=""/>
      <w:lvlJc w:val="left"/>
      <w:pPr>
        <w:tabs>
          <w:tab w:val="num" w:pos="5397"/>
        </w:tabs>
        <w:ind w:left="5397" w:hanging="360"/>
      </w:pPr>
      <w:rPr>
        <w:rFonts w:ascii="Symbol" w:hAnsi="Symbol" w:cs="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cs="Wingdings" w:hint="default"/>
      </w:rPr>
    </w:lvl>
  </w:abstractNum>
  <w:abstractNum w:abstractNumId="28">
    <w:nsid w:val="3AF87709"/>
    <w:multiLevelType w:val="hybridMultilevel"/>
    <w:tmpl w:val="C0D2E1B8"/>
    <w:lvl w:ilvl="0" w:tplc="0C0A0001">
      <w:start w:val="1"/>
      <w:numFmt w:val="bullet"/>
      <w:lvlText w:val=""/>
      <w:lvlJc w:val="left"/>
      <w:pPr>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BEA3877"/>
    <w:multiLevelType w:val="hybridMultilevel"/>
    <w:tmpl w:val="E46A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F722EA2"/>
    <w:multiLevelType w:val="hybridMultilevel"/>
    <w:tmpl w:val="0C4C1FF8"/>
    <w:lvl w:ilvl="0" w:tplc="8A44C85A">
      <w:start w:val="1"/>
      <w:numFmt w:val="upperRoman"/>
      <w:pStyle w:val="Heading9"/>
      <w:lvlText w:val="%1."/>
      <w:lvlJc w:val="left"/>
      <w:pPr>
        <w:tabs>
          <w:tab w:val="num" w:pos="1080"/>
        </w:tabs>
        <w:ind w:left="1080" w:hanging="72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42D523E1"/>
    <w:multiLevelType w:val="hybridMultilevel"/>
    <w:tmpl w:val="6C56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31703C0"/>
    <w:multiLevelType w:val="hybridMultilevel"/>
    <w:tmpl w:val="B05C3860"/>
    <w:lvl w:ilvl="0" w:tplc="F9A4B232">
      <w:start w:val="1"/>
      <w:numFmt w:val="decimal"/>
      <w:lvlText w:val="3.%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5284727"/>
    <w:multiLevelType w:val="hybridMultilevel"/>
    <w:tmpl w:val="D9EE2EC4"/>
    <w:lvl w:ilvl="0" w:tplc="85C41C5E">
      <w:start w:val="1"/>
      <w:numFmt w:val="decimal"/>
      <w:lvlText w:val="1.%1."/>
      <w:lvlJc w:val="left"/>
      <w:pPr>
        <w:tabs>
          <w:tab w:val="num" w:pos="454"/>
        </w:tabs>
        <w:ind w:left="45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4">
    <w:nsid w:val="47C46A00"/>
    <w:multiLevelType w:val="hybridMultilevel"/>
    <w:tmpl w:val="C4DCB2D6"/>
    <w:lvl w:ilvl="0" w:tplc="2AF6AB08">
      <w:start w:val="1"/>
      <w:numFmt w:val="bullet"/>
      <w:lvlText w:val=""/>
      <w:lvlJc w:val="left"/>
      <w:pPr>
        <w:tabs>
          <w:tab w:val="num" w:pos="700"/>
        </w:tabs>
        <w:ind w:left="680" w:hanging="340"/>
      </w:pPr>
      <w:rPr>
        <w:rFonts w:ascii="Symbol" w:hAnsi="Symbol" w:cs="Symbol" w:hint="default"/>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Wingdings" w:hAnsi="Wingdings" w:cs="Wingdings" w:hint="default"/>
      </w:rPr>
    </w:lvl>
    <w:lvl w:ilvl="3" w:tplc="04090001">
      <w:start w:val="1"/>
      <w:numFmt w:val="bullet"/>
      <w:lvlText w:val=""/>
      <w:lvlJc w:val="left"/>
      <w:pPr>
        <w:tabs>
          <w:tab w:val="num" w:pos="3220"/>
        </w:tabs>
        <w:ind w:left="3220" w:hanging="360"/>
      </w:pPr>
      <w:rPr>
        <w:rFonts w:ascii="Symbol" w:hAnsi="Symbol" w:cs="Symbol" w:hint="default"/>
      </w:rPr>
    </w:lvl>
    <w:lvl w:ilvl="4" w:tplc="04090003">
      <w:start w:val="1"/>
      <w:numFmt w:val="bullet"/>
      <w:lvlText w:val="o"/>
      <w:lvlJc w:val="left"/>
      <w:pPr>
        <w:tabs>
          <w:tab w:val="num" w:pos="3940"/>
        </w:tabs>
        <w:ind w:left="3940" w:hanging="360"/>
      </w:pPr>
      <w:rPr>
        <w:rFonts w:ascii="Courier New" w:hAnsi="Courier New" w:cs="Courier New" w:hint="default"/>
      </w:rPr>
    </w:lvl>
    <w:lvl w:ilvl="5" w:tplc="04090005">
      <w:start w:val="1"/>
      <w:numFmt w:val="bullet"/>
      <w:lvlText w:val=""/>
      <w:lvlJc w:val="left"/>
      <w:pPr>
        <w:tabs>
          <w:tab w:val="num" w:pos="4660"/>
        </w:tabs>
        <w:ind w:left="4660" w:hanging="360"/>
      </w:pPr>
      <w:rPr>
        <w:rFonts w:ascii="Wingdings" w:hAnsi="Wingdings" w:cs="Wingdings" w:hint="default"/>
      </w:rPr>
    </w:lvl>
    <w:lvl w:ilvl="6" w:tplc="04090001">
      <w:start w:val="1"/>
      <w:numFmt w:val="bullet"/>
      <w:lvlText w:val=""/>
      <w:lvlJc w:val="left"/>
      <w:pPr>
        <w:tabs>
          <w:tab w:val="num" w:pos="5380"/>
        </w:tabs>
        <w:ind w:left="5380" w:hanging="360"/>
      </w:pPr>
      <w:rPr>
        <w:rFonts w:ascii="Symbol" w:hAnsi="Symbol" w:cs="Symbol" w:hint="default"/>
      </w:rPr>
    </w:lvl>
    <w:lvl w:ilvl="7" w:tplc="04090003">
      <w:start w:val="1"/>
      <w:numFmt w:val="bullet"/>
      <w:lvlText w:val="o"/>
      <w:lvlJc w:val="left"/>
      <w:pPr>
        <w:tabs>
          <w:tab w:val="num" w:pos="6100"/>
        </w:tabs>
        <w:ind w:left="6100" w:hanging="360"/>
      </w:pPr>
      <w:rPr>
        <w:rFonts w:ascii="Courier New" w:hAnsi="Courier New" w:cs="Courier New" w:hint="default"/>
      </w:rPr>
    </w:lvl>
    <w:lvl w:ilvl="8" w:tplc="04090005">
      <w:start w:val="1"/>
      <w:numFmt w:val="bullet"/>
      <w:lvlText w:val=""/>
      <w:lvlJc w:val="left"/>
      <w:pPr>
        <w:tabs>
          <w:tab w:val="num" w:pos="6820"/>
        </w:tabs>
        <w:ind w:left="6820" w:hanging="360"/>
      </w:pPr>
      <w:rPr>
        <w:rFonts w:ascii="Wingdings" w:hAnsi="Wingdings" w:cs="Wingdings" w:hint="default"/>
      </w:rPr>
    </w:lvl>
  </w:abstractNum>
  <w:abstractNum w:abstractNumId="35">
    <w:nsid w:val="49737647"/>
    <w:multiLevelType w:val="hybridMultilevel"/>
    <w:tmpl w:val="AC6E6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97A1D93"/>
    <w:multiLevelType w:val="hybridMultilevel"/>
    <w:tmpl w:val="BB16C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D851D0E"/>
    <w:multiLevelType w:val="hybridMultilevel"/>
    <w:tmpl w:val="A46C2C54"/>
    <w:lvl w:ilvl="0" w:tplc="B94286EC">
      <w:start w:val="1"/>
      <w:numFmt w:val="decimal"/>
      <w:lvlText w:val="3.%1."/>
      <w:lvlJc w:val="left"/>
      <w:pPr>
        <w:tabs>
          <w:tab w:val="num" w:pos="454"/>
        </w:tabs>
        <w:ind w:left="45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8">
    <w:nsid w:val="50D6630C"/>
    <w:multiLevelType w:val="hybridMultilevel"/>
    <w:tmpl w:val="FDFE8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21B2462"/>
    <w:multiLevelType w:val="hybridMultilevel"/>
    <w:tmpl w:val="05C6C4A0"/>
    <w:lvl w:ilvl="0" w:tplc="0C0A0001">
      <w:start w:val="1"/>
      <w:numFmt w:val="bullet"/>
      <w:lvlText w:val=""/>
      <w:lvlJc w:val="left"/>
      <w:pPr>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240390C"/>
    <w:multiLevelType w:val="hybridMultilevel"/>
    <w:tmpl w:val="81DC45D6"/>
    <w:lvl w:ilvl="0" w:tplc="2D94DAE8">
      <w:start w:val="1"/>
      <w:numFmt w:val="decimal"/>
      <w:lvlText w:val="3.%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8BB34D8"/>
    <w:multiLevelType w:val="hybridMultilevel"/>
    <w:tmpl w:val="5F6AF17E"/>
    <w:lvl w:ilvl="0" w:tplc="FFFFFFFF">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C846DF6"/>
    <w:multiLevelType w:val="hybridMultilevel"/>
    <w:tmpl w:val="93F6E82C"/>
    <w:lvl w:ilvl="0" w:tplc="62388720">
      <w:start w:val="1"/>
      <w:numFmt w:val="decimal"/>
      <w:lvlText w:val="2.%1."/>
      <w:lvlJc w:val="left"/>
      <w:pPr>
        <w:tabs>
          <w:tab w:val="num" w:pos="454"/>
        </w:tabs>
        <w:ind w:left="45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3">
    <w:nsid w:val="5CE33024"/>
    <w:multiLevelType w:val="hybridMultilevel"/>
    <w:tmpl w:val="104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A01B1D"/>
    <w:multiLevelType w:val="hybridMultilevel"/>
    <w:tmpl w:val="D97E5B44"/>
    <w:lvl w:ilvl="0" w:tplc="0C0A0001">
      <w:start w:val="1"/>
      <w:numFmt w:val="bullet"/>
      <w:lvlText w:val=""/>
      <w:lvlJc w:val="left"/>
      <w:pPr>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3A509BF"/>
    <w:multiLevelType w:val="hybridMultilevel"/>
    <w:tmpl w:val="25E62FEC"/>
    <w:lvl w:ilvl="0" w:tplc="0C0A0001">
      <w:start w:val="1"/>
      <w:numFmt w:val="bullet"/>
      <w:lvlText w:val=""/>
      <w:lvlJc w:val="left"/>
      <w:pPr>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6">
    <w:nsid w:val="65C2020D"/>
    <w:multiLevelType w:val="hybridMultilevel"/>
    <w:tmpl w:val="A580C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6AD4C02"/>
    <w:multiLevelType w:val="hybridMultilevel"/>
    <w:tmpl w:val="3C747C14"/>
    <w:lvl w:ilvl="0" w:tplc="B94286EC">
      <w:start w:val="1"/>
      <w:numFmt w:val="decimal"/>
      <w:lvlText w:val="3.%1."/>
      <w:lvlJc w:val="left"/>
      <w:pPr>
        <w:tabs>
          <w:tab w:val="num" w:pos="454"/>
        </w:tabs>
        <w:ind w:left="45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8">
    <w:nsid w:val="6D3E38FF"/>
    <w:multiLevelType w:val="hybridMultilevel"/>
    <w:tmpl w:val="79623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F6B1B60"/>
    <w:multiLevelType w:val="hybridMultilevel"/>
    <w:tmpl w:val="C0AC3958"/>
    <w:lvl w:ilvl="0" w:tplc="FEF81946">
      <w:start w:val="1"/>
      <w:numFmt w:val="decimal"/>
      <w:lvlText w:val="1.%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35E3B5A"/>
    <w:multiLevelType w:val="hybridMultilevel"/>
    <w:tmpl w:val="C684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4CC1258"/>
    <w:multiLevelType w:val="hybridMultilevel"/>
    <w:tmpl w:val="9C04B82E"/>
    <w:lvl w:ilvl="0" w:tplc="0419000F">
      <w:start w:val="1"/>
      <w:numFmt w:val="decimal"/>
      <w:lvlText w:val="%1."/>
      <w:lvlJc w:val="left"/>
      <w:pPr>
        <w:ind w:left="1260" w:hanging="360"/>
      </w:pPr>
    </w:lvl>
    <w:lvl w:ilvl="1" w:tplc="04190019">
      <w:start w:val="1"/>
      <w:numFmt w:val="lowerLetter"/>
      <w:lvlText w:val="%2."/>
      <w:lvlJc w:val="left"/>
      <w:pPr>
        <w:ind w:left="1980" w:hanging="360"/>
      </w:pPr>
      <w:rPr>
        <w:rFonts w:ascii="Times New Roman" w:hAnsi="Times New Roman" w:cs="Times New Roman"/>
      </w:rPr>
    </w:lvl>
    <w:lvl w:ilvl="2" w:tplc="0419001B">
      <w:start w:val="1"/>
      <w:numFmt w:val="lowerRoman"/>
      <w:lvlText w:val="%3."/>
      <w:lvlJc w:val="right"/>
      <w:pPr>
        <w:ind w:left="2700" w:hanging="180"/>
      </w:pPr>
      <w:rPr>
        <w:rFonts w:ascii="Times New Roman" w:hAnsi="Times New Roman" w:cs="Times New Roman"/>
      </w:rPr>
    </w:lvl>
    <w:lvl w:ilvl="3" w:tplc="0419000F">
      <w:start w:val="1"/>
      <w:numFmt w:val="decimal"/>
      <w:lvlText w:val="%4."/>
      <w:lvlJc w:val="left"/>
      <w:pPr>
        <w:ind w:left="3420" w:hanging="360"/>
      </w:pPr>
      <w:rPr>
        <w:rFonts w:ascii="Times New Roman" w:hAnsi="Times New Roman" w:cs="Times New Roman"/>
      </w:rPr>
    </w:lvl>
    <w:lvl w:ilvl="4" w:tplc="04190019">
      <w:start w:val="1"/>
      <w:numFmt w:val="lowerLetter"/>
      <w:lvlText w:val="%5."/>
      <w:lvlJc w:val="left"/>
      <w:pPr>
        <w:ind w:left="4140" w:hanging="360"/>
      </w:pPr>
      <w:rPr>
        <w:rFonts w:ascii="Times New Roman" w:hAnsi="Times New Roman" w:cs="Times New Roman"/>
      </w:rPr>
    </w:lvl>
    <w:lvl w:ilvl="5" w:tplc="0419001B">
      <w:start w:val="1"/>
      <w:numFmt w:val="lowerRoman"/>
      <w:lvlText w:val="%6."/>
      <w:lvlJc w:val="right"/>
      <w:pPr>
        <w:ind w:left="4860" w:hanging="180"/>
      </w:pPr>
      <w:rPr>
        <w:rFonts w:ascii="Times New Roman" w:hAnsi="Times New Roman" w:cs="Times New Roman"/>
      </w:rPr>
    </w:lvl>
    <w:lvl w:ilvl="6" w:tplc="0419000F">
      <w:start w:val="1"/>
      <w:numFmt w:val="decimal"/>
      <w:lvlText w:val="%7."/>
      <w:lvlJc w:val="left"/>
      <w:pPr>
        <w:ind w:left="5580" w:hanging="360"/>
      </w:pPr>
      <w:rPr>
        <w:rFonts w:ascii="Times New Roman" w:hAnsi="Times New Roman" w:cs="Times New Roman"/>
      </w:rPr>
    </w:lvl>
    <w:lvl w:ilvl="7" w:tplc="04190019">
      <w:start w:val="1"/>
      <w:numFmt w:val="lowerLetter"/>
      <w:lvlText w:val="%8."/>
      <w:lvlJc w:val="left"/>
      <w:pPr>
        <w:ind w:left="6300" w:hanging="360"/>
      </w:pPr>
      <w:rPr>
        <w:rFonts w:ascii="Times New Roman" w:hAnsi="Times New Roman" w:cs="Times New Roman"/>
      </w:rPr>
    </w:lvl>
    <w:lvl w:ilvl="8" w:tplc="0419001B">
      <w:start w:val="1"/>
      <w:numFmt w:val="lowerRoman"/>
      <w:lvlText w:val="%9."/>
      <w:lvlJc w:val="right"/>
      <w:pPr>
        <w:ind w:left="7020" w:hanging="180"/>
      </w:pPr>
      <w:rPr>
        <w:rFonts w:ascii="Times New Roman" w:hAnsi="Times New Roman" w:cs="Times New Roman"/>
      </w:rPr>
    </w:lvl>
  </w:abstractNum>
  <w:abstractNum w:abstractNumId="52">
    <w:nsid w:val="78367740"/>
    <w:multiLevelType w:val="hybridMultilevel"/>
    <w:tmpl w:val="3000C55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3">
    <w:nsid w:val="7A9E5341"/>
    <w:multiLevelType w:val="hybridMultilevel"/>
    <w:tmpl w:val="682E3F46"/>
    <w:lvl w:ilvl="0" w:tplc="85C41C5E">
      <w:start w:val="1"/>
      <w:numFmt w:val="decimal"/>
      <w:lvlText w:val="1.%1."/>
      <w:lvlJc w:val="left"/>
      <w:pPr>
        <w:tabs>
          <w:tab w:val="num" w:pos="454"/>
        </w:tabs>
        <w:ind w:left="45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4">
    <w:nsid w:val="7FD90752"/>
    <w:multiLevelType w:val="hybridMultilevel"/>
    <w:tmpl w:val="5F16284C"/>
    <w:lvl w:ilvl="0" w:tplc="0D06FBE6">
      <w:start w:val="1"/>
      <w:numFmt w:val="decimal"/>
      <w:lvlText w:val="2.%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45"/>
  </w:num>
  <w:num w:numId="3">
    <w:abstractNumId w:val="53"/>
  </w:num>
  <w:num w:numId="4">
    <w:abstractNumId w:val="42"/>
  </w:num>
  <w:num w:numId="5">
    <w:abstractNumId w:val="37"/>
  </w:num>
  <w:num w:numId="6">
    <w:abstractNumId w:val="33"/>
  </w:num>
  <w:num w:numId="7">
    <w:abstractNumId w:val="26"/>
  </w:num>
  <w:num w:numId="8">
    <w:abstractNumId w:val="47"/>
  </w:num>
  <w:num w:numId="9">
    <w:abstractNumId w:val="23"/>
  </w:num>
  <w:num w:numId="10">
    <w:abstractNumId w:val="16"/>
  </w:num>
  <w:num w:numId="11">
    <w:abstractNumId w:val="34"/>
  </w:num>
  <w:num w:numId="12">
    <w:abstractNumId w:val="30"/>
  </w:num>
  <w:num w:numId="13">
    <w:abstractNumId w:val="27"/>
  </w:num>
  <w:num w:numId="14">
    <w:abstractNumId w:val="38"/>
  </w:num>
  <w:num w:numId="15">
    <w:abstractNumId w:val="48"/>
  </w:num>
  <w:num w:numId="16">
    <w:abstractNumId w:val="31"/>
  </w:num>
  <w:num w:numId="17">
    <w:abstractNumId w:val="29"/>
  </w:num>
  <w:num w:numId="18">
    <w:abstractNumId w:val="9"/>
  </w:num>
  <w:num w:numId="19">
    <w:abstractNumId w:val="20"/>
  </w:num>
  <w:num w:numId="20">
    <w:abstractNumId w:val="40"/>
  </w:num>
  <w:num w:numId="21">
    <w:abstractNumId w:val="28"/>
  </w:num>
  <w:num w:numId="22">
    <w:abstractNumId w:val="1"/>
  </w:num>
  <w:num w:numId="23">
    <w:abstractNumId w:val="13"/>
  </w:num>
  <w:num w:numId="24">
    <w:abstractNumId w:val="39"/>
  </w:num>
  <w:num w:numId="25">
    <w:abstractNumId w:val="44"/>
  </w:num>
  <w:num w:numId="26">
    <w:abstractNumId w:val="6"/>
  </w:num>
  <w:num w:numId="27">
    <w:abstractNumId w:val="46"/>
  </w:num>
  <w:num w:numId="28">
    <w:abstractNumId w:val="36"/>
  </w:num>
  <w:num w:numId="29">
    <w:abstractNumId w:val="17"/>
  </w:num>
  <w:num w:numId="30">
    <w:abstractNumId w:val="25"/>
  </w:num>
  <w:num w:numId="31">
    <w:abstractNumId w:val="52"/>
  </w:num>
  <w:num w:numId="32">
    <w:abstractNumId w:val="41"/>
  </w:num>
  <w:num w:numId="33">
    <w:abstractNumId w:val="22"/>
  </w:num>
  <w:num w:numId="34">
    <w:abstractNumId w:val="4"/>
  </w:num>
  <w:num w:numId="35">
    <w:abstractNumId w:val="51"/>
  </w:num>
  <w:num w:numId="36">
    <w:abstractNumId w:val="8"/>
  </w:num>
  <w:num w:numId="37">
    <w:abstractNumId w:val="5"/>
  </w:num>
  <w:num w:numId="38">
    <w:abstractNumId w:val="12"/>
  </w:num>
  <w:num w:numId="39">
    <w:abstractNumId w:val="3"/>
  </w:num>
  <w:num w:numId="40">
    <w:abstractNumId w:val="50"/>
  </w:num>
  <w:num w:numId="41">
    <w:abstractNumId w:val="35"/>
  </w:num>
  <w:num w:numId="42">
    <w:abstractNumId w:val="43"/>
  </w:num>
  <w:num w:numId="43">
    <w:abstractNumId w:val="2"/>
  </w:num>
  <w:num w:numId="44">
    <w:abstractNumId w:val="18"/>
  </w:num>
  <w:num w:numId="45">
    <w:abstractNumId w:val="54"/>
  </w:num>
  <w:num w:numId="46">
    <w:abstractNumId w:val="32"/>
  </w:num>
  <w:num w:numId="47">
    <w:abstractNumId w:val="7"/>
  </w:num>
  <w:num w:numId="48">
    <w:abstractNumId w:val="15"/>
  </w:num>
  <w:num w:numId="49">
    <w:abstractNumId w:val="21"/>
  </w:num>
  <w:num w:numId="50">
    <w:abstractNumId w:val="24"/>
  </w:num>
  <w:num w:numId="51">
    <w:abstractNumId w:val="19"/>
  </w:num>
  <w:num w:numId="52">
    <w:abstractNumId w:val="49"/>
  </w:num>
  <w:num w:numId="53">
    <w:abstractNumId w:val="10"/>
  </w:num>
  <w:num w:numId="54">
    <w:abstractNumId w:val="11"/>
  </w:num>
  <w:num w:numId="55">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601AE"/>
    <w:rsid w:val="00000575"/>
    <w:rsid w:val="000028FA"/>
    <w:rsid w:val="000038EF"/>
    <w:rsid w:val="000063D9"/>
    <w:rsid w:val="00006676"/>
    <w:rsid w:val="00007D00"/>
    <w:rsid w:val="00010CCE"/>
    <w:rsid w:val="00027DAC"/>
    <w:rsid w:val="00031204"/>
    <w:rsid w:val="00031598"/>
    <w:rsid w:val="00035138"/>
    <w:rsid w:val="00036E32"/>
    <w:rsid w:val="0004365E"/>
    <w:rsid w:val="00052A8C"/>
    <w:rsid w:val="000576BE"/>
    <w:rsid w:val="00063121"/>
    <w:rsid w:val="00071400"/>
    <w:rsid w:val="000755DF"/>
    <w:rsid w:val="00083BF0"/>
    <w:rsid w:val="00090231"/>
    <w:rsid w:val="00091B79"/>
    <w:rsid w:val="00096606"/>
    <w:rsid w:val="000B03E7"/>
    <w:rsid w:val="000B3790"/>
    <w:rsid w:val="000C05B3"/>
    <w:rsid w:val="000C760D"/>
    <w:rsid w:val="000E0FCB"/>
    <w:rsid w:val="000E1F90"/>
    <w:rsid w:val="000E3292"/>
    <w:rsid w:val="000E7E3A"/>
    <w:rsid w:val="000F31F3"/>
    <w:rsid w:val="00102F00"/>
    <w:rsid w:val="00104B9C"/>
    <w:rsid w:val="00104E86"/>
    <w:rsid w:val="00105B5C"/>
    <w:rsid w:val="00107454"/>
    <w:rsid w:val="00115DCA"/>
    <w:rsid w:val="00124F4C"/>
    <w:rsid w:val="001271F2"/>
    <w:rsid w:val="00133499"/>
    <w:rsid w:val="0013368E"/>
    <w:rsid w:val="00133BE3"/>
    <w:rsid w:val="00144350"/>
    <w:rsid w:val="00167D2A"/>
    <w:rsid w:val="00174F21"/>
    <w:rsid w:val="0018259E"/>
    <w:rsid w:val="00195CD3"/>
    <w:rsid w:val="001A0083"/>
    <w:rsid w:val="001A029D"/>
    <w:rsid w:val="001A1278"/>
    <w:rsid w:val="001A649B"/>
    <w:rsid w:val="001A68E0"/>
    <w:rsid w:val="001B6D04"/>
    <w:rsid w:val="001D26D9"/>
    <w:rsid w:val="001D6C30"/>
    <w:rsid w:val="001E3C47"/>
    <w:rsid w:val="001E4B79"/>
    <w:rsid w:val="001E5873"/>
    <w:rsid w:val="001F3B53"/>
    <w:rsid w:val="001F5D06"/>
    <w:rsid w:val="00205463"/>
    <w:rsid w:val="00205BD2"/>
    <w:rsid w:val="00207D56"/>
    <w:rsid w:val="00211457"/>
    <w:rsid w:val="00220CDC"/>
    <w:rsid w:val="00221DC6"/>
    <w:rsid w:val="002227B6"/>
    <w:rsid w:val="00222BD2"/>
    <w:rsid w:val="0023046E"/>
    <w:rsid w:val="00233FF2"/>
    <w:rsid w:val="00245B54"/>
    <w:rsid w:val="00250E02"/>
    <w:rsid w:val="00254CE6"/>
    <w:rsid w:val="00254E7F"/>
    <w:rsid w:val="002575F5"/>
    <w:rsid w:val="00261557"/>
    <w:rsid w:val="002679F9"/>
    <w:rsid w:val="002760F2"/>
    <w:rsid w:val="002877B2"/>
    <w:rsid w:val="0029553D"/>
    <w:rsid w:val="002B46C1"/>
    <w:rsid w:val="002C166A"/>
    <w:rsid w:val="002C5715"/>
    <w:rsid w:val="002C70BE"/>
    <w:rsid w:val="002D059F"/>
    <w:rsid w:val="002D0F0A"/>
    <w:rsid w:val="002D2254"/>
    <w:rsid w:val="002D2C5D"/>
    <w:rsid w:val="002E3BE4"/>
    <w:rsid w:val="002E6A42"/>
    <w:rsid w:val="002F01AA"/>
    <w:rsid w:val="002F2B84"/>
    <w:rsid w:val="002F7789"/>
    <w:rsid w:val="00300F3F"/>
    <w:rsid w:val="003020DE"/>
    <w:rsid w:val="003024F1"/>
    <w:rsid w:val="00303FAD"/>
    <w:rsid w:val="00307ADF"/>
    <w:rsid w:val="00313B2D"/>
    <w:rsid w:val="00316CBE"/>
    <w:rsid w:val="00320807"/>
    <w:rsid w:val="00326234"/>
    <w:rsid w:val="00327B00"/>
    <w:rsid w:val="00344583"/>
    <w:rsid w:val="00363F34"/>
    <w:rsid w:val="00365915"/>
    <w:rsid w:val="00370828"/>
    <w:rsid w:val="00374CBE"/>
    <w:rsid w:val="00375687"/>
    <w:rsid w:val="00377A50"/>
    <w:rsid w:val="003853D4"/>
    <w:rsid w:val="00394491"/>
    <w:rsid w:val="00396B76"/>
    <w:rsid w:val="003A0C37"/>
    <w:rsid w:val="003A1018"/>
    <w:rsid w:val="003A2DEB"/>
    <w:rsid w:val="003B168D"/>
    <w:rsid w:val="003B3F4D"/>
    <w:rsid w:val="003C622E"/>
    <w:rsid w:val="003C65AF"/>
    <w:rsid w:val="003D175D"/>
    <w:rsid w:val="003D79FB"/>
    <w:rsid w:val="003E2895"/>
    <w:rsid w:val="003E5E41"/>
    <w:rsid w:val="003F119A"/>
    <w:rsid w:val="0040587C"/>
    <w:rsid w:val="0040762B"/>
    <w:rsid w:val="0041424D"/>
    <w:rsid w:val="00414E56"/>
    <w:rsid w:val="00427DDD"/>
    <w:rsid w:val="00436347"/>
    <w:rsid w:val="00436A4B"/>
    <w:rsid w:val="00437A20"/>
    <w:rsid w:val="00440FA1"/>
    <w:rsid w:val="004439B0"/>
    <w:rsid w:val="0045706D"/>
    <w:rsid w:val="004605FB"/>
    <w:rsid w:val="00460B73"/>
    <w:rsid w:val="00461767"/>
    <w:rsid w:val="0046691B"/>
    <w:rsid w:val="00471008"/>
    <w:rsid w:val="004752D7"/>
    <w:rsid w:val="00475E63"/>
    <w:rsid w:val="00477E00"/>
    <w:rsid w:val="0048377A"/>
    <w:rsid w:val="00491A51"/>
    <w:rsid w:val="00495C2D"/>
    <w:rsid w:val="004B27C7"/>
    <w:rsid w:val="004C0D48"/>
    <w:rsid w:val="004C200E"/>
    <w:rsid w:val="004D2A0E"/>
    <w:rsid w:val="004D7A71"/>
    <w:rsid w:val="004E44A8"/>
    <w:rsid w:val="004E4A92"/>
    <w:rsid w:val="004E543F"/>
    <w:rsid w:val="004E57E4"/>
    <w:rsid w:val="004F716D"/>
    <w:rsid w:val="005017B1"/>
    <w:rsid w:val="00501F98"/>
    <w:rsid w:val="005059E7"/>
    <w:rsid w:val="00506823"/>
    <w:rsid w:val="005127F1"/>
    <w:rsid w:val="00514BB3"/>
    <w:rsid w:val="00532687"/>
    <w:rsid w:val="005333FA"/>
    <w:rsid w:val="005408FA"/>
    <w:rsid w:val="00541B38"/>
    <w:rsid w:val="00553727"/>
    <w:rsid w:val="005537A3"/>
    <w:rsid w:val="00564182"/>
    <w:rsid w:val="00567D5B"/>
    <w:rsid w:val="005715F3"/>
    <w:rsid w:val="00571E83"/>
    <w:rsid w:val="00583972"/>
    <w:rsid w:val="00587CC1"/>
    <w:rsid w:val="0059415D"/>
    <w:rsid w:val="005A25CD"/>
    <w:rsid w:val="005A39CF"/>
    <w:rsid w:val="005A5E70"/>
    <w:rsid w:val="005B274D"/>
    <w:rsid w:val="005D0C65"/>
    <w:rsid w:val="005D5BEA"/>
    <w:rsid w:val="005D5D1E"/>
    <w:rsid w:val="005F1696"/>
    <w:rsid w:val="005F2A71"/>
    <w:rsid w:val="005F2D2B"/>
    <w:rsid w:val="005F36B9"/>
    <w:rsid w:val="005F3D98"/>
    <w:rsid w:val="006053C4"/>
    <w:rsid w:val="00611DAB"/>
    <w:rsid w:val="00612513"/>
    <w:rsid w:val="00616F83"/>
    <w:rsid w:val="00621844"/>
    <w:rsid w:val="00627869"/>
    <w:rsid w:val="006358D0"/>
    <w:rsid w:val="00641609"/>
    <w:rsid w:val="00642FD3"/>
    <w:rsid w:val="00656FDB"/>
    <w:rsid w:val="006607CE"/>
    <w:rsid w:val="006639F1"/>
    <w:rsid w:val="006668A4"/>
    <w:rsid w:val="00675C30"/>
    <w:rsid w:val="0067600A"/>
    <w:rsid w:val="006911D7"/>
    <w:rsid w:val="006A22B0"/>
    <w:rsid w:val="006A47FE"/>
    <w:rsid w:val="006A6E79"/>
    <w:rsid w:val="006B1CD6"/>
    <w:rsid w:val="006B6C56"/>
    <w:rsid w:val="006B72F0"/>
    <w:rsid w:val="006B741E"/>
    <w:rsid w:val="006C64F9"/>
    <w:rsid w:val="006D239A"/>
    <w:rsid w:val="006D52BF"/>
    <w:rsid w:val="006D5C15"/>
    <w:rsid w:val="006D7B13"/>
    <w:rsid w:val="006E2E2C"/>
    <w:rsid w:val="006E3ED6"/>
    <w:rsid w:val="006E3FE0"/>
    <w:rsid w:val="006E5CA2"/>
    <w:rsid w:val="006F3B13"/>
    <w:rsid w:val="006F5F52"/>
    <w:rsid w:val="0070073D"/>
    <w:rsid w:val="007075A1"/>
    <w:rsid w:val="00710732"/>
    <w:rsid w:val="00712584"/>
    <w:rsid w:val="007144F9"/>
    <w:rsid w:val="00716161"/>
    <w:rsid w:val="00724D7C"/>
    <w:rsid w:val="00727151"/>
    <w:rsid w:val="00730CD2"/>
    <w:rsid w:val="0073378C"/>
    <w:rsid w:val="00734301"/>
    <w:rsid w:val="00741C15"/>
    <w:rsid w:val="007422E4"/>
    <w:rsid w:val="00742FAC"/>
    <w:rsid w:val="00755B53"/>
    <w:rsid w:val="0075748E"/>
    <w:rsid w:val="00757F4B"/>
    <w:rsid w:val="00764670"/>
    <w:rsid w:val="00767D43"/>
    <w:rsid w:val="0077533C"/>
    <w:rsid w:val="00775C7E"/>
    <w:rsid w:val="00786199"/>
    <w:rsid w:val="007873A9"/>
    <w:rsid w:val="0078778D"/>
    <w:rsid w:val="0079351B"/>
    <w:rsid w:val="007944DB"/>
    <w:rsid w:val="007A23C1"/>
    <w:rsid w:val="007A2ADA"/>
    <w:rsid w:val="007B3291"/>
    <w:rsid w:val="007B3C5F"/>
    <w:rsid w:val="007B5B1C"/>
    <w:rsid w:val="007C295F"/>
    <w:rsid w:val="007C3821"/>
    <w:rsid w:val="007C4F06"/>
    <w:rsid w:val="007C519A"/>
    <w:rsid w:val="007F3BEF"/>
    <w:rsid w:val="00800FF7"/>
    <w:rsid w:val="00802DA6"/>
    <w:rsid w:val="00803368"/>
    <w:rsid w:val="008036F0"/>
    <w:rsid w:val="00824987"/>
    <w:rsid w:val="00827CF5"/>
    <w:rsid w:val="00830D6F"/>
    <w:rsid w:val="008344A5"/>
    <w:rsid w:val="00844A10"/>
    <w:rsid w:val="00851242"/>
    <w:rsid w:val="008529A6"/>
    <w:rsid w:val="00853D7A"/>
    <w:rsid w:val="00855B50"/>
    <w:rsid w:val="00865BA7"/>
    <w:rsid w:val="00873BB8"/>
    <w:rsid w:val="0087448A"/>
    <w:rsid w:val="00881E4C"/>
    <w:rsid w:val="00886316"/>
    <w:rsid w:val="00894533"/>
    <w:rsid w:val="008A143C"/>
    <w:rsid w:val="008A1DE2"/>
    <w:rsid w:val="008A2762"/>
    <w:rsid w:val="008A573E"/>
    <w:rsid w:val="008A649E"/>
    <w:rsid w:val="008A7B43"/>
    <w:rsid w:val="008B04E5"/>
    <w:rsid w:val="008B21B4"/>
    <w:rsid w:val="008B451F"/>
    <w:rsid w:val="008B4C90"/>
    <w:rsid w:val="008B6897"/>
    <w:rsid w:val="008B69DE"/>
    <w:rsid w:val="008B6DCC"/>
    <w:rsid w:val="008B79DD"/>
    <w:rsid w:val="008C5059"/>
    <w:rsid w:val="008C5594"/>
    <w:rsid w:val="008C629F"/>
    <w:rsid w:val="008D1618"/>
    <w:rsid w:val="008D34DD"/>
    <w:rsid w:val="008D67CE"/>
    <w:rsid w:val="008E3DA4"/>
    <w:rsid w:val="008E4C4E"/>
    <w:rsid w:val="008F78CD"/>
    <w:rsid w:val="00906F4E"/>
    <w:rsid w:val="0091036C"/>
    <w:rsid w:val="00911AA0"/>
    <w:rsid w:val="00912BE5"/>
    <w:rsid w:val="00916FFF"/>
    <w:rsid w:val="009177E0"/>
    <w:rsid w:val="00917908"/>
    <w:rsid w:val="00917D28"/>
    <w:rsid w:val="00921EEA"/>
    <w:rsid w:val="009232BF"/>
    <w:rsid w:val="009274BB"/>
    <w:rsid w:val="00933C96"/>
    <w:rsid w:val="00934FEC"/>
    <w:rsid w:val="009364E5"/>
    <w:rsid w:val="00936712"/>
    <w:rsid w:val="00947FE4"/>
    <w:rsid w:val="009601AE"/>
    <w:rsid w:val="009623C6"/>
    <w:rsid w:val="00965FD0"/>
    <w:rsid w:val="00983211"/>
    <w:rsid w:val="00984599"/>
    <w:rsid w:val="009858D3"/>
    <w:rsid w:val="00985F18"/>
    <w:rsid w:val="009A0A68"/>
    <w:rsid w:val="009A5747"/>
    <w:rsid w:val="009B3513"/>
    <w:rsid w:val="009B5141"/>
    <w:rsid w:val="009C09AE"/>
    <w:rsid w:val="009C3183"/>
    <w:rsid w:val="009C3592"/>
    <w:rsid w:val="009C3E0C"/>
    <w:rsid w:val="009D2042"/>
    <w:rsid w:val="009D28B0"/>
    <w:rsid w:val="009D7AE6"/>
    <w:rsid w:val="009E3730"/>
    <w:rsid w:val="009E5BC5"/>
    <w:rsid w:val="009E7082"/>
    <w:rsid w:val="009F06E3"/>
    <w:rsid w:val="009F1606"/>
    <w:rsid w:val="009F703D"/>
    <w:rsid w:val="00A168E0"/>
    <w:rsid w:val="00A204DC"/>
    <w:rsid w:val="00A2252A"/>
    <w:rsid w:val="00A230E5"/>
    <w:rsid w:val="00A42170"/>
    <w:rsid w:val="00A50FDC"/>
    <w:rsid w:val="00A52331"/>
    <w:rsid w:val="00A5673F"/>
    <w:rsid w:val="00A57443"/>
    <w:rsid w:val="00A57FFC"/>
    <w:rsid w:val="00A62F22"/>
    <w:rsid w:val="00A63DBA"/>
    <w:rsid w:val="00A716A7"/>
    <w:rsid w:val="00A72C0B"/>
    <w:rsid w:val="00A75637"/>
    <w:rsid w:val="00A7683C"/>
    <w:rsid w:val="00A83F72"/>
    <w:rsid w:val="00A856C0"/>
    <w:rsid w:val="00A85E8D"/>
    <w:rsid w:val="00A865F8"/>
    <w:rsid w:val="00A87AC1"/>
    <w:rsid w:val="00A901E0"/>
    <w:rsid w:val="00AB38C8"/>
    <w:rsid w:val="00AB6A04"/>
    <w:rsid w:val="00AC272E"/>
    <w:rsid w:val="00AC6C61"/>
    <w:rsid w:val="00AD090C"/>
    <w:rsid w:val="00AD186B"/>
    <w:rsid w:val="00AD5633"/>
    <w:rsid w:val="00AD7FD7"/>
    <w:rsid w:val="00AE048B"/>
    <w:rsid w:val="00AE0803"/>
    <w:rsid w:val="00AE2455"/>
    <w:rsid w:val="00AE4EF7"/>
    <w:rsid w:val="00AE5F2D"/>
    <w:rsid w:val="00AF7134"/>
    <w:rsid w:val="00AF768E"/>
    <w:rsid w:val="00B0214B"/>
    <w:rsid w:val="00B043FF"/>
    <w:rsid w:val="00B059C2"/>
    <w:rsid w:val="00B05C5E"/>
    <w:rsid w:val="00B2626E"/>
    <w:rsid w:val="00B36E88"/>
    <w:rsid w:val="00B43188"/>
    <w:rsid w:val="00B51AE7"/>
    <w:rsid w:val="00B520E5"/>
    <w:rsid w:val="00B52B12"/>
    <w:rsid w:val="00B53354"/>
    <w:rsid w:val="00B67400"/>
    <w:rsid w:val="00B714DC"/>
    <w:rsid w:val="00B77C81"/>
    <w:rsid w:val="00B81A8D"/>
    <w:rsid w:val="00B82245"/>
    <w:rsid w:val="00B967D5"/>
    <w:rsid w:val="00BA315F"/>
    <w:rsid w:val="00BB094C"/>
    <w:rsid w:val="00BB3122"/>
    <w:rsid w:val="00BC3755"/>
    <w:rsid w:val="00BC534F"/>
    <w:rsid w:val="00BD15A0"/>
    <w:rsid w:val="00BE2F7B"/>
    <w:rsid w:val="00BE33FB"/>
    <w:rsid w:val="00BE3C4B"/>
    <w:rsid w:val="00BE61BD"/>
    <w:rsid w:val="00BF2CC9"/>
    <w:rsid w:val="00BF49B0"/>
    <w:rsid w:val="00BF79D7"/>
    <w:rsid w:val="00C04221"/>
    <w:rsid w:val="00C0646E"/>
    <w:rsid w:val="00C10C64"/>
    <w:rsid w:val="00C209E0"/>
    <w:rsid w:val="00C22070"/>
    <w:rsid w:val="00C258ED"/>
    <w:rsid w:val="00C3085E"/>
    <w:rsid w:val="00C327EB"/>
    <w:rsid w:val="00C35C55"/>
    <w:rsid w:val="00C4309A"/>
    <w:rsid w:val="00C4625F"/>
    <w:rsid w:val="00C76995"/>
    <w:rsid w:val="00C829F2"/>
    <w:rsid w:val="00C82FE2"/>
    <w:rsid w:val="00C842EE"/>
    <w:rsid w:val="00C9072C"/>
    <w:rsid w:val="00C90833"/>
    <w:rsid w:val="00CA078D"/>
    <w:rsid w:val="00CA16DE"/>
    <w:rsid w:val="00CA3A9A"/>
    <w:rsid w:val="00CA3B3D"/>
    <w:rsid w:val="00CB0DEE"/>
    <w:rsid w:val="00CB4B7A"/>
    <w:rsid w:val="00CB523D"/>
    <w:rsid w:val="00CB5247"/>
    <w:rsid w:val="00CB550D"/>
    <w:rsid w:val="00CB637C"/>
    <w:rsid w:val="00CC097B"/>
    <w:rsid w:val="00CC269F"/>
    <w:rsid w:val="00CC7721"/>
    <w:rsid w:val="00CD17DF"/>
    <w:rsid w:val="00CD2B7A"/>
    <w:rsid w:val="00CD548C"/>
    <w:rsid w:val="00CF3784"/>
    <w:rsid w:val="00CF5FCE"/>
    <w:rsid w:val="00CF7BA2"/>
    <w:rsid w:val="00D02A62"/>
    <w:rsid w:val="00D117E2"/>
    <w:rsid w:val="00D17AF0"/>
    <w:rsid w:val="00D2079E"/>
    <w:rsid w:val="00D30D39"/>
    <w:rsid w:val="00D318EB"/>
    <w:rsid w:val="00D330E9"/>
    <w:rsid w:val="00D401FE"/>
    <w:rsid w:val="00D415D7"/>
    <w:rsid w:val="00D42E4E"/>
    <w:rsid w:val="00D4599B"/>
    <w:rsid w:val="00D54F03"/>
    <w:rsid w:val="00D60656"/>
    <w:rsid w:val="00D61D69"/>
    <w:rsid w:val="00D700E0"/>
    <w:rsid w:val="00D73BD1"/>
    <w:rsid w:val="00D75C4A"/>
    <w:rsid w:val="00D767C7"/>
    <w:rsid w:val="00D831D9"/>
    <w:rsid w:val="00D841A3"/>
    <w:rsid w:val="00D903F7"/>
    <w:rsid w:val="00D92DA1"/>
    <w:rsid w:val="00D957FC"/>
    <w:rsid w:val="00D9590A"/>
    <w:rsid w:val="00DA0C9C"/>
    <w:rsid w:val="00DB06D2"/>
    <w:rsid w:val="00DB08EE"/>
    <w:rsid w:val="00DB1F82"/>
    <w:rsid w:val="00DB26FF"/>
    <w:rsid w:val="00DB36B7"/>
    <w:rsid w:val="00DC29D1"/>
    <w:rsid w:val="00DC6C96"/>
    <w:rsid w:val="00DC6CAA"/>
    <w:rsid w:val="00DD372E"/>
    <w:rsid w:val="00DD6EDD"/>
    <w:rsid w:val="00DE0597"/>
    <w:rsid w:val="00DE373B"/>
    <w:rsid w:val="00DE794D"/>
    <w:rsid w:val="00DE7B4B"/>
    <w:rsid w:val="00DE7F96"/>
    <w:rsid w:val="00DF1876"/>
    <w:rsid w:val="00DF3FD8"/>
    <w:rsid w:val="00DF6C50"/>
    <w:rsid w:val="00E02CDA"/>
    <w:rsid w:val="00E03F71"/>
    <w:rsid w:val="00E139C4"/>
    <w:rsid w:val="00E307BF"/>
    <w:rsid w:val="00E31DED"/>
    <w:rsid w:val="00E32C94"/>
    <w:rsid w:val="00E435BC"/>
    <w:rsid w:val="00E52DA1"/>
    <w:rsid w:val="00E55184"/>
    <w:rsid w:val="00E57387"/>
    <w:rsid w:val="00E70C29"/>
    <w:rsid w:val="00E75D1F"/>
    <w:rsid w:val="00E75FBF"/>
    <w:rsid w:val="00E81345"/>
    <w:rsid w:val="00E8769A"/>
    <w:rsid w:val="00E87F5E"/>
    <w:rsid w:val="00E93885"/>
    <w:rsid w:val="00EA606A"/>
    <w:rsid w:val="00EB08C9"/>
    <w:rsid w:val="00EB2741"/>
    <w:rsid w:val="00EB4A98"/>
    <w:rsid w:val="00EB7229"/>
    <w:rsid w:val="00EC3426"/>
    <w:rsid w:val="00ED6DEF"/>
    <w:rsid w:val="00EE1F45"/>
    <w:rsid w:val="00EE2A06"/>
    <w:rsid w:val="00EE4A09"/>
    <w:rsid w:val="00EE66E6"/>
    <w:rsid w:val="00EE6E40"/>
    <w:rsid w:val="00EF7D74"/>
    <w:rsid w:val="00F059A5"/>
    <w:rsid w:val="00F076FA"/>
    <w:rsid w:val="00F117EF"/>
    <w:rsid w:val="00F14F45"/>
    <w:rsid w:val="00F20EA3"/>
    <w:rsid w:val="00F27A15"/>
    <w:rsid w:val="00F3012F"/>
    <w:rsid w:val="00F31120"/>
    <w:rsid w:val="00F36F38"/>
    <w:rsid w:val="00F36F62"/>
    <w:rsid w:val="00F411CF"/>
    <w:rsid w:val="00F46037"/>
    <w:rsid w:val="00F46A5A"/>
    <w:rsid w:val="00F46EEE"/>
    <w:rsid w:val="00F47B1A"/>
    <w:rsid w:val="00F47ED3"/>
    <w:rsid w:val="00F56006"/>
    <w:rsid w:val="00F62306"/>
    <w:rsid w:val="00F62DDD"/>
    <w:rsid w:val="00F65A17"/>
    <w:rsid w:val="00F7209F"/>
    <w:rsid w:val="00F80698"/>
    <w:rsid w:val="00F84FD8"/>
    <w:rsid w:val="00F92DB8"/>
    <w:rsid w:val="00FA756F"/>
    <w:rsid w:val="00FB5143"/>
    <w:rsid w:val="00FB5419"/>
    <w:rsid w:val="00FC413C"/>
    <w:rsid w:val="00FC56B3"/>
    <w:rsid w:val="00FC71BC"/>
    <w:rsid w:val="00FC7A50"/>
    <w:rsid w:val="00FD2EA3"/>
    <w:rsid w:val="00FD3C17"/>
    <w:rsid w:val="00FD4F50"/>
    <w:rsid w:val="00FE178D"/>
    <w:rsid w:val="00FF1C24"/>
    <w:rsid w:val="00FF43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82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D3"/>
    <w:rPr>
      <w:rFonts w:eastAsiaTheme="minorEastAsia" w:cstheme="minorBidi"/>
    </w:rPr>
  </w:style>
  <w:style w:type="paragraph" w:styleId="Heading1">
    <w:name w:val="heading 1"/>
    <w:aliases w:val="(Text),RR level 1"/>
    <w:basedOn w:val="Normal"/>
    <w:next w:val="Normal"/>
    <w:link w:val="Heading1Char"/>
    <w:uiPriority w:val="99"/>
    <w:qFormat/>
    <w:rsid w:val="00642FD3"/>
    <w:pPr>
      <w:contextualSpacing/>
      <w:outlineLvl w:val="0"/>
    </w:pPr>
    <w:rPr>
      <w:rFonts w:eastAsiaTheme="majorEastAsia" w:cstheme="majorBidi"/>
      <w:b/>
      <w:bCs/>
      <w:sz w:val="28"/>
      <w:szCs w:val="28"/>
    </w:rPr>
  </w:style>
  <w:style w:type="paragraph" w:styleId="Heading2">
    <w:name w:val="heading 2"/>
    <w:aliases w:val="Char Char"/>
    <w:basedOn w:val="Normal"/>
    <w:next w:val="Normal"/>
    <w:link w:val="Heading2Char"/>
    <w:uiPriority w:val="99"/>
    <w:unhideWhenUsed/>
    <w:qFormat/>
    <w:rsid w:val="00642FD3"/>
    <w:pPr>
      <w:outlineLvl w:val="1"/>
    </w:pPr>
    <w:rPr>
      <w:rFonts w:eastAsiaTheme="majorEastAsia" w:cstheme="majorBidi"/>
      <w:b/>
      <w:bCs/>
      <w:i/>
      <w:sz w:val="24"/>
      <w:szCs w:val="26"/>
    </w:rPr>
  </w:style>
  <w:style w:type="paragraph" w:styleId="Heading3">
    <w:name w:val="heading 3"/>
    <w:basedOn w:val="Normal"/>
    <w:next w:val="Normal"/>
    <w:link w:val="Heading3Char"/>
    <w:uiPriority w:val="99"/>
    <w:unhideWhenUsed/>
    <w:qFormat/>
    <w:rsid w:val="00642FD3"/>
    <w:pPr>
      <w:outlineLvl w:val="2"/>
    </w:pPr>
    <w:rPr>
      <w:rFonts w:eastAsiaTheme="majorEastAsia" w:cstheme="majorBidi"/>
      <w:b/>
      <w:bCs/>
    </w:rPr>
  </w:style>
  <w:style w:type="paragraph" w:styleId="Heading4">
    <w:name w:val="heading 4"/>
    <w:basedOn w:val="Normal"/>
    <w:next w:val="Normal"/>
    <w:link w:val="Heading4Char"/>
    <w:autoRedefine/>
    <w:uiPriority w:val="99"/>
    <w:qFormat/>
    <w:rsid w:val="009601AE"/>
    <w:pPr>
      <w:keepNext/>
      <w:widowControl w:val="0"/>
      <w:autoSpaceDE w:val="0"/>
      <w:autoSpaceDN w:val="0"/>
      <w:outlineLvl w:val="3"/>
    </w:pPr>
    <w:rPr>
      <w:rFonts w:eastAsia="Times New Roman" w:cs="Arial"/>
      <w:b/>
      <w:bCs/>
      <w:i/>
      <w:iCs/>
    </w:rPr>
  </w:style>
  <w:style w:type="paragraph" w:styleId="Heading5">
    <w:name w:val="heading 5"/>
    <w:basedOn w:val="Normal"/>
    <w:next w:val="Normal"/>
    <w:link w:val="Heading5Char"/>
    <w:autoRedefine/>
    <w:uiPriority w:val="99"/>
    <w:qFormat/>
    <w:rsid w:val="009601AE"/>
    <w:pPr>
      <w:keepNext/>
      <w:widowControl w:val="0"/>
      <w:autoSpaceDE w:val="0"/>
      <w:autoSpaceDN w:val="0"/>
      <w:outlineLvl w:val="4"/>
    </w:pPr>
    <w:rPr>
      <w:rFonts w:eastAsia="Times New Roman" w:cs="Arial"/>
      <w:b/>
      <w:bCs/>
    </w:rPr>
  </w:style>
  <w:style w:type="paragraph" w:styleId="Heading6">
    <w:name w:val="heading 6"/>
    <w:basedOn w:val="Normal"/>
    <w:next w:val="Normal"/>
    <w:link w:val="Heading6Char"/>
    <w:autoRedefine/>
    <w:uiPriority w:val="99"/>
    <w:qFormat/>
    <w:rsid w:val="009601AE"/>
    <w:pPr>
      <w:keepNext/>
      <w:widowControl w:val="0"/>
      <w:autoSpaceDE w:val="0"/>
      <w:autoSpaceDN w:val="0"/>
      <w:outlineLvl w:val="5"/>
    </w:pPr>
    <w:rPr>
      <w:rFonts w:eastAsia="Times New Roman" w:cs="Arial"/>
      <w:b/>
      <w:bCs/>
    </w:rPr>
  </w:style>
  <w:style w:type="paragraph" w:styleId="Heading7">
    <w:name w:val="heading 7"/>
    <w:basedOn w:val="Normal"/>
    <w:next w:val="Normal"/>
    <w:link w:val="Heading7Char"/>
    <w:uiPriority w:val="99"/>
    <w:qFormat/>
    <w:rsid w:val="009601AE"/>
    <w:pPr>
      <w:keepNext/>
      <w:widowControl w:val="0"/>
      <w:autoSpaceDE w:val="0"/>
      <w:autoSpaceDN w:val="0"/>
      <w:jc w:val="center"/>
      <w:outlineLvl w:val="6"/>
    </w:pPr>
    <w:rPr>
      <w:rFonts w:eastAsia="Times New Roman" w:cs="Arial"/>
      <w:b/>
      <w:bCs/>
      <w:sz w:val="28"/>
      <w:szCs w:val="28"/>
    </w:rPr>
  </w:style>
  <w:style w:type="paragraph" w:styleId="Heading9">
    <w:name w:val="heading 9"/>
    <w:basedOn w:val="Normal"/>
    <w:next w:val="Normal"/>
    <w:link w:val="Heading9Char"/>
    <w:uiPriority w:val="99"/>
    <w:qFormat/>
    <w:rsid w:val="009601AE"/>
    <w:pPr>
      <w:keepNext/>
      <w:widowControl w:val="0"/>
      <w:numPr>
        <w:numId w:val="12"/>
      </w:numPr>
      <w:ind w:left="0" w:firstLine="0"/>
      <w:outlineLvl w:val="8"/>
    </w:pPr>
    <w:rPr>
      <w:rFonts w:eastAsia="Times New Roman" w:cs="Arial"/>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xt) Char1,RR level 1 Char1"/>
    <w:basedOn w:val="DefaultParagraphFont"/>
    <w:link w:val="Heading1"/>
    <w:uiPriority w:val="9"/>
    <w:rsid w:val="00642FD3"/>
    <w:rPr>
      <w:rFonts w:eastAsiaTheme="majorEastAsia" w:cstheme="majorBidi"/>
      <w:b/>
      <w:bCs/>
      <w:sz w:val="28"/>
      <w:szCs w:val="28"/>
    </w:rPr>
  </w:style>
  <w:style w:type="character" w:customStyle="1" w:styleId="Heading2Char">
    <w:name w:val="Heading 2 Char"/>
    <w:aliases w:val="Char Char Char"/>
    <w:basedOn w:val="DefaultParagraphFont"/>
    <w:link w:val="Heading2"/>
    <w:uiPriority w:val="9"/>
    <w:semiHidden/>
    <w:rsid w:val="00642FD3"/>
    <w:rPr>
      <w:rFonts w:eastAsiaTheme="majorEastAsia" w:cstheme="majorBidi"/>
      <w:b/>
      <w:bCs/>
      <w:i/>
      <w:sz w:val="24"/>
      <w:szCs w:val="26"/>
    </w:rPr>
  </w:style>
  <w:style w:type="character" w:customStyle="1" w:styleId="Heading3Char">
    <w:name w:val="Heading 3 Char"/>
    <w:basedOn w:val="DefaultParagraphFont"/>
    <w:link w:val="Heading3"/>
    <w:uiPriority w:val="9"/>
    <w:semiHidden/>
    <w:rsid w:val="00642FD3"/>
    <w:rPr>
      <w:rFonts w:eastAsiaTheme="majorEastAsia" w:cstheme="majorBidi"/>
      <w:b/>
      <w:bCs/>
    </w:rPr>
  </w:style>
  <w:style w:type="character" w:customStyle="1" w:styleId="Heading4Char">
    <w:name w:val="Heading 4 Char"/>
    <w:basedOn w:val="DefaultParagraphFont"/>
    <w:link w:val="Heading4"/>
    <w:uiPriority w:val="99"/>
    <w:rsid w:val="009601AE"/>
    <w:rPr>
      <w:rFonts w:eastAsia="Times New Roman"/>
      <w:b/>
      <w:bCs/>
      <w:i/>
      <w:iCs/>
    </w:rPr>
  </w:style>
  <w:style w:type="character" w:customStyle="1" w:styleId="Heading5Char">
    <w:name w:val="Heading 5 Char"/>
    <w:basedOn w:val="DefaultParagraphFont"/>
    <w:link w:val="Heading5"/>
    <w:uiPriority w:val="99"/>
    <w:rsid w:val="009601AE"/>
    <w:rPr>
      <w:rFonts w:eastAsia="Times New Roman"/>
      <w:b/>
      <w:bCs/>
    </w:rPr>
  </w:style>
  <w:style w:type="character" w:customStyle="1" w:styleId="Heading6Char">
    <w:name w:val="Heading 6 Char"/>
    <w:basedOn w:val="DefaultParagraphFont"/>
    <w:link w:val="Heading6"/>
    <w:uiPriority w:val="99"/>
    <w:rsid w:val="009601AE"/>
    <w:rPr>
      <w:rFonts w:eastAsia="Times New Roman"/>
      <w:b/>
      <w:bCs/>
    </w:rPr>
  </w:style>
  <w:style w:type="character" w:customStyle="1" w:styleId="Heading7Char">
    <w:name w:val="Heading 7 Char"/>
    <w:basedOn w:val="DefaultParagraphFont"/>
    <w:link w:val="Heading7"/>
    <w:uiPriority w:val="99"/>
    <w:rsid w:val="009601AE"/>
    <w:rPr>
      <w:rFonts w:eastAsia="Times New Roman"/>
      <w:b/>
      <w:bCs/>
      <w:sz w:val="28"/>
      <w:szCs w:val="28"/>
    </w:rPr>
  </w:style>
  <w:style w:type="character" w:customStyle="1" w:styleId="Heading9Char">
    <w:name w:val="Heading 9 Char"/>
    <w:basedOn w:val="DefaultParagraphFont"/>
    <w:link w:val="Heading9"/>
    <w:uiPriority w:val="99"/>
    <w:rsid w:val="009601AE"/>
    <w:rPr>
      <w:rFonts w:eastAsia="Times New Roman"/>
      <w:b/>
      <w:bCs/>
      <w:lang w:eastAsia="ru-RU"/>
    </w:rPr>
  </w:style>
  <w:style w:type="paragraph" w:styleId="TOC1">
    <w:name w:val="toc 1"/>
    <w:basedOn w:val="Normal"/>
    <w:next w:val="Normal"/>
    <w:autoRedefine/>
    <w:uiPriority w:val="39"/>
    <w:rsid w:val="00830D6F"/>
    <w:pPr>
      <w:widowControl w:val="0"/>
      <w:tabs>
        <w:tab w:val="left" w:pos="440"/>
        <w:tab w:val="right" w:leader="dot" w:pos="9016"/>
      </w:tabs>
      <w:autoSpaceDE w:val="0"/>
      <w:autoSpaceDN w:val="0"/>
    </w:pPr>
    <w:rPr>
      <w:rFonts w:eastAsia="Times New Roman" w:cs="Arial"/>
    </w:rPr>
  </w:style>
  <w:style w:type="paragraph" w:styleId="TOC2">
    <w:name w:val="toc 2"/>
    <w:basedOn w:val="Normal"/>
    <w:next w:val="Normal"/>
    <w:autoRedefine/>
    <w:uiPriority w:val="39"/>
    <w:unhideWhenUsed/>
    <w:rsid w:val="00830D6F"/>
    <w:pPr>
      <w:ind w:left="221"/>
    </w:pPr>
  </w:style>
  <w:style w:type="paragraph" w:styleId="TOC3">
    <w:name w:val="toc 3"/>
    <w:basedOn w:val="Normal"/>
    <w:next w:val="Normal"/>
    <w:autoRedefine/>
    <w:uiPriority w:val="39"/>
    <w:unhideWhenUsed/>
    <w:rsid w:val="00830D6F"/>
    <w:pPr>
      <w:tabs>
        <w:tab w:val="left" w:pos="880"/>
        <w:tab w:val="right" w:leader="dot" w:pos="9016"/>
      </w:tabs>
      <w:ind w:left="442"/>
    </w:pPr>
  </w:style>
  <w:style w:type="character" w:customStyle="1" w:styleId="Heading1Char1">
    <w:name w:val="Heading 1 Char1"/>
    <w:aliases w:val="Heading 1 Char Char,(Text) Char,RR level 1 Char"/>
    <w:uiPriority w:val="9"/>
    <w:rsid w:val="009601AE"/>
    <w:rPr>
      <w:rFonts w:ascii="Cambria" w:eastAsia="Times New Roman" w:hAnsi="Cambria" w:cs="Times New Roman"/>
      <w:b/>
      <w:bCs/>
      <w:kern w:val="32"/>
      <w:sz w:val="32"/>
      <w:szCs w:val="32"/>
      <w:lang w:eastAsia="en-US"/>
    </w:rPr>
  </w:style>
  <w:style w:type="paragraph" w:styleId="FootnoteText">
    <w:name w:val="footnote text"/>
    <w:aliases w:val="single space,fn,Текст сноски Знак,Footnote Text Char Char Char,ft,Footnote Text Char Char Char Char Char Char Char Char Char Char,Footnote Text Char Char Char Char Char Char Char Char Char Char Char Char,f,footnote text"/>
    <w:basedOn w:val="Normal"/>
    <w:link w:val="FootnoteTextChar1"/>
    <w:rsid w:val="009601AE"/>
    <w:pPr>
      <w:widowControl w:val="0"/>
      <w:autoSpaceDE w:val="0"/>
      <w:autoSpaceDN w:val="0"/>
    </w:pPr>
    <w:rPr>
      <w:rFonts w:eastAsia="Times New Roman" w:cs="Arial"/>
      <w:sz w:val="20"/>
      <w:szCs w:val="20"/>
    </w:rPr>
  </w:style>
  <w:style w:type="character" w:customStyle="1" w:styleId="FootnoteTextChar1">
    <w:name w:val="Footnote Text Char1"/>
    <w:aliases w:val="single space Char,fn Char,Текст сноски Знак Char,Footnote Text Char Char Char Char,ft Char,Footnote Text Char Char Char Char Char Char Char Char Char Char Char,f Char,footnote text Char"/>
    <w:link w:val="FootnoteText"/>
    <w:uiPriority w:val="99"/>
    <w:rsid w:val="009601AE"/>
    <w:rPr>
      <w:rFonts w:eastAsia="Times New Roman"/>
      <w:sz w:val="20"/>
      <w:szCs w:val="20"/>
    </w:rPr>
  </w:style>
  <w:style w:type="character" w:customStyle="1" w:styleId="FootnoteTextChar">
    <w:name w:val="Footnote Text Char"/>
    <w:basedOn w:val="DefaultParagraphFont"/>
    <w:uiPriority w:val="99"/>
    <w:semiHidden/>
    <w:rsid w:val="009601AE"/>
    <w:rPr>
      <w:rFonts w:eastAsiaTheme="minorEastAsia" w:cstheme="minorBidi"/>
      <w:sz w:val="20"/>
      <w:szCs w:val="20"/>
    </w:rPr>
  </w:style>
  <w:style w:type="character" w:styleId="FootnoteReference">
    <w:name w:val="footnote reference"/>
    <w:aliases w:val="ftref,Ref,de nota al pie,4_G,BVI fnr,16 Point,Superscript 6 Point,nota pié di pagina,callout,Footnotes refss"/>
    <w:rsid w:val="009601AE"/>
    <w:rPr>
      <w:rFonts w:ascii="Arial" w:hAnsi="Arial" w:cs="Arial"/>
      <w:sz w:val="20"/>
      <w:szCs w:val="20"/>
      <w:vertAlign w:val="superscript"/>
    </w:rPr>
  </w:style>
  <w:style w:type="paragraph" w:styleId="Header">
    <w:name w:val="header"/>
    <w:basedOn w:val="Normal"/>
    <w:link w:val="HeaderChar"/>
    <w:uiPriority w:val="99"/>
    <w:rsid w:val="009601AE"/>
    <w:pPr>
      <w:widowControl w:val="0"/>
      <w:tabs>
        <w:tab w:val="center" w:pos="4320"/>
        <w:tab w:val="right" w:pos="8640"/>
      </w:tabs>
      <w:autoSpaceDE w:val="0"/>
      <w:autoSpaceDN w:val="0"/>
      <w:jc w:val="right"/>
    </w:pPr>
    <w:rPr>
      <w:rFonts w:eastAsia="Times New Roman" w:cs="Arial"/>
      <w:sz w:val="20"/>
      <w:szCs w:val="20"/>
    </w:rPr>
  </w:style>
  <w:style w:type="character" w:customStyle="1" w:styleId="HeaderChar">
    <w:name w:val="Header Char"/>
    <w:basedOn w:val="DefaultParagraphFont"/>
    <w:link w:val="Header"/>
    <w:uiPriority w:val="99"/>
    <w:rsid w:val="009601AE"/>
    <w:rPr>
      <w:rFonts w:eastAsia="Times New Roman"/>
      <w:sz w:val="20"/>
      <w:szCs w:val="20"/>
    </w:rPr>
  </w:style>
  <w:style w:type="paragraph" w:styleId="Footer">
    <w:name w:val="footer"/>
    <w:basedOn w:val="Normal"/>
    <w:link w:val="FooterChar"/>
    <w:uiPriority w:val="99"/>
    <w:rsid w:val="009601AE"/>
    <w:pPr>
      <w:widowControl w:val="0"/>
      <w:tabs>
        <w:tab w:val="center" w:pos="4320"/>
        <w:tab w:val="right" w:pos="8640"/>
      </w:tabs>
      <w:autoSpaceDE w:val="0"/>
      <w:autoSpaceDN w:val="0"/>
    </w:pPr>
    <w:rPr>
      <w:rFonts w:eastAsia="Times New Roman" w:cs="Arial"/>
      <w:sz w:val="20"/>
      <w:szCs w:val="20"/>
    </w:rPr>
  </w:style>
  <w:style w:type="character" w:customStyle="1" w:styleId="FooterChar">
    <w:name w:val="Footer Char"/>
    <w:basedOn w:val="DefaultParagraphFont"/>
    <w:link w:val="Footer"/>
    <w:uiPriority w:val="99"/>
    <w:rsid w:val="009601AE"/>
    <w:rPr>
      <w:rFonts w:eastAsia="Times New Roman"/>
      <w:sz w:val="20"/>
      <w:szCs w:val="20"/>
    </w:rPr>
  </w:style>
  <w:style w:type="paragraph" w:styleId="TOC4">
    <w:name w:val="toc 4"/>
    <w:basedOn w:val="Normal"/>
    <w:next w:val="Normal"/>
    <w:autoRedefine/>
    <w:uiPriority w:val="99"/>
    <w:rsid w:val="009601AE"/>
    <w:pPr>
      <w:widowControl w:val="0"/>
      <w:autoSpaceDE w:val="0"/>
      <w:autoSpaceDN w:val="0"/>
      <w:ind w:left="660"/>
    </w:pPr>
    <w:rPr>
      <w:rFonts w:eastAsia="Times New Roman" w:cs="Arial"/>
    </w:rPr>
  </w:style>
  <w:style w:type="paragraph" w:styleId="TOC5">
    <w:name w:val="toc 5"/>
    <w:basedOn w:val="Normal"/>
    <w:next w:val="Normal"/>
    <w:autoRedefine/>
    <w:uiPriority w:val="99"/>
    <w:rsid w:val="009601AE"/>
    <w:pPr>
      <w:widowControl w:val="0"/>
      <w:autoSpaceDE w:val="0"/>
      <w:autoSpaceDN w:val="0"/>
      <w:ind w:left="880"/>
    </w:pPr>
    <w:rPr>
      <w:rFonts w:eastAsia="Times New Roman" w:cs="Arial"/>
    </w:rPr>
  </w:style>
  <w:style w:type="paragraph" w:styleId="TOC6">
    <w:name w:val="toc 6"/>
    <w:basedOn w:val="Normal"/>
    <w:next w:val="Normal"/>
    <w:autoRedefine/>
    <w:uiPriority w:val="99"/>
    <w:rsid w:val="009601AE"/>
    <w:pPr>
      <w:widowControl w:val="0"/>
      <w:autoSpaceDE w:val="0"/>
      <w:autoSpaceDN w:val="0"/>
      <w:ind w:left="1100"/>
    </w:pPr>
    <w:rPr>
      <w:rFonts w:eastAsia="Times New Roman" w:cs="Arial"/>
    </w:rPr>
  </w:style>
  <w:style w:type="paragraph" w:styleId="TOC7">
    <w:name w:val="toc 7"/>
    <w:basedOn w:val="Normal"/>
    <w:next w:val="Normal"/>
    <w:autoRedefine/>
    <w:uiPriority w:val="99"/>
    <w:rsid w:val="009601AE"/>
    <w:pPr>
      <w:widowControl w:val="0"/>
      <w:autoSpaceDE w:val="0"/>
      <w:autoSpaceDN w:val="0"/>
      <w:ind w:left="1320"/>
    </w:pPr>
    <w:rPr>
      <w:rFonts w:eastAsia="Times New Roman" w:cs="Arial"/>
    </w:rPr>
  </w:style>
  <w:style w:type="paragraph" w:styleId="TOC8">
    <w:name w:val="toc 8"/>
    <w:basedOn w:val="Normal"/>
    <w:next w:val="Normal"/>
    <w:autoRedefine/>
    <w:uiPriority w:val="99"/>
    <w:rsid w:val="009601AE"/>
    <w:pPr>
      <w:widowControl w:val="0"/>
      <w:autoSpaceDE w:val="0"/>
      <w:autoSpaceDN w:val="0"/>
      <w:ind w:left="1540"/>
    </w:pPr>
    <w:rPr>
      <w:rFonts w:eastAsia="Times New Roman" w:cs="Arial"/>
    </w:rPr>
  </w:style>
  <w:style w:type="paragraph" w:styleId="TOC9">
    <w:name w:val="toc 9"/>
    <w:basedOn w:val="Normal"/>
    <w:next w:val="Normal"/>
    <w:autoRedefine/>
    <w:uiPriority w:val="99"/>
    <w:rsid w:val="009601AE"/>
    <w:pPr>
      <w:widowControl w:val="0"/>
      <w:autoSpaceDE w:val="0"/>
      <w:autoSpaceDN w:val="0"/>
      <w:ind w:left="1760"/>
    </w:pPr>
    <w:rPr>
      <w:rFonts w:eastAsia="Times New Roman" w:cs="Arial"/>
    </w:rPr>
  </w:style>
  <w:style w:type="character" w:styleId="PageNumber">
    <w:name w:val="page number"/>
    <w:uiPriority w:val="99"/>
    <w:rsid w:val="009601AE"/>
    <w:rPr>
      <w:rFonts w:ascii="Arial" w:hAnsi="Arial" w:cs="Arial"/>
      <w:sz w:val="20"/>
      <w:szCs w:val="20"/>
    </w:rPr>
  </w:style>
  <w:style w:type="character" w:styleId="Hyperlink">
    <w:name w:val="Hyperlink"/>
    <w:uiPriority w:val="99"/>
    <w:rsid w:val="009601AE"/>
    <w:rPr>
      <w:rFonts w:ascii="Arial" w:hAnsi="Arial" w:cs="Arial"/>
      <w:i/>
      <w:iCs/>
      <w:color w:val="0000FF"/>
      <w:sz w:val="20"/>
      <w:szCs w:val="20"/>
      <w:u w:val="single"/>
    </w:rPr>
  </w:style>
  <w:style w:type="character" w:customStyle="1" w:styleId="a">
    <w:name w:val="Основной текст_"/>
    <w:link w:val="a0"/>
    <w:locked/>
    <w:rsid w:val="009601AE"/>
    <w:rPr>
      <w:rFonts w:ascii="Times New Roman" w:eastAsia="Times New Roman" w:hAnsi="Times New Roman" w:cs="Times New Roman"/>
      <w:shd w:val="clear" w:color="auto" w:fill="FFFFFF"/>
    </w:rPr>
  </w:style>
  <w:style w:type="paragraph" w:customStyle="1" w:styleId="a0">
    <w:name w:val="Основной текст"/>
    <w:basedOn w:val="Normal"/>
    <w:link w:val="a"/>
    <w:rsid w:val="009601AE"/>
    <w:pPr>
      <w:widowControl w:val="0"/>
      <w:shd w:val="clear" w:color="auto" w:fill="FFFFFF"/>
      <w:spacing w:before="780" w:after="180" w:line="312" w:lineRule="exact"/>
      <w:ind w:hanging="360"/>
    </w:pPr>
    <w:rPr>
      <w:rFonts w:ascii="Times New Roman" w:eastAsia="Times New Roman" w:hAnsi="Times New Roman" w:cs="Times New Roman"/>
    </w:rPr>
  </w:style>
  <w:style w:type="paragraph" w:styleId="BodyText2">
    <w:name w:val="Body Text 2"/>
    <w:basedOn w:val="Normal"/>
    <w:link w:val="BodyText2Char"/>
    <w:semiHidden/>
    <w:rsid w:val="009601AE"/>
    <w:pPr>
      <w:spacing w:after="120" w:line="480" w:lineRule="auto"/>
    </w:pPr>
    <w:rPr>
      <w:rFonts w:ascii="Calibri" w:eastAsia="Times New Roman" w:hAnsi="Calibri" w:cs="Times New Roman"/>
      <w:szCs w:val="24"/>
    </w:rPr>
  </w:style>
  <w:style w:type="character" w:customStyle="1" w:styleId="BodyText2Char">
    <w:name w:val="Body Text 2 Char"/>
    <w:basedOn w:val="DefaultParagraphFont"/>
    <w:link w:val="BodyText2"/>
    <w:semiHidden/>
    <w:rsid w:val="009601AE"/>
    <w:rPr>
      <w:rFonts w:ascii="Calibri" w:eastAsia="Times New Roman" w:hAnsi="Calibri" w:cs="Times New Roman"/>
      <w:szCs w:val="24"/>
    </w:rPr>
  </w:style>
  <w:style w:type="table" w:styleId="TableGrid">
    <w:name w:val="Table Grid"/>
    <w:basedOn w:val="TableNormal"/>
    <w:uiPriority w:val="59"/>
    <w:rsid w:val="009601AE"/>
    <w:pPr>
      <w:jc w:val="left"/>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9601AE"/>
    <w:pPr>
      <w:spacing w:line="259" w:lineRule="auto"/>
      <w:ind w:left="720"/>
      <w:contextualSpacing/>
      <w:jc w:val="left"/>
    </w:pPr>
    <w:rPr>
      <w:rFonts w:ascii="Calibri" w:eastAsia="Calibri" w:hAnsi="Calibri" w:cs="Times New Roman"/>
    </w:rPr>
  </w:style>
  <w:style w:type="paragraph" w:styleId="CommentText">
    <w:name w:val="annotation text"/>
    <w:basedOn w:val="Normal"/>
    <w:link w:val="CommentTextChar"/>
    <w:uiPriority w:val="99"/>
    <w:unhideWhenUsed/>
    <w:rsid w:val="006E2E2C"/>
    <w:pPr>
      <w:widowControl w:val="0"/>
      <w:autoSpaceDE w:val="0"/>
      <w:autoSpaceDN w:val="0"/>
    </w:pPr>
    <w:rPr>
      <w:rFonts w:eastAsia="Times New Roman" w:cs="Arial"/>
      <w:sz w:val="24"/>
      <w:szCs w:val="24"/>
    </w:rPr>
  </w:style>
  <w:style w:type="character" w:customStyle="1" w:styleId="CommentTextChar">
    <w:name w:val="Comment Text Char"/>
    <w:basedOn w:val="DefaultParagraphFont"/>
    <w:link w:val="CommentText"/>
    <w:uiPriority w:val="99"/>
    <w:rsid w:val="006E2E2C"/>
    <w:rPr>
      <w:rFonts w:eastAsia="Times New Roman"/>
      <w:sz w:val="24"/>
      <w:szCs w:val="24"/>
    </w:rPr>
  </w:style>
  <w:style w:type="paragraph" w:styleId="BalloonText">
    <w:name w:val="Balloon Text"/>
    <w:basedOn w:val="Normal"/>
    <w:link w:val="BalloonTextChar"/>
    <w:uiPriority w:val="99"/>
    <w:semiHidden/>
    <w:unhideWhenUsed/>
    <w:rsid w:val="005408FA"/>
    <w:rPr>
      <w:rFonts w:ascii="Tahoma" w:hAnsi="Tahoma" w:cs="Tahoma"/>
      <w:sz w:val="16"/>
      <w:szCs w:val="16"/>
    </w:rPr>
  </w:style>
  <w:style w:type="character" w:customStyle="1" w:styleId="BalloonTextChar">
    <w:name w:val="Balloon Text Char"/>
    <w:basedOn w:val="DefaultParagraphFont"/>
    <w:link w:val="BalloonText"/>
    <w:uiPriority w:val="99"/>
    <w:semiHidden/>
    <w:rsid w:val="005408FA"/>
    <w:rPr>
      <w:rFonts w:ascii="Tahoma" w:eastAsiaTheme="minorEastAsia" w:hAnsi="Tahoma" w:cs="Tahoma"/>
      <w:sz w:val="16"/>
      <w:szCs w:val="16"/>
    </w:rPr>
  </w:style>
  <w:style w:type="paragraph" w:styleId="NoSpacing">
    <w:name w:val="No Spacing"/>
    <w:uiPriority w:val="1"/>
    <w:qFormat/>
    <w:rsid w:val="00FD2EA3"/>
    <w:pPr>
      <w:widowControl w:val="0"/>
      <w:autoSpaceDE w:val="0"/>
      <w:autoSpaceDN w:val="0"/>
    </w:pPr>
    <w:rPr>
      <w:rFonts w:eastAsia="Times New Roman"/>
    </w:rPr>
  </w:style>
  <w:style w:type="paragraph" w:customStyle="1" w:styleId="1">
    <w:name w:val="Основной текст1"/>
    <w:basedOn w:val="Normal"/>
    <w:rsid w:val="00FD2EA3"/>
    <w:pPr>
      <w:widowControl w:val="0"/>
      <w:shd w:val="clear" w:color="auto" w:fill="FFFFFF"/>
      <w:spacing w:before="780" w:after="180" w:line="312" w:lineRule="exact"/>
      <w:ind w:hanging="360"/>
    </w:pPr>
    <w:rPr>
      <w:rFonts w:ascii="Times New Roman" w:eastAsia="Times New Roman" w:hAnsi="Times New Roman" w:cs="Times New Roman"/>
      <w:color w:val="000000"/>
      <w:lang w:val="de-DE" w:eastAsia="en-GB"/>
    </w:rPr>
  </w:style>
  <w:style w:type="character" w:customStyle="1" w:styleId="SimSun">
    <w:name w:val="Основной текст + SimSun"/>
    <w:aliases w:val="6.5 pt,Курсив"/>
    <w:rsid w:val="00FD2EA3"/>
    <w:rPr>
      <w:rFonts w:ascii="SimSun" w:eastAsia="SimSun" w:hAnsi="SimSun" w:cs="SimSun"/>
      <w:b w:val="0"/>
      <w:bCs w:val="0"/>
      <w:i/>
      <w:iCs/>
      <w:smallCaps w:val="0"/>
      <w:strike w:val="0"/>
      <w:color w:val="000000"/>
      <w:spacing w:val="0"/>
      <w:w w:val="100"/>
      <w:position w:val="0"/>
      <w:sz w:val="13"/>
      <w:szCs w:val="13"/>
      <w:u w:val="none"/>
      <w:shd w:val="clear" w:color="auto" w:fill="FFFFFF"/>
      <w:lang w:val="de-DE"/>
    </w:rPr>
  </w:style>
  <w:style w:type="paragraph" w:customStyle="1" w:styleId="Default">
    <w:name w:val="Default"/>
    <w:rsid w:val="00FD2EA3"/>
    <w:pPr>
      <w:autoSpaceDE w:val="0"/>
      <w:autoSpaceDN w:val="0"/>
      <w:adjustRightInd w:val="0"/>
      <w:jc w:val="left"/>
    </w:pPr>
    <w:rPr>
      <w:rFonts w:ascii="Calibri" w:eastAsia="Times New Roman" w:hAnsi="Calibri" w:cs="Calibri"/>
      <w:color w:val="000000"/>
      <w:sz w:val="24"/>
      <w:szCs w:val="24"/>
      <w:lang w:eastAsia="en-GB"/>
    </w:rPr>
  </w:style>
  <w:style w:type="paragraph" w:customStyle="1" w:styleId="yiv0622078881msonormal">
    <w:name w:val="yiv0622078881msonormal"/>
    <w:basedOn w:val="Normal"/>
    <w:rsid w:val="00FD2EA3"/>
    <w:pPr>
      <w:suppressAutoHyphens/>
      <w:autoSpaceDN w:val="0"/>
      <w:spacing w:before="100" w:after="100"/>
      <w:jc w:val="left"/>
      <w:textAlignment w:val="baseline"/>
    </w:pPr>
    <w:rPr>
      <w:rFonts w:ascii="Times New Roman" w:eastAsia="Times New Roman" w:hAnsi="Times New Roman" w:cs="Times New Roman"/>
      <w:sz w:val="24"/>
      <w:szCs w:val="24"/>
      <w:lang w:eastAsia="en-GB"/>
    </w:rPr>
  </w:style>
  <w:style w:type="character" w:customStyle="1" w:styleId="yiv0622078881msohyperlink">
    <w:name w:val="yiv0622078881msohyperlink"/>
    <w:rsid w:val="00FD2EA3"/>
  </w:style>
  <w:style w:type="paragraph" w:customStyle="1" w:styleId="yiv0622078881msolistparagraph">
    <w:name w:val="yiv0622078881msolistparagraph"/>
    <w:basedOn w:val="Normal"/>
    <w:rsid w:val="00FD2EA3"/>
    <w:pPr>
      <w:suppressAutoHyphens/>
      <w:autoSpaceDN w:val="0"/>
      <w:spacing w:before="100" w:after="100"/>
      <w:jc w:val="left"/>
      <w:textAlignment w:val="baseline"/>
    </w:pPr>
    <w:rPr>
      <w:rFonts w:ascii="Times New Roman" w:eastAsia="Times New Roman" w:hAnsi="Times New Roman" w:cs="Times New Roman"/>
      <w:sz w:val="24"/>
      <w:szCs w:val="24"/>
      <w:lang w:eastAsia="en-GB"/>
    </w:rPr>
  </w:style>
  <w:style w:type="paragraph" w:customStyle="1" w:styleId="BodySingle">
    <w:name w:val="Body Single"/>
    <w:basedOn w:val="Normal"/>
    <w:uiPriority w:val="99"/>
    <w:rsid w:val="00FD2EA3"/>
    <w:pPr>
      <w:tabs>
        <w:tab w:val="left" w:pos="1440"/>
        <w:tab w:val="left" w:pos="7560"/>
      </w:tabs>
      <w:autoSpaceDE w:val="0"/>
      <w:autoSpaceDN w:val="0"/>
      <w:adjustRightInd w:val="0"/>
      <w:spacing w:before="120"/>
      <w:ind w:left="360" w:hanging="360"/>
      <w:jc w:val="left"/>
    </w:pPr>
    <w:rPr>
      <w:rFonts w:ascii="Times New Roman" w:eastAsia="Times New Roman" w:hAnsi="Times New Roman" w:cs="Times New Roman"/>
      <w:sz w:val="24"/>
      <w:szCs w:val="20"/>
      <w:lang w:val="en-US"/>
    </w:rPr>
  </w:style>
  <w:style w:type="character" w:customStyle="1" w:styleId="FootnoteTextChar2">
    <w:name w:val="Footnote Text Char2"/>
    <w:aliases w:val="single space Char1,fn Char1,Footnote Text Char Char1,Текст сноски Знак Char1,Footnote Text Char Char Char Char1,ft Char1,Footnote Text Char Char Char Char Char Char Char Char Char Char Char1,f Char1"/>
    <w:basedOn w:val="DefaultParagraphFont"/>
    <w:uiPriority w:val="99"/>
    <w:rsid w:val="005B274D"/>
    <w:rPr>
      <w:rFonts w:ascii="Arial" w:hAnsi="Arial" w:cs="Arial"/>
      <w:sz w:val="20"/>
      <w:szCs w:val="20"/>
      <w:lang w:eastAsia="en-US"/>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99"/>
    <w:locked/>
    <w:rsid w:val="00F36F62"/>
    <w:rPr>
      <w:rFonts w:ascii="Calibri" w:eastAsia="Calibri" w:hAnsi="Calibri" w:cs="Times New Roman"/>
    </w:rPr>
  </w:style>
  <w:style w:type="paragraph" w:styleId="BodyText">
    <w:name w:val="Body Text"/>
    <w:basedOn w:val="Normal"/>
    <w:link w:val="BodyTextChar"/>
    <w:unhideWhenUsed/>
    <w:rsid w:val="00394491"/>
    <w:pPr>
      <w:spacing w:after="120"/>
    </w:pPr>
  </w:style>
  <w:style w:type="character" w:customStyle="1" w:styleId="BodyTextChar">
    <w:name w:val="Body Text Char"/>
    <w:basedOn w:val="DefaultParagraphFont"/>
    <w:link w:val="BodyText"/>
    <w:rsid w:val="00394491"/>
    <w:rPr>
      <w:rFonts w:eastAsiaTheme="minorEastAsia" w:cstheme="minorBidi"/>
    </w:rPr>
  </w:style>
  <w:style w:type="paragraph" w:styleId="NormalWeb">
    <w:name w:val="Normal (Web)"/>
    <w:basedOn w:val="Normal"/>
    <w:rsid w:val="00394491"/>
    <w:pPr>
      <w:spacing w:before="100" w:beforeAutospacing="1" w:after="100" w:afterAutospacing="1"/>
      <w:jc w:val="left"/>
    </w:pPr>
    <w:rPr>
      <w:rFonts w:ascii="Times New Roman" w:eastAsia="Times New Roman" w:hAnsi="Times New Roman" w:cs="Times New Roman"/>
      <w:sz w:val="24"/>
      <w:szCs w:val="24"/>
      <w:lang w:val="en-US"/>
    </w:rPr>
  </w:style>
  <w:style w:type="paragraph" w:customStyle="1" w:styleId="ListeParagraf">
    <w:name w:val="Liste Paragraf"/>
    <w:basedOn w:val="Normal"/>
    <w:uiPriority w:val="34"/>
    <w:qFormat/>
    <w:rsid w:val="00394491"/>
    <w:pPr>
      <w:ind w:left="720"/>
      <w:jc w:val="left"/>
    </w:pPr>
    <w:rPr>
      <w:rFonts w:ascii="Cambria" w:eastAsia="MS Mincho" w:hAnsi="Cambria" w:cs="Times New Roman"/>
      <w:sz w:val="24"/>
      <w:szCs w:val="24"/>
    </w:rPr>
  </w:style>
  <w:style w:type="character" w:customStyle="1" w:styleId="Gvdemetni">
    <w:name w:val="Gövde metni"/>
    <w:rsid w:val="00394491"/>
    <w:rPr>
      <w:rFonts w:ascii="Times New Roman" w:eastAsia="Times New Roman" w:hAnsi="Times New Roman" w:cs="Times New Roman"/>
      <w:b w:val="0"/>
      <w:bCs w:val="0"/>
      <w:i w:val="0"/>
      <w:iCs w:val="0"/>
      <w:smallCaps w:val="0"/>
      <w:strike w:val="0"/>
      <w:spacing w:val="0"/>
      <w:sz w:val="20"/>
      <w:szCs w:val="20"/>
      <w:u w:val="single"/>
    </w:rPr>
  </w:style>
  <w:style w:type="table" w:styleId="LightList-Accent4">
    <w:name w:val="Light List Accent 4"/>
    <w:basedOn w:val="TableNormal"/>
    <w:uiPriority w:val="61"/>
    <w:rsid w:val="006B72F0"/>
    <w:pPr>
      <w:jc w:val="left"/>
    </w:pPr>
    <w:rPr>
      <w:rFonts w:asciiTheme="minorHAnsi" w:hAnsiTheme="minorHAnsi" w:cstheme="minorBidi"/>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GridTable5DarkAccent1">
    <w:name w:val="Grid Table 5 Dark Accent 1"/>
    <w:basedOn w:val="TableNormal"/>
    <w:uiPriority w:val="50"/>
    <w:rsid w:val="005F2D2B"/>
    <w:pPr>
      <w:jc w:val="left"/>
    </w:pPr>
    <w:rPr>
      <w:rFonts w:ascii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5">
    <w:name w:val="Grid Table 5 Dark Accent 5"/>
    <w:basedOn w:val="TableNormal"/>
    <w:uiPriority w:val="50"/>
    <w:rsid w:val="005F2D2B"/>
    <w:pPr>
      <w:jc w:val="left"/>
    </w:pPr>
    <w:rPr>
      <w:rFonts w:ascii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D3"/>
    <w:rPr>
      <w:rFonts w:eastAsiaTheme="minorEastAsia" w:cstheme="minorBidi"/>
    </w:rPr>
  </w:style>
  <w:style w:type="paragraph" w:styleId="Heading1">
    <w:name w:val="heading 1"/>
    <w:aliases w:val="(Text),RR level 1"/>
    <w:basedOn w:val="Normal"/>
    <w:next w:val="Normal"/>
    <w:link w:val="Heading1Char"/>
    <w:uiPriority w:val="99"/>
    <w:qFormat/>
    <w:rsid w:val="00642FD3"/>
    <w:pPr>
      <w:contextualSpacing/>
      <w:outlineLvl w:val="0"/>
    </w:pPr>
    <w:rPr>
      <w:rFonts w:eastAsiaTheme="majorEastAsia" w:cstheme="majorBidi"/>
      <w:b/>
      <w:bCs/>
      <w:sz w:val="28"/>
      <w:szCs w:val="28"/>
    </w:rPr>
  </w:style>
  <w:style w:type="paragraph" w:styleId="Heading2">
    <w:name w:val="heading 2"/>
    <w:aliases w:val="Char Char"/>
    <w:basedOn w:val="Normal"/>
    <w:next w:val="Normal"/>
    <w:link w:val="Heading2Char"/>
    <w:uiPriority w:val="99"/>
    <w:unhideWhenUsed/>
    <w:qFormat/>
    <w:rsid w:val="00642FD3"/>
    <w:pPr>
      <w:outlineLvl w:val="1"/>
    </w:pPr>
    <w:rPr>
      <w:rFonts w:eastAsiaTheme="majorEastAsia" w:cstheme="majorBidi"/>
      <w:b/>
      <w:bCs/>
      <w:i/>
      <w:sz w:val="24"/>
      <w:szCs w:val="26"/>
    </w:rPr>
  </w:style>
  <w:style w:type="paragraph" w:styleId="Heading3">
    <w:name w:val="heading 3"/>
    <w:basedOn w:val="Normal"/>
    <w:next w:val="Normal"/>
    <w:link w:val="Heading3Char"/>
    <w:uiPriority w:val="99"/>
    <w:unhideWhenUsed/>
    <w:qFormat/>
    <w:rsid w:val="00642FD3"/>
    <w:pPr>
      <w:outlineLvl w:val="2"/>
    </w:pPr>
    <w:rPr>
      <w:rFonts w:eastAsiaTheme="majorEastAsia" w:cstheme="majorBidi"/>
      <w:b/>
      <w:bCs/>
    </w:rPr>
  </w:style>
  <w:style w:type="paragraph" w:styleId="Heading4">
    <w:name w:val="heading 4"/>
    <w:basedOn w:val="Normal"/>
    <w:next w:val="Normal"/>
    <w:link w:val="Heading4Char"/>
    <w:autoRedefine/>
    <w:uiPriority w:val="99"/>
    <w:qFormat/>
    <w:rsid w:val="009601AE"/>
    <w:pPr>
      <w:keepNext/>
      <w:widowControl w:val="0"/>
      <w:autoSpaceDE w:val="0"/>
      <w:autoSpaceDN w:val="0"/>
      <w:outlineLvl w:val="3"/>
    </w:pPr>
    <w:rPr>
      <w:rFonts w:eastAsia="Times New Roman" w:cs="Arial"/>
      <w:b/>
      <w:bCs/>
      <w:i/>
      <w:iCs/>
    </w:rPr>
  </w:style>
  <w:style w:type="paragraph" w:styleId="Heading5">
    <w:name w:val="heading 5"/>
    <w:basedOn w:val="Normal"/>
    <w:next w:val="Normal"/>
    <w:link w:val="Heading5Char"/>
    <w:autoRedefine/>
    <w:uiPriority w:val="99"/>
    <w:qFormat/>
    <w:rsid w:val="009601AE"/>
    <w:pPr>
      <w:keepNext/>
      <w:widowControl w:val="0"/>
      <w:autoSpaceDE w:val="0"/>
      <w:autoSpaceDN w:val="0"/>
      <w:outlineLvl w:val="4"/>
    </w:pPr>
    <w:rPr>
      <w:rFonts w:eastAsia="Times New Roman" w:cs="Arial"/>
      <w:b/>
      <w:bCs/>
    </w:rPr>
  </w:style>
  <w:style w:type="paragraph" w:styleId="Heading6">
    <w:name w:val="heading 6"/>
    <w:basedOn w:val="Normal"/>
    <w:next w:val="Normal"/>
    <w:link w:val="Heading6Char"/>
    <w:autoRedefine/>
    <w:uiPriority w:val="99"/>
    <w:qFormat/>
    <w:rsid w:val="009601AE"/>
    <w:pPr>
      <w:keepNext/>
      <w:widowControl w:val="0"/>
      <w:autoSpaceDE w:val="0"/>
      <w:autoSpaceDN w:val="0"/>
      <w:outlineLvl w:val="5"/>
    </w:pPr>
    <w:rPr>
      <w:rFonts w:eastAsia="Times New Roman" w:cs="Arial"/>
      <w:b/>
      <w:bCs/>
    </w:rPr>
  </w:style>
  <w:style w:type="paragraph" w:styleId="Heading7">
    <w:name w:val="heading 7"/>
    <w:basedOn w:val="Normal"/>
    <w:next w:val="Normal"/>
    <w:link w:val="Heading7Char"/>
    <w:uiPriority w:val="99"/>
    <w:qFormat/>
    <w:rsid w:val="009601AE"/>
    <w:pPr>
      <w:keepNext/>
      <w:widowControl w:val="0"/>
      <w:autoSpaceDE w:val="0"/>
      <w:autoSpaceDN w:val="0"/>
      <w:jc w:val="center"/>
      <w:outlineLvl w:val="6"/>
    </w:pPr>
    <w:rPr>
      <w:rFonts w:eastAsia="Times New Roman" w:cs="Arial"/>
      <w:b/>
      <w:bCs/>
      <w:sz w:val="28"/>
      <w:szCs w:val="28"/>
    </w:rPr>
  </w:style>
  <w:style w:type="paragraph" w:styleId="Heading9">
    <w:name w:val="heading 9"/>
    <w:basedOn w:val="Normal"/>
    <w:next w:val="Normal"/>
    <w:link w:val="Heading9Char"/>
    <w:uiPriority w:val="99"/>
    <w:qFormat/>
    <w:rsid w:val="009601AE"/>
    <w:pPr>
      <w:keepNext/>
      <w:widowControl w:val="0"/>
      <w:numPr>
        <w:numId w:val="12"/>
      </w:numPr>
      <w:ind w:left="0" w:firstLine="0"/>
      <w:outlineLvl w:val="8"/>
    </w:pPr>
    <w:rPr>
      <w:rFonts w:eastAsia="Times New Roman" w:cs="Arial"/>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xt) Char1,RR level 1 Char1"/>
    <w:basedOn w:val="DefaultParagraphFont"/>
    <w:link w:val="Heading1"/>
    <w:uiPriority w:val="9"/>
    <w:rsid w:val="00642FD3"/>
    <w:rPr>
      <w:rFonts w:eastAsiaTheme="majorEastAsia" w:cstheme="majorBidi"/>
      <w:b/>
      <w:bCs/>
      <w:sz w:val="28"/>
      <w:szCs w:val="28"/>
    </w:rPr>
  </w:style>
  <w:style w:type="character" w:customStyle="1" w:styleId="Heading2Char">
    <w:name w:val="Heading 2 Char"/>
    <w:aliases w:val="Char Char Char"/>
    <w:basedOn w:val="DefaultParagraphFont"/>
    <w:link w:val="Heading2"/>
    <w:uiPriority w:val="9"/>
    <w:semiHidden/>
    <w:rsid w:val="00642FD3"/>
    <w:rPr>
      <w:rFonts w:eastAsiaTheme="majorEastAsia" w:cstheme="majorBidi"/>
      <w:b/>
      <w:bCs/>
      <w:i/>
      <w:sz w:val="24"/>
      <w:szCs w:val="26"/>
    </w:rPr>
  </w:style>
  <w:style w:type="character" w:customStyle="1" w:styleId="Heading3Char">
    <w:name w:val="Heading 3 Char"/>
    <w:basedOn w:val="DefaultParagraphFont"/>
    <w:link w:val="Heading3"/>
    <w:uiPriority w:val="9"/>
    <w:semiHidden/>
    <w:rsid w:val="00642FD3"/>
    <w:rPr>
      <w:rFonts w:eastAsiaTheme="majorEastAsia" w:cstheme="majorBidi"/>
      <w:b/>
      <w:bCs/>
    </w:rPr>
  </w:style>
  <w:style w:type="character" w:customStyle="1" w:styleId="Heading4Char">
    <w:name w:val="Heading 4 Char"/>
    <w:basedOn w:val="DefaultParagraphFont"/>
    <w:link w:val="Heading4"/>
    <w:uiPriority w:val="99"/>
    <w:rsid w:val="009601AE"/>
    <w:rPr>
      <w:rFonts w:eastAsia="Times New Roman"/>
      <w:b/>
      <w:bCs/>
      <w:i/>
      <w:iCs/>
    </w:rPr>
  </w:style>
  <w:style w:type="character" w:customStyle="1" w:styleId="Heading5Char">
    <w:name w:val="Heading 5 Char"/>
    <w:basedOn w:val="DefaultParagraphFont"/>
    <w:link w:val="Heading5"/>
    <w:uiPriority w:val="99"/>
    <w:rsid w:val="009601AE"/>
    <w:rPr>
      <w:rFonts w:eastAsia="Times New Roman"/>
      <w:b/>
      <w:bCs/>
    </w:rPr>
  </w:style>
  <w:style w:type="character" w:customStyle="1" w:styleId="Heading6Char">
    <w:name w:val="Heading 6 Char"/>
    <w:basedOn w:val="DefaultParagraphFont"/>
    <w:link w:val="Heading6"/>
    <w:uiPriority w:val="99"/>
    <w:rsid w:val="009601AE"/>
    <w:rPr>
      <w:rFonts w:eastAsia="Times New Roman"/>
      <w:b/>
      <w:bCs/>
    </w:rPr>
  </w:style>
  <w:style w:type="character" w:customStyle="1" w:styleId="Heading7Char">
    <w:name w:val="Heading 7 Char"/>
    <w:basedOn w:val="DefaultParagraphFont"/>
    <w:link w:val="Heading7"/>
    <w:uiPriority w:val="99"/>
    <w:rsid w:val="009601AE"/>
    <w:rPr>
      <w:rFonts w:eastAsia="Times New Roman"/>
      <w:b/>
      <w:bCs/>
      <w:sz w:val="28"/>
      <w:szCs w:val="28"/>
    </w:rPr>
  </w:style>
  <w:style w:type="character" w:customStyle="1" w:styleId="Heading9Char">
    <w:name w:val="Heading 9 Char"/>
    <w:basedOn w:val="DefaultParagraphFont"/>
    <w:link w:val="Heading9"/>
    <w:uiPriority w:val="99"/>
    <w:rsid w:val="009601AE"/>
    <w:rPr>
      <w:rFonts w:eastAsia="Times New Roman"/>
      <w:b/>
      <w:bCs/>
      <w:lang w:eastAsia="ru-RU"/>
    </w:rPr>
  </w:style>
  <w:style w:type="paragraph" w:styleId="TOC1">
    <w:name w:val="toc 1"/>
    <w:basedOn w:val="Normal"/>
    <w:next w:val="Normal"/>
    <w:autoRedefine/>
    <w:uiPriority w:val="39"/>
    <w:rsid w:val="00830D6F"/>
    <w:pPr>
      <w:widowControl w:val="0"/>
      <w:tabs>
        <w:tab w:val="left" w:pos="440"/>
        <w:tab w:val="right" w:leader="dot" w:pos="9016"/>
      </w:tabs>
      <w:autoSpaceDE w:val="0"/>
      <w:autoSpaceDN w:val="0"/>
    </w:pPr>
    <w:rPr>
      <w:rFonts w:eastAsia="Times New Roman" w:cs="Arial"/>
    </w:rPr>
  </w:style>
  <w:style w:type="paragraph" w:styleId="TOC2">
    <w:name w:val="toc 2"/>
    <w:basedOn w:val="Normal"/>
    <w:next w:val="Normal"/>
    <w:autoRedefine/>
    <w:uiPriority w:val="39"/>
    <w:unhideWhenUsed/>
    <w:rsid w:val="00830D6F"/>
    <w:pPr>
      <w:ind w:left="221"/>
    </w:pPr>
  </w:style>
  <w:style w:type="paragraph" w:styleId="TOC3">
    <w:name w:val="toc 3"/>
    <w:basedOn w:val="Normal"/>
    <w:next w:val="Normal"/>
    <w:autoRedefine/>
    <w:uiPriority w:val="39"/>
    <w:unhideWhenUsed/>
    <w:rsid w:val="00830D6F"/>
    <w:pPr>
      <w:tabs>
        <w:tab w:val="left" w:pos="880"/>
        <w:tab w:val="right" w:leader="dot" w:pos="9016"/>
      </w:tabs>
      <w:ind w:left="442"/>
    </w:pPr>
  </w:style>
  <w:style w:type="character" w:customStyle="1" w:styleId="Heading1Char1">
    <w:name w:val="Heading 1 Char1"/>
    <w:aliases w:val="Heading 1 Char Char,(Text) Char,RR level 1 Char"/>
    <w:uiPriority w:val="9"/>
    <w:rsid w:val="009601AE"/>
    <w:rPr>
      <w:rFonts w:ascii="Cambria" w:eastAsia="Times New Roman" w:hAnsi="Cambria" w:cs="Times New Roman"/>
      <w:b/>
      <w:bCs/>
      <w:kern w:val="32"/>
      <w:sz w:val="32"/>
      <w:szCs w:val="32"/>
      <w:lang w:eastAsia="en-US"/>
    </w:rPr>
  </w:style>
  <w:style w:type="paragraph" w:styleId="FootnoteText">
    <w:name w:val="footnote text"/>
    <w:aliases w:val="single space,fn,Текст сноски Знак,Footnote Text Char Char Char,ft,Footnote Text Char Char Char Char Char Char Char Char Char Char,Footnote Text Char Char Char Char Char Char Char Char Char Char Char Char,f,footnote text"/>
    <w:basedOn w:val="Normal"/>
    <w:link w:val="FootnoteTextChar1"/>
    <w:rsid w:val="009601AE"/>
    <w:pPr>
      <w:widowControl w:val="0"/>
      <w:autoSpaceDE w:val="0"/>
      <w:autoSpaceDN w:val="0"/>
    </w:pPr>
    <w:rPr>
      <w:rFonts w:eastAsia="Times New Roman" w:cs="Arial"/>
      <w:sz w:val="20"/>
      <w:szCs w:val="20"/>
    </w:rPr>
  </w:style>
  <w:style w:type="character" w:customStyle="1" w:styleId="FootnoteTextChar1">
    <w:name w:val="Footnote Text Char1"/>
    <w:aliases w:val="single space Char,fn Char,Текст сноски Знак Char,Footnote Text Char Char Char Char,ft Char,Footnote Text Char Char Char Char Char Char Char Char Char Char Char,f Char,footnote text Char"/>
    <w:link w:val="FootnoteText"/>
    <w:uiPriority w:val="99"/>
    <w:rsid w:val="009601AE"/>
    <w:rPr>
      <w:rFonts w:eastAsia="Times New Roman"/>
      <w:sz w:val="20"/>
      <w:szCs w:val="20"/>
    </w:rPr>
  </w:style>
  <w:style w:type="character" w:customStyle="1" w:styleId="FootnoteTextChar">
    <w:name w:val="Footnote Text Char"/>
    <w:basedOn w:val="DefaultParagraphFont"/>
    <w:uiPriority w:val="99"/>
    <w:semiHidden/>
    <w:rsid w:val="009601AE"/>
    <w:rPr>
      <w:rFonts w:eastAsiaTheme="minorEastAsia" w:cstheme="minorBidi"/>
      <w:sz w:val="20"/>
      <w:szCs w:val="20"/>
    </w:rPr>
  </w:style>
  <w:style w:type="character" w:styleId="FootnoteReference">
    <w:name w:val="footnote reference"/>
    <w:aliases w:val="ftref,Ref,de nota al pie,4_G,BVI fnr,16 Point,Superscript 6 Point,nota pié di pagina,callout,Footnotes refss"/>
    <w:rsid w:val="009601AE"/>
    <w:rPr>
      <w:rFonts w:ascii="Arial" w:hAnsi="Arial" w:cs="Arial"/>
      <w:sz w:val="20"/>
      <w:szCs w:val="20"/>
      <w:vertAlign w:val="superscript"/>
    </w:rPr>
  </w:style>
  <w:style w:type="paragraph" w:styleId="Header">
    <w:name w:val="header"/>
    <w:basedOn w:val="Normal"/>
    <w:link w:val="HeaderChar"/>
    <w:uiPriority w:val="99"/>
    <w:rsid w:val="009601AE"/>
    <w:pPr>
      <w:widowControl w:val="0"/>
      <w:tabs>
        <w:tab w:val="center" w:pos="4320"/>
        <w:tab w:val="right" w:pos="8640"/>
      </w:tabs>
      <w:autoSpaceDE w:val="0"/>
      <w:autoSpaceDN w:val="0"/>
      <w:jc w:val="right"/>
    </w:pPr>
    <w:rPr>
      <w:rFonts w:eastAsia="Times New Roman" w:cs="Arial"/>
      <w:sz w:val="20"/>
      <w:szCs w:val="20"/>
    </w:rPr>
  </w:style>
  <w:style w:type="character" w:customStyle="1" w:styleId="HeaderChar">
    <w:name w:val="Header Char"/>
    <w:basedOn w:val="DefaultParagraphFont"/>
    <w:link w:val="Header"/>
    <w:uiPriority w:val="99"/>
    <w:rsid w:val="009601AE"/>
    <w:rPr>
      <w:rFonts w:eastAsia="Times New Roman"/>
      <w:sz w:val="20"/>
      <w:szCs w:val="20"/>
    </w:rPr>
  </w:style>
  <w:style w:type="paragraph" w:styleId="Footer">
    <w:name w:val="footer"/>
    <w:basedOn w:val="Normal"/>
    <w:link w:val="FooterChar"/>
    <w:uiPriority w:val="99"/>
    <w:rsid w:val="009601AE"/>
    <w:pPr>
      <w:widowControl w:val="0"/>
      <w:tabs>
        <w:tab w:val="center" w:pos="4320"/>
        <w:tab w:val="right" w:pos="8640"/>
      </w:tabs>
      <w:autoSpaceDE w:val="0"/>
      <w:autoSpaceDN w:val="0"/>
    </w:pPr>
    <w:rPr>
      <w:rFonts w:eastAsia="Times New Roman" w:cs="Arial"/>
      <w:sz w:val="20"/>
      <w:szCs w:val="20"/>
    </w:rPr>
  </w:style>
  <w:style w:type="character" w:customStyle="1" w:styleId="FooterChar">
    <w:name w:val="Footer Char"/>
    <w:basedOn w:val="DefaultParagraphFont"/>
    <w:link w:val="Footer"/>
    <w:uiPriority w:val="99"/>
    <w:rsid w:val="009601AE"/>
    <w:rPr>
      <w:rFonts w:eastAsia="Times New Roman"/>
      <w:sz w:val="20"/>
      <w:szCs w:val="20"/>
    </w:rPr>
  </w:style>
  <w:style w:type="paragraph" w:styleId="TOC4">
    <w:name w:val="toc 4"/>
    <w:basedOn w:val="Normal"/>
    <w:next w:val="Normal"/>
    <w:autoRedefine/>
    <w:uiPriority w:val="99"/>
    <w:rsid w:val="009601AE"/>
    <w:pPr>
      <w:widowControl w:val="0"/>
      <w:autoSpaceDE w:val="0"/>
      <w:autoSpaceDN w:val="0"/>
      <w:ind w:left="660"/>
    </w:pPr>
    <w:rPr>
      <w:rFonts w:eastAsia="Times New Roman" w:cs="Arial"/>
    </w:rPr>
  </w:style>
  <w:style w:type="paragraph" w:styleId="TOC5">
    <w:name w:val="toc 5"/>
    <w:basedOn w:val="Normal"/>
    <w:next w:val="Normal"/>
    <w:autoRedefine/>
    <w:uiPriority w:val="99"/>
    <w:rsid w:val="009601AE"/>
    <w:pPr>
      <w:widowControl w:val="0"/>
      <w:autoSpaceDE w:val="0"/>
      <w:autoSpaceDN w:val="0"/>
      <w:ind w:left="880"/>
    </w:pPr>
    <w:rPr>
      <w:rFonts w:eastAsia="Times New Roman" w:cs="Arial"/>
    </w:rPr>
  </w:style>
  <w:style w:type="paragraph" w:styleId="TOC6">
    <w:name w:val="toc 6"/>
    <w:basedOn w:val="Normal"/>
    <w:next w:val="Normal"/>
    <w:autoRedefine/>
    <w:uiPriority w:val="99"/>
    <w:rsid w:val="009601AE"/>
    <w:pPr>
      <w:widowControl w:val="0"/>
      <w:autoSpaceDE w:val="0"/>
      <w:autoSpaceDN w:val="0"/>
      <w:ind w:left="1100"/>
    </w:pPr>
    <w:rPr>
      <w:rFonts w:eastAsia="Times New Roman" w:cs="Arial"/>
    </w:rPr>
  </w:style>
  <w:style w:type="paragraph" w:styleId="TOC7">
    <w:name w:val="toc 7"/>
    <w:basedOn w:val="Normal"/>
    <w:next w:val="Normal"/>
    <w:autoRedefine/>
    <w:uiPriority w:val="99"/>
    <w:rsid w:val="009601AE"/>
    <w:pPr>
      <w:widowControl w:val="0"/>
      <w:autoSpaceDE w:val="0"/>
      <w:autoSpaceDN w:val="0"/>
      <w:ind w:left="1320"/>
    </w:pPr>
    <w:rPr>
      <w:rFonts w:eastAsia="Times New Roman" w:cs="Arial"/>
    </w:rPr>
  </w:style>
  <w:style w:type="paragraph" w:styleId="TOC8">
    <w:name w:val="toc 8"/>
    <w:basedOn w:val="Normal"/>
    <w:next w:val="Normal"/>
    <w:autoRedefine/>
    <w:uiPriority w:val="99"/>
    <w:rsid w:val="009601AE"/>
    <w:pPr>
      <w:widowControl w:val="0"/>
      <w:autoSpaceDE w:val="0"/>
      <w:autoSpaceDN w:val="0"/>
      <w:ind w:left="1540"/>
    </w:pPr>
    <w:rPr>
      <w:rFonts w:eastAsia="Times New Roman" w:cs="Arial"/>
    </w:rPr>
  </w:style>
  <w:style w:type="paragraph" w:styleId="TOC9">
    <w:name w:val="toc 9"/>
    <w:basedOn w:val="Normal"/>
    <w:next w:val="Normal"/>
    <w:autoRedefine/>
    <w:uiPriority w:val="99"/>
    <w:rsid w:val="009601AE"/>
    <w:pPr>
      <w:widowControl w:val="0"/>
      <w:autoSpaceDE w:val="0"/>
      <w:autoSpaceDN w:val="0"/>
      <w:ind w:left="1760"/>
    </w:pPr>
    <w:rPr>
      <w:rFonts w:eastAsia="Times New Roman" w:cs="Arial"/>
    </w:rPr>
  </w:style>
  <w:style w:type="character" w:styleId="PageNumber">
    <w:name w:val="page number"/>
    <w:uiPriority w:val="99"/>
    <w:rsid w:val="009601AE"/>
    <w:rPr>
      <w:rFonts w:ascii="Arial" w:hAnsi="Arial" w:cs="Arial"/>
      <w:sz w:val="20"/>
      <w:szCs w:val="20"/>
    </w:rPr>
  </w:style>
  <w:style w:type="character" w:styleId="Hyperlink">
    <w:name w:val="Hyperlink"/>
    <w:uiPriority w:val="99"/>
    <w:rsid w:val="009601AE"/>
    <w:rPr>
      <w:rFonts w:ascii="Arial" w:hAnsi="Arial" w:cs="Arial"/>
      <w:i/>
      <w:iCs/>
      <w:color w:val="0000FF"/>
      <w:sz w:val="20"/>
      <w:szCs w:val="20"/>
      <w:u w:val="single"/>
    </w:rPr>
  </w:style>
  <w:style w:type="character" w:customStyle="1" w:styleId="a">
    <w:name w:val="Основной текст_"/>
    <w:link w:val="a0"/>
    <w:locked/>
    <w:rsid w:val="009601AE"/>
    <w:rPr>
      <w:rFonts w:ascii="Times New Roman" w:eastAsia="Times New Roman" w:hAnsi="Times New Roman" w:cs="Times New Roman"/>
      <w:shd w:val="clear" w:color="auto" w:fill="FFFFFF"/>
    </w:rPr>
  </w:style>
  <w:style w:type="paragraph" w:customStyle="1" w:styleId="a0">
    <w:name w:val="Основной текст"/>
    <w:basedOn w:val="Normal"/>
    <w:link w:val="a"/>
    <w:rsid w:val="009601AE"/>
    <w:pPr>
      <w:widowControl w:val="0"/>
      <w:shd w:val="clear" w:color="auto" w:fill="FFFFFF"/>
      <w:spacing w:before="780" w:after="180" w:line="312" w:lineRule="exact"/>
      <w:ind w:hanging="360"/>
    </w:pPr>
    <w:rPr>
      <w:rFonts w:ascii="Times New Roman" w:eastAsia="Times New Roman" w:hAnsi="Times New Roman" w:cs="Times New Roman"/>
    </w:rPr>
  </w:style>
  <w:style w:type="paragraph" w:styleId="BodyText2">
    <w:name w:val="Body Text 2"/>
    <w:basedOn w:val="Normal"/>
    <w:link w:val="BodyText2Char"/>
    <w:semiHidden/>
    <w:rsid w:val="009601AE"/>
    <w:pPr>
      <w:spacing w:after="120" w:line="480" w:lineRule="auto"/>
    </w:pPr>
    <w:rPr>
      <w:rFonts w:ascii="Calibri" w:eastAsia="Times New Roman" w:hAnsi="Calibri" w:cs="Times New Roman"/>
      <w:szCs w:val="24"/>
    </w:rPr>
  </w:style>
  <w:style w:type="character" w:customStyle="1" w:styleId="BodyText2Char">
    <w:name w:val="Body Text 2 Char"/>
    <w:basedOn w:val="DefaultParagraphFont"/>
    <w:link w:val="BodyText2"/>
    <w:semiHidden/>
    <w:rsid w:val="009601AE"/>
    <w:rPr>
      <w:rFonts w:ascii="Calibri" w:eastAsia="Times New Roman" w:hAnsi="Calibri" w:cs="Times New Roman"/>
      <w:szCs w:val="24"/>
    </w:rPr>
  </w:style>
  <w:style w:type="table" w:styleId="TableGrid">
    <w:name w:val="Table Grid"/>
    <w:basedOn w:val="TableNormal"/>
    <w:uiPriority w:val="59"/>
    <w:rsid w:val="009601AE"/>
    <w:pPr>
      <w:jc w:val="left"/>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9601AE"/>
    <w:pPr>
      <w:spacing w:line="259" w:lineRule="auto"/>
      <w:ind w:left="720"/>
      <w:contextualSpacing/>
      <w:jc w:val="left"/>
    </w:pPr>
    <w:rPr>
      <w:rFonts w:ascii="Calibri" w:eastAsia="Calibri" w:hAnsi="Calibri" w:cs="Times New Roman"/>
    </w:rPr>
  </w:style>
  <w:style w:type="paragraph" w:styleId="CommentText">
    <w:name w:val="annotation text"/>
    <w:basedOn w:val="Normal"/>
    <w:link w:val="CommentTextChar"/>
    <w:uiPriority w:val="99"/>
    <w:unhideWhenUsed/>
    <w:rsid w:val="006E2E2C"/>
    <w:pPr>
      <w:widowControl w:val="0"/>
      <w:autoSpaceDE w:val="0"/>
      <w:autoSpaceDN w:val="0"/>
    </w:pPr>
    <w:rPr>
      <w:rFonts w:eastAsia="Times New Roman" w:cs="Arial"/>
      <w:sz w:val="24"/>
      <w:szCs w:val="24"/>
    </w:rPr>
  </w:style>
  <w:style w:type="character" w:customStyle="1" w:styleId="CommentTextChar">
    <w:name w:val="Comment Text Char"/>
    <w:basedOn w:val="DefaultParagraphFont"/>
    <w:link w:val="CommentText"/>
    <w:uiPriority w:val="99"/>
    <w:rsid w:val="006E2E2C"/>
    <w:rPr>
      <w:rFonts w:eastAsia="Times New Roman"/>
      <w:sz w:val="24"/>
      <w:szCs w:val="24"/>
    </w:rPr>
  </w:style>
  <w:style w:type="paragraph" w:styleId="BalloonText">
    <w:name w:val="Balloon Text"/>
    <w:basedOn w:val="Normal"/>
    <w:link w:val="BalloonTextChar"/>
    <w:uiPriority w:val="99"/>
    <w:semiHidden/>
    <w:unhideWhenUsed/>
    <w:rsid w:val="005408FA"/>
    <w:rPr>
      <w:rFonts w:ascii="Tahoma" w:hAnsi="Tahoma" w:cs="Tahoma"/>
      <w:sz w:val="16"/>
      <w:szCs w:val="16"/>
    </w:rPr>
  </w:style>
  <w:style w:type="character" w:customStyle="1" w:styleId="BalloonTextChar">
    <w:name w:val="Balloon Text Char"/>
    <w:basedOn w:val="DefaultParagraphFont"/>
    <w:link w:val="BalloonText"/>
    <w:uiPriority w:val="99"/>
    <w:semiHidden/>
    <w:rsid w:val="005408FA"/>
    <w:rPr>
      <w:rFonts w:ascii="Tahoma" w:eastAsiaTheme="minorEastAsia" w:hAnsi="Tahoma" w:cs="Tahoma"/>
      <w:sz w:val="16"/>
      <w:szCs w:val="16"/>
    </w:rPr>
  </w:style>
  <w:style w:type="paragraph" w:styleId="NoSpacing">
    <w:name w:val="No Spacing"/>
    <w:uiPriority w:val="1"/>
    <w:qFormat/>
    <w:rsid w:val="00FD2EA3"/>
    <w:pPr>
      <w:widowControl w:val="0"/>
      <w:autoSpaceDE w:val="0"/>
      <w:autoSpaceDN w:val="0"/>
    </w:pPr>
    <w:rPr>
      <w:rFonts w:eastAsia="Times New Roman"/>
    </w:rPr>
  </w:style>
  <w:style w:type="paragraph" w:customStyle="1" w:styleId="1">
    <w:name w:val="Основной текст1"/>
    <w:basedOn w:val="Normal"/>
    <w:rsid w:val="00FD2EA3"/>
    <w:pPr>
      <w:widowControl w:val="0"/>
      <w:shd w:val="clear" w:color="auto" w:fill="FFFFFF"/>
      <w:spacing w:before="780" w:after="180" w:line="312" w:lineRule="exact"/>
      <w:ind w:hanging="360"/>
    </w:pPr>
    <w:rPr>
      <w:rFonts w:ascii="Times New Roman" w:eastAsia="Times New Roman" w:hAnsi="Times New Roman" w:cs="Times New Roman"/>
      <w:color w:val="000000"/>
      <w:lang w:val="de-DE" w:eastAsia="en-GB"/>
    </w:rPr>
  </w:style>
  <w:style w:type="character" w:customStyle="1" w:styleId="SimSun">
    <w:name w:val="Основной текст + SimSun"/>
    <w:aliases w:val="6.5 pt,Курсив"/>
    <w:rsid w:val="00FD2EA3"/>
    <w:rPr>
      <w:rFonts w:ascii="SimSun" w:eastAsia="SimSun" w:hAnsi="SimSun" w:cs="SimSun"/>
      <w:b w:val="0"/>
      <w:bCs w:val="0"/>
      <w:i/>
      <w:iCs/>
      <w:smallCaps w:val="0"/>
      <w:strike w:val="0"/>
      <w:color w:val="000000"/>
      <w:spacing w:val="0"/>
      <w:w w:val="100"/>
      <w:position w:val="0"/>
      <w:sz w:val="13"/>
      <w:szCs w:val="13"/>
      <w:u w:val="none"/>
      <w:shd w:val="clear" w:color="auto" w:fill="FFFFFF"/>
      <w:lang w:val="de-DE"/>
    </w:rPr>
  </w:style>
  <w:style w:type="paragraph" w:customStyle="1" w:styleId="Default">
    <w:name w:val="Default"/>
    <w:rsid w:val="00FD2EA3"/>
    <w:pPr>
      <w:autoSpaceDE w:val="0"/>
      <w:autoSpaceDN w:val="0"/>
      <w:adjustRightInd w:val="0"/>
      <w:jc w:val="left"/>
    </w:pPr>
    <w:rPr>
      <w:rFonts w:ascii="Calibri" w:eastAsia="Times New Roman" w:hAnsi="Calibri" w:cs="Calibri"/>
      <w:color w:val="000000"/>
      <w:sz w:val="24"/>
      <w:szCs w:val="24"/>
      <w:lang w:eastAsia="en-GB"/>
    </w:rPr>
  </w:style>
  <w:style w:type="paragraph" w:customStyle="1" w:styleId="yiv0622078881msonormal">
    <w:name w:val="yiv0622078881msonormal"/>
    <w:basedOn w:val="Normal"/>
    <w:rsid w:val="00FD2EA3"/>
    <w:pPr>
      <w:suppressAutoHyphens/>
      <w:autoSpaceDN w:val="0"/>
      <w:spacing w:before="100" w:after="100"/>
      <w:jc w:val="left"/>
      <w:textAlignment w:val="baseline"/>
    </w:pPr>
    <w:rPr>
      <w:rFonts w:ascii="Times New Roman" w:eastAsia="Times New Roman" w:hAnsi="Times New Roman" w:cs="Times New Roman"/>
      <w:sz w:val="24"/>
      <w:szCs w:val="24"/>
      <w:lang w:eastAsia="en-GB"/>
    </w:rPr>
  </w:style>
  <w:style w:type="character" w:customStyle="1" w:styleId="yiv0622078881msohyperlink">
    <w:name w:val="yiv0622078881msohyperlink"/>
    <w:rsid w:val="00FD2EA3"/>
  </w:style>
  <w:style w:type="paragraph" w:customStyle="1" w:styleId="yiv0622078881msolistparagraph">
    <w:name w:val="yiv0622078881msolistparagraph"/>
    <w:basedOn w:val="Normal"/>
    <w:rsid w:val="00FD2EA3"/>
    <w:pPr>
      <w:suppressAutoHyphens/>
      <w:autoSpaceDN w:val="0"/>
      <w:spacing w:before="100" w:after="100"/>
      <w:jc w:val="left"/>
      <w:textAlignment w:val="baseline"/>
    </w:pPr>
    <w:rPr>
      <w:rFonts w:ascii="Times New Roman" w:eastAsia="Times New Roman" w:hAnsi="Times New Roman" w:cs="Times New Roman"/>
      <w:sz w:val="24"/>
      <w:szCs w:val="24"/>
      <w:lang w:eastAsia="en-GB"/>
    </w:rPr>
  </w:style>
  <w:style w:type="paragraph" w:customStyle="1" w:styleId="BodySingle">
    <w:name w:val="Body Single"/>
    <w:basedOn w:val="Normal"/>
    <w:uiPriority w:val="99"/>
    <w:rsid w:val="00FD2EA3"/>
    <w:pPr>
      <w:tabs>
        <w:tab w:val="left" w:pos="1440"/>
        <w:tab w:val="left" w:pos="7560"/>
      </w:tabs>
      <w:autoSpaceDE w:val="0"/>
      <w:autoSpaceDN w:val="0"/>
      <w:adjustRightInd w:val="0"/>
      <w:spacing w:before="120"/>
      <w:ind w:left="360" w:hanging="360"/>
      <w:jc w:val="left"/>
    </w:pPr>
    <w:rPr>
      <w:rFonts w:ascii="Times New Roman" w:eastAsia="Times New Roman" w:hAnsi="Times New Roman" w:cs="Times New Roman"/>
      <w:sz w:val="24"/>
      <w:szCs w:val="20"/>
      <w:lang w:val="en-US"/>
    </w:rPr>
  </w:style>
  <w:style w:type="character" w:customStyle="1" w:styleId="FootnoteTextChar2">
    <w:name w:val="Footnote Text Char2"/>
    <w:aliases w:val="single space Char1,fn Char1,Footnote Text Char Char1,Текст сноски Знак Char1,Footnote Text Char Char Char Char1,ft Char1,Footnote Text Char Char Char Char Char Char Char Char Char Char Char1,f Char1"/>
    <w:basedOn w:val="DefaultParagraphFont"/>
    <w:uiPriority w:val="99"/>
    <w:rsid w:val="005B274D"/>
    <w:rPr>
      <w:rFonts w:ascii="Arial" w:hAnsi="Arial" w:cs="Arial"/>
      <w:sz w:val="20"/>
      <w:szCs w:val="20"/>
      <w:lang w:eastAsia="en-US"/>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99"/>
    <w:locked/>
    <w:rsid w:val="00F36F62"/>
    <w:rPr>
      <w:rFonts w:ascii="Calibri" w:eastAsia="Calibri" w:hAnsi="Calibri" w:cs="Times New Roman"/>
    </w:rPr>
  </w:style>
  <w:style w:type="paragraph" w:styleId="BodyText">
    <w:name w:val="Body Text"/>
    <w:basedOn w:val="Normal"/>
    <w:link w:val="BodyTextChar"/>
    <w:unhideWhenUsed/>
    <w:rsid w:val="00394491"/>
    <w:pPr>
      <w:spacing w:after="120"/>
    </w:pPr>
  </w:style>
  <w:style w:type="character" w:customStyle="1" w:styleId="BodyTextChar">
    <w:name w:val="Body Text Char"/>
    <w:basedOn w:val="DefaultParagraphFont"/>
    <w:link w:val="BodyText"/>
    <w:rsid w:val="00394491"/>
    <w:rPr>
      <w:rFonts w:eastAsiaTheme="minorEastAsia" w:cstheme="minorBidi"/>
    </w:rPr>
  </w:style>
  <w:style w:type="paragraph" w:styleId="NormalWeb">
    <w:name w:val="Normal (Web)"/>
    <w:basedOn w:val="Normal"/>
    <w:rsid w:val="00394491"/>
    <w:pPr>
      <w:spacing w:before="100" w:beforeAutospacing="1" w:after="100" w:afterAutospacing="1"/>
      <w:jc w:val="left"/>
    </w:pPr>
    <w:rPr>
      <w:rFonts w:ascii="Times New Roman" w:eastAsia="Times New Roman" w:hAnsi="Times New Roman" w:cs="Times New Roman"/>
      <w:sz w:val="24"/>
      <w:szCs w:val="24"/>
      <w:lang w:val="en-US"/>
    </w:rPr>
  </w:style>
  <w:style w:type="paragraph" w:customStyle="1" w:styleId="ListeParagraf">
    <w:name w:val="Liste Paragraf"/>
    <w:basedOn w:val="Normal"/>
    <w:uiPriority w:val="34"/>
    <w:qFormat/>
    <w:rsid w:val="00394491"/>
    <w:pPr>
      <w:ind w:left="720"/>
      <w:jc w:val="left"/>
    </w:pPr>
    <w:rPr>
      <w:rFonts w:ascii="Cambria" w:eastAsia="MS Mincho" w:hAnsi="Cambria" w:cs="Times New Roman"/>
      <w:sz w:val="24"/>
      <w:szCs w:val="24"/>
    </w:rPr>
  </w:style>
  <w:style w:type="character" w:customStyle="1" w:styleId="Gvdemetni">
    <w:name w:val="Gövde metni"/>
    <w:rsid w:val="00394491"/>
    <w:rPr>
      <w:rFonts w:ascii="Times New Roman" w:eastAsia="Times New Roman" w:hAnsi="Times New Roman" w:cs="Times New Roman"/>
      <w:b w:val="0"/>
      <w:bCs w:val="0"/>
      <w:i w:val="0"/>
      <w:iCs w:val="0"/>
      <w:smallCaps w:val="0"/>
      <w:strike w:val="0"/>
      <w:spacing w:val="0"/>
      <w:sz w:val="20"/>
      <w:szCs w:val="20"/>
      <w:u w:val="single"/>
    </w:rPr>
  </w:style>
  <w:style w:type="table" w:styleId="LightList-Accent4">
    <w:name w:val="Light List Accent 4"/>
    <w:basedOn w:val="TableNormal"/>
    <w:uiPriority w:val="61"/>
    <w:rsid w:val="006B72F0"/>
    <w:pPr>
      <w:jc w:val="left"/>
    </w:pPr>
    <w:rPr>
      <w:rFonts w:asciiTheme="minorHAnsi" w:hAnsiTheme="minorHAnsi" w:cstheme="minorBidi"/>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GridTable5DarkAccent1">
    <w:name w:val="Grid Table 5 Dark Accent 1"/>
    <w:basedOn w:val="TableNormal"/>
    <w:uiPriority w:val="50"/>
    <w:rsid w:val="005F2D2B"/>
    <w:pPr>
      <w:jc w:val="left"/>
    </w:pPr>
    <w:rPr>
      <w:rFonts w:ascii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5">
    <w:name w:val="Grid Table 5 Dark Accent 5"/>
    <w:basedOn w:val="TableNormal"/>
    <w:uiPriority w:val="50"/>
    <w:rsid w:val="005F2D2B"/>
    <w:pPr>
      <w:jc w:val="left"/>
    </w:pPr>
    <w:rPr>
      <w:rFonts w:ascii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92516">
      <w:bodyDiv w:val="1"/>
      <w:marLeft w:val="0"/>
      <w:marRight w:val="0"/>
      <w:marTop w:val="0"/>
      <w:marBottom w:val="0"/>
      <w:divBdr>
        <w:top w:val="none" w:sz="0" w:space="0" w:color="auto"/>
        <w:left w:val="none" w:sz="0" w:space="0" w:color="auto"/>
        <w:bottom w:val="none" w:sz="0" w:space="0" w:color="auto"/>
        <w:right w:val="none" w:sz="0" w:space="0" w:color="auto"/>
      </w:divBdr>
    </w:div>
    <w:div w:id="20675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et.ge" TargetMode="External"/><Relationship Id="rId18" Type="http://schemas.openxmlformats.org/officeDocument/2006/relationships/footer" Target="footer3.xml"/><Relationship Id="rId26" Type="http://schemas.openxmlformats.org/officeDocument/2006/relationships/hyperlink" Target="https://matsne.gov.ge/en/document/view/1131547" TargetMode="External"/><Relationship Id="rId3" Type="http://schemas.openxmlformats.org/officeDocument/2006/relationships/styles" Target="styles.xml"/><Relationship Id="rId21" Type="http://schemas.openxmlformats.org/officeDocument/2006/relationships/hyperlink" Target="http://labour.gov.ge/Molhsa/Lmis/Lmis.Portal.Web/Handlers/GetFile.ashx?Type=Survey&amp;ID=49a89fbc-7cb8-4ae9-a5e3-7e43218b1b58"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eqe.ge" TargetMode="External"/><Relationship Id="rId17" Type="http://schemas.openxmlformats.org/officeDocument/2006/relationships/header" Target="header1.xml"/><Relationship Id="rId25" Type="http://schemas.openxmlformats.org/officeDocument/2006/relationships/hyperlink" Target="http://eqe.gov.ge/res/docs/120N_2.03.2017.pdf" TargetMode="External"/><Relationship Id="rId33" Type="http://schemas.openxmlformats.org/officeDocument/2006/relationships/hyperlink" Target="http://mes.gov.ge/uploads/Employers_27_survey.pdf" TargetMode="External"/><Relationship Id="rId2" Type="http://schemas.openxmlformats.org/officeDocument/2006/relationships/numbering" Target="numbering.xml"/><Relationship Id="rId16" Type="http://schemas.openxmlformats.org/officeDocument/2006/relationships/hyperlink" Target="http://mes.gov.ge/uploads/Employers_27_survey.pdf" TargetMode="External"/><Relationship Id="rId20" Type="http://schemas.openxmlformats.org/officeDocument/2006/relationships/hyperlink" Target="http://labour.gov.ge/Molhsa/Lmis/Lmis.Portal.Web/Handlers/GetFile.ashx?Type=Survey&amp;ID=196350a8-80ae-4c1d-99cf-6085630e004d" TargetMode="External"/><Relationship Id="rId29" Type="http://schemas.openxmlformats.org/officeDocument/2006/relationships/hyperlink" Target="http://www.eqe.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t.ge" TargetMode="External"/><Relationship Id="rId24" Type="http://schemas.openxmlformats.org/officeDocument/2006/relationships/hyperlink" Target="http://www.vet.ge/jump_profession/direction2/" TargetMode="External"/><Relationship Id="rId32" Type="http://schemas.openxmlformats.org/officeDocument/2006/relationships/hyperlink" Target="http://vet.ge/en/&#4321;&#4312;&#4304;&#4334;&#4314;&#4308;&#4308;&#4305;&#4312;-&#4307;&#4304;-&#4315;&#4323;&#4314;&#4322;&#4312;&#4315;&#4308;&#4307;&#4312;&#4304;/&#4320;&#4308;&#4321;&#4323;&#4320;&#4321;&#4308;&#4305;&#4312;/&#4313;&#4309;&#4314;&#4308;&#4309;&#4308;&#4305;&#4312;/&#4318;&#4320;&#4317;&#4324;&#4308;&#4321;&#4312;&#4304;&#4311;&#4304;-&#4320;&#4308;&#4312;&#4322;&#4312;&#4316;&#4306;&#4312;-2015-&#4332;&#4314;&#4312;-2/"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vet.ge/en/&#4321;&#4312;&#4304;&#4334;&#4314;&#4308;&#4308;&#4305;&#4312;-&#4307;&#4304;-&#4315;&#4323;&#4314;&#4322;&#4312;&#4315;&#4308;&#4307;&#4312;&#4304;/&#4320;&#4308;&#4321;&#4323;&#4320;&#4321;&#4308;&#4305;&#4312;/&#4313;&#4309;&#4314;&#4308;&#4309;&#4308;&#4305;&#4312;/&#4318;&#4320;&#4317;&#4324;&#4308;&#4321;&#4312;&#4304;&#4311;&#4304;-&#4320;&#4308;&#4312;&#4322;&#4312;&#4316;&#4306;&#4312;-2015-&#4332;&#4314;&#4312;-2/" TargetMode="External"/><Relationship Id="rId23" Type="http://schemas.openxmlformats.org/officeDocument/2006/relationships/hyperlink" Target="http://labour.gov.ge/Molhsa/Lmis/Lmis.Portal.Web/Handlers/GetFile.ashx?Type=Survey&amp;ID=0c14fdbd-a34a-4801-abfc-e11f0543406f" TargetMode="External"/><Relationship Id="rId28" Type="http://schemas.openxmlformats.org/officeDocument/2006/relationships/hyperlink" Target="http://www.vet.ge"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mes.gov.ge/uploads/VET%20Reform%20Progress%20Report%202014-2016%20EN.pdf" TargetMode="External"/><Relationship Id="rId31" Type="http://schemas.openxmlformats.org/officeDocument/2006/relationships/hyperlink" Target="http://mes.gov.ge/content.php?id=5962&amp;lang=geo"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mes.gov.ge/content.php?id=5962&amp;lang=geo" TargetMode="External"/><Relationship Id="rId22" Type="http://schemas.openxmlformats.org/officeDocument/2006/relationships/hyperlink" Target="http://www.geostat.ge/cms/site_images/_files/georgian/methodology/Surveys_of_economically_active_population,employment,unemployment,and_underemployment.pdf" TargetMode="External"/><Relationship Id="rId27" Type="http://schemas.openxmlformats.org/officeDocument/2006/relationships/hyperlink" Target="http://www.newspress.ge/sazogadoeba/94559-ganckhadeba-moduluridualuri-profesiulisaganmanathleblo-programebis-da-mathi-ganmakhorcielebeli-datsesebulebebis-shesakheb.html" TargetMode="External"/><Relationship Id="rId30" Type="http://schemas.openxmlformats.org/officeDocument/2006/relationships/hyperlink" Target="http://www.vet.ge" TargetMode="Externa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mes.gov.ge/content.php?id=1793&amp;lang=geo" TargetMode="External"/><Relationship Id="rId2" Type="http://schemas.openxmlformats.org/officeDocument/2006/relationships/hyperlink" Target="http://www.mes.gov.ge/uploads/1.VET%20STrategy_AP_EN.pdf" TargetMode="External"/><Relationship Id="rId1" Type="http://schemas.openxmlformats.org/officeDocument/2006/relationships/hyperlink" Target="http://www.mes.gov.ge/uploads/12.%20VET%20Strategy%202013-20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1FD3C-CF76-4705-9108-6B6FE669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48451</Words>
  <Characters>273749</Characters>
  <Application>Microsoft Office Word</Application>
  <DocSecurity>0</DocSecurity>
  <Lines>7019</Lines>
  <Paragraphs>2983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319217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KOCHISHVILI Nika (EEAS-TBILISI)</cp:lastModifiedBy>
  <cp:revision>2</cp:revision>
  <dcterms:created xsi:type="dcterms:W3CDTF">2017-09-06T06:58:00Z</dcterms:created>
  <dcterms:modified xsi:type="dcterms:W3CDTF">2017-09-06T06:58:00Z</dcterms:modified>
</cp:coreProperties>
</file>